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DBBA">
      <w:pPr>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467D345B">
      <w:pPr>
        <w:pStyle w:val="2"/>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峨边彝族自治县职业高级中学校（职教中心）</w:t>
      </w:r>
    </w:p>
    <w:p w14:paraId="588816F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sz w:val="52"/>
          <w:szCs w:val="52"/>
          <w:highlight w:val="none"/>
          <w:lang w:val="en-US" w:eastAsia="zh-CN"/>
        </w:rPr>
        <w:t>2026年部门预算</w:t>
      </w:r>
    </w:p>
    <w:p w14:paraId="2938ACA7">
      <w:pPr>
        <w:jc w:val="center"/>
        <w:rPr>
          <w:rFonts w:hint="eastAsia" w:ascii="方正小标宋简体" w:hAnsi="方正小标宋简体" w:eastAsia="方正小标宋简体" w:cs="方正小标宋简体"/>
          <w:b w:val="0"/>
          <w:bCs/>
          <w:color w:val="auto"/>
          <w:sz w:val="52"/>
          <w:szCs w:val="52"/>
          <w:highlight w:val="none"/>
          <w:lang w:val="en-US" w:eastAsia="zh-CN"/>
        </w:rPr>
      </w:pPr>
    </w:p>
    <w:p w14:paraId="0FFFDDBF">
      <w:pPr>
        <w:jc w:val="both"/>
        <w:rPr>
          <w:rFonts w:hint="default"/>
          <w:b/>
          <w:bCs/>
          <w:color w:val="auto"/>
          <w:sz w:val="52"/>
          <w:szCs w:val="52"/>
          <w:highlight w:val="none"/>
          <w:lang w:val="en-US" w:eastAsia="zh-CN"/>
        </w:rPr>
      </w:pPr>
    </w:p>
    <w:p w14:paraId="06B03D8D">
      <w:pPr>
        <w:jc w:val="both"/>
        <w:rPr>
          <w:rFonts w:hint="default"/>
          <w:b/>
          <w:bCs/>
          <w:color w:val="auto"/>
          <w:sz w:val="52"/>
          <w:szCs w:val="52"/>
          <w:highlight w:val="none"/>
          <w:lang w:val="en-US" w:eastAsia="zh-CN"/>
        </w:rPr>
      </w:pPr>
    </w:p>
    <w:p w14:paraId="53DF82AC">
      <w:pPr>
        <w:jc w:val="both"/>
        <w:rPr>
          <w:rFonts w:hint="default"/>
          <w:b/>
          <w:bCs/>
          <w:color w:val="auto"/>
          <w:sz w:val="52"/>
          <w:szCs w:val="52"/>
          <w:highlight w:val="none"/>
          <w:lang w:val="en-US" w:eastAsia="zh-CN"/>
        </w:rPr>
      </w:pPr>
    </w:p>
    <w:p w14:paraId="543287FF">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单位（签章）：</w:t>
      </w:r>
      <w:r>
        <w:rPr>
          <w:rFonts w:hint="eastAsia"/>
          <w:b/>
          <w:bCs/>
          <w:color w:val="auto"/>
          <w:sz w:val="28"/>
          <w:szCs w:val="28"/>
          <w:highlight w:val="none"/>
          <w:u w:val="single"/>
          <w:lang w:val="en-US" w:eastAsia="zh-CN"/>
        </w:rPr>
        <w:t>峨边彝族自治县职业高级中学校 （职教中心）</w:t>
      </w:r>
    </w:p>
    <w:p w14:paraId="5FBF23CC">
      <w:pPr>
        <w:ind w:left="0" w:leftChars="0" w:firstLine="0" w:firstLineChars="0"/>
        <w:jc w:val="both"/>
        <w:rPr>
          <w:rFonts w:hint="default"/>
          <w:b/>
          <w:bCs/>
          <w:color w:val="auto"/>
          <w:sz w:val="32"/>
          <w:szCs w:val="32"/>
          <w:highlight w:val="none"/>
          <w:lang w:val="en-US" w:eastAsia="zh-CN"/>
        </w:rPr>
      </w:pPr>
    </w:p>
    <w:p w14:paraId="44B85387">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2026年 3月20日</w:t>
      </w:r>
    </w:p>
    <w:p w14:paraId="4DD6C5F9">
      <w:pPr>
        <w:jc w:val="both"/>
        <w:rPr>
          <w:rFonts w:hint="eastAsia"/>
          <w:b/>
          <w:bCs/>
          <w:color w:val="auto"/>
          <w:sz w:val="32"/>
          <w:szCs w:val="32"/>
          <w:highlight w:val="none"/>
          <w:lang w:val="en-US" w:eastAsia="zh-CN"/>
        </w:rPr>
      </w:pPr>
    </w:p>
    <w:p w14:paraId="702F514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目录</w:t>
      </w:r>
    </w:p>
    <w:p w14:paraId="0311C8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第一部分 峨边彝族自治县职业高级中学校（职教中心）概况</w:t>
      </w:r>
    </w:p>
    <w:p w14:paraId="294697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一、基本职能及主要工作</w:t>
      </w:r>
    </w:p>
    <w:p w14:paraId="357A0F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val="en-US" w:eastAsia="zh-CN"/>
        </w:rPr>
        <w:t>2026年重点工作</w:t>
      </w:r>
    </w:p>
    <w:p w14:paraId="332487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第二部分 峨边彝族自治县职业高级中学校（职教中心）2026年部门预算表</w:t>
      </w:r>
    </w:p>
    <w:p w14:paraId="3D126E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一、部门收支总表</w:t>
      </w:r>
    </w:p>
    <w:p w14:paraId="3A18D7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二、部门收入总表</w:t>
      </w:r>
    </w:p>
    <w:p w14:paraId="1C1E91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三、部门支出总表</w:t>
      </w:r>
    </w:p>
    <w:p w14:paraId="0D0FC8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四、财政拨款收支预算总表</w:t>
      </w:r>
    </w:p>
    <w:p w14:paraId="003B98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五、财政拨款支出预算表（部门经济分类科目）</w:t>
      </w:r>
    </w:p>
    <w:p w14:paraId="09C924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六、一般公共预算支出预算表</w:t>
      </w:r>
    </w:p>
    <w:p w14:paraId="03FC18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七、一般公共预算基本支出预算表</w:t>
      </w:r>
    </w:p>
    <w:p w14:paraId="503762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八、一般公共预算项目支出预算表</w:t>
      </w:r>
    </w:p>
    <w:p w14:paraId="2A5AA5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九、一般公共预算“三公”经费支出预算表</w:t>
      </w:r>
    </w:p>
    <w:p w14:paraId="7923E3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十、政府性基金预算支出表</w:t>
      </w:r>
    </w:p>
    <w:p w14:paraId="4C047E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十一、政府性基金预算“三公”经费支出预算表</w:t>
      </w:r>
    </w:p>
    <w:p w14:paraId="779703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十二、国有资本经营预算支出表</w:t>
      </w:r>
    </w:p>
    <w:p w14:paraId="16372B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十三、部门预算项目支出绩效目标表</w:t>
      </w:r>
    </w:p>
    <w:p w14:paraId="3D4A54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十四、部门整体支出绩效目标表</w:t>
      </w:r>
    </w:p>
    <w:p w14:paraId="5A76B4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十五、政府采购预算表</w:t>
      </w:r>
    </w:p>
    <w:p w14:paraId="4B711E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第三部分 峨边彝族自治县职业高级中学校（职教中心）2026年部门预算情况说明</w:t>
      </w:r>
    </w:p>
    <w:p w14:paraId="254E0A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第四部分 名词解释</w:t>
      </w:r>
    </w:p>
    <w:p w14:paraId="75EAEE38">
      <w:pPr>
        <w:pStyle w:val="2"/>
        <w:numPr>
          <w:ilvl w:val="0"/>
          <w:numId w:val="0"/>
        </w:numPr>
        <w:bidi w:val="0"/>
        <w:jc w:val="both"/>
        <w:rPr>
          <w:rFonts w:hint="default"/>
          <w:color w:val="auto"/>
          <w:highlight w:val="none"/>
          <w:lang w:val="en-US" w:eastAsia="zh-CN"/>
        </w:rPr>
      </w:pPr>
    </w:p>
    <w:p w14:paraId="11738257">
      <w:pPr>
        <w:pStyle w:val="2"/>
        <w:numPr>
          <w:ilvl w:val="0"/>
          <w:numId w:val="0"/>
        </w:numPr>
        <w:bidi w:val="0"/>
        <w:jc w:val="center"/>
        <w:rPr>
          <w:rFonts w:hint="default"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第一部分  峨边彝族自治县职业高级中学校（职教中心）概况</w:t>
      </w:r>
    </w:p>
    <w:p w14:paraId="77F3220F">
      <w:pPr>
        <w:widowControl w:val="0"/>
        <w:numPr>
          <w:ilvl w:val="0"/>
          <w:numId w:val="0"/>
        </w:numPr>
        <w:jc w:val="both"/>
        <w:rPr>
          <w:rFonts w:hint="default"/>
          <w:b/>
          <w:bCs/>
          <w:color w:val="auto"/>
          <w:sz w:val="52"/>
          <w:szCs w:val="52"/>
          <w:highlight w:val="none"/>
          <w:lang w:val="en-US" w:eastAsia="zh-CN"/>
        </w:rPr>
      </w:pPr>
    </w:p>
    <w:p w14:paraId="2468C5D6">
      <w:pPr>
        <w:widowControl w:val="0"/>
        <w:numPr>
          <w:ilvl w:val="0"/>
          <w:numId w:val="0"/>
        </w:numPr>
        <w:jc w:val="both"/>
        <w:rPr>
          <w:rFonts w:hint="default"/>
          <w:b/>
          <w:bCs/>
          <w:color w:val="auto"/>
          <w:sz w:val="52"/>
          <w:szCs w:val="52"/>
          <w:highlight w:val="none"/>
          <w:lang w:val="en-US" w:eastAsia="zh-CN"/>
        </w:rPr>
      </w:pPr>
    </w:p>
    <w:p w14:paraId="21555364">
      <w:pPr>
        <w:widowControl w:val="0"/>
        <w:numPr>
          <w:ilvl w:val="0"/>
          <w:numId w:val="0"/>
        </w:numPr>
        <w:jc w:val="both"/>
        <w:rPr>
          <w:rFonts w:hint="default"/>
          <w:b/>
          <w:bCs/>
          <w:color w:val="auto"/>
          <w:sz w:val="52"/>
          <w:szCs w:val="52"/>
          <w:highlight w:val="none"/>
          <w:lang w:val="en-US" w:eastAsia="zh-CN"/>
        </w:rPr>
      </w:pPr>
    </w:p>
    <w:p w14:paraId="147068E6">
      <w:pPr>
        <w:widowControl w:val="0"/>
        <w:numPr>
          <w:ilvl w:val="0"/>
          <w:numId w:val="0"/>
        </w:numPr>
        <w:jc w:val="both"/>
        <w:rPr>
          <w:rFonts w:hint="default"/>
          <w:b/>
          <w:bCs/>
          <w:color w:val="auto"/>
          <w:sz w:val="52"/>
          <w:szCs w:val="52"/>
          <w:highlight w:val="none"/>
          <w:lang w:val="en-US" w:eastAsia="zh-CN"/>
        </w:rPr>
      </w:pPr>
    </w:p>
    <w:p w14:paraId="361E464F">
      <w:pPr>
        <w:widowControl w:val="0"/>
        <w:numPr>
          <w:ilvl w:val="0"/>
          <w:numId w:val="0"/>
        </w:numPr>
        <w:jc w:val="both"/>
        <w:rPr>
          <w:rFonts w:hint="default"/>
          <w:b/>
          <w:bCs/>
          <w:color w:val="auto"/>
          <w:sz w:val="52"/>
          <w:szCs w:val="52"/>
          <w:highlight w:val="none"/>
          <w:lang w:val="en-US" w:eastAsia="zh-CN"/>
        </w:rPr>
      </w:pPr>
    </w:p>
    <w:p w14:paraId="130A6E4C">
      <w:pPr>
        <w:widowControl w:val="0"/>
        <w:numPr>
          <w:ilvl w:val="0"/>
          <w:numId w:val="0"/>
        </w:numPr>
        <w:jc w:val="both"/>
        <w:rPr>
          <w:rFonts w:hint="default"/>
          <w:b/>
          <w:bCs/>
          <w:color w:val="auto"/>
          <w:sz w:val="52"/>
          <w:szCs w:val="52"/>
          <w:highlight w:val="none"/>
          <w:lang w:val="en-US" w:eastAsia="zh-CN"/>
        </w:rPr>
      </w:pPr>
    </w:p>
    <w:p w14:paraId="4CC462E9">
      <w:pPr>
        <w:bidi w:val="0"/>
        <w:rPr>
          <w:rFonts w:hint="eastAsia" w:ascii="黑体" w:hAnsi="黑体" w:eastAsia="黑体" w:cs="黑体"/>
          <w:color w:val="auto"/>
          <w:highlight w:val="none"/>
          <w:lang w:val="en-US" w:eastAsia="zh-CN"/>
        </w:rPr>
      </w:pPr>
    </w:p>
    <w:p w14:paraId="56762999">
      <w:pPr>
        <w:bidi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一、基本职能及主要工作</w:t>
      </w:r>
    </w:p>
    <w:p w14:paraId="479241A1">
      <w:pPr>
        <w:bidi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（一）职能简介</w:t>
      </w:r>
    </w:p>
    <w:p w14:paraId="12E46808">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1.全面贯彻国家的教育路线、方针、政策和</w:t>
      </w:r>
      <w:r>
        <w:rPr>
          <w:rFonts w:hint="eastAsia" w:ascii="仿宋" w:hAnsi="仿宋" w:eastAsia="仿宋" w:cs="仿宋"/>
          <w:bCs/>
          <w:color w:val="auto"/>
          <w:sz w:val="32"/>
          <w:szCs w:val="32"/>
          <w:highlight w:val="none"/>
          <w:lang w:eastAsia="zh-CN"/>
        </w:rPr>
        <w:t>法律法规</w:t>
      </w:r>
      <w:r>
        <w:rPr>
          <w:rFonts w:hint="eastAsia" w:ascii="仿宋" w:hAnsi="仿宋" w:eastAsia="仿宋" w:cs="仿宋"/>
          <w:bCs/>
          <w:color w:val="auto"/>
          <w:sz w:val="32"/>
          <w:szCs w:val="32"/>
          <w:highlight w:val="none"/>
        </w:rPr>
        <w:t>，尊重教育规律，保证教育质量，坚持学校的公益性。</w:t>
      </w:r>
    </w:p>
    <w:p w14:paraId="79FC98F0">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中等职业学历教育为主，同时兼具社会培训、社区服务等功能，为地方经济建设和社会发展培养合格的专业技术人才，为高等职业院校输送合格新生。</w:t>
      </w:r>
    </w:p>
    <w:p w14:paraId="3B5A65C3">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探索多元化发展道路，创建办学特色学校，坚持以人为本、以德为先，以素质为基础、能力为本位、实训为主线、就业为导向、项目为引领、任务驱动为办学原则，构建新型课程体系，提升学校的办学综合实力。</w:t>
      </w:r>
    </w:p>
    <w:p w14:paraId="5B58A008">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培养与我国社会主义现代化建设要求相适应，德智体美</w:t>
      </w:r>
      <w:r>
        <w:rPr>
          <w:rFonts w:hint="eastAsia" w:ascii="仿宋" w:hAnsi="仿宋" w:eastAsia="仿宋" w:cs="仿宋"/>
          <w:bCs/>
          <w:color w:val="auto"/>
          <w:sz w:val="32"/>
          <w:szCs w:val="32"/>
          <w:highlight w:val="none"/>
          <w:lang w:eastAsia="zh-CN"/>
        </w:rPr>
        <w:t>劳</w:t>
      </w:r>
      <w:r>
        <w:rPr>
          <w:rFonts w:hint="eastAsia" w:ascii="仿宋" w:hAnsi="仿宋" w:eastAsia="仿宋" w:cs="仿宋"/>
          <w:bCs/>
          <w:color w:val="auto"/>
          <w:sz w:val="32"/>
          <w:szCs w:val="32"/>
          <w:highlight w:val="none"/>
        </w:rPr>
        <w:t>全面发展，具有综合职业能力，在生产、服务一线工作的高素质劳动者和技能型人才。</w:t>
      </w:r>
    </w:p>
    <w:p w14:paraId="1CE41A63">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5</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依照相关</w:t>
      </w:r>
      <w:r>
        <w:rPr>
          <w:rFonts w:hint="eastAsia" w:ascii="仿宋" w:hAnsi="仿宋" w:eastAsia="仿宋" w:cs="仿宋"/>
          <w:bCs/>
          <w:color w:val="auto"/>
          <w:sz w:val="32"/>
          <w:szCs w:val="32"/>
          <w:highlight w:val="none"/>
          <w:lang w:eastAsia="zh-CN"/>
        </w:rPr>
        <w:t>法律法规</w:t>
      </w:r>
      <w:r>
        <w:rPr>
          <w:rFonts w:hint="eastAsia" w:ascii="仿宋" w:hAnsi="仿宋" w:eastAsia="仿宋" w:cs="仿宋"/>
          <w:bCs/>
          <w:color w:val="auto"/>
          <w:sz w:val="32"/>
          <w:szCs w:val="32"/>
          <w:highlight w:val="none"/>
        </w:rPr>
        <w:t>和教育行政部门的规定招收学生，对学生进行学籍管理，组织实施教育教学活动，完成教育教学任务，给学生颁发相应的学业证书。</w:t>
      </w:r>
    </w:p>
    <w:p w14:paraId="12DDFA1E">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6</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发挥</w:t>
      </w:r>
      <w:r>
        <w:rPr>
          <w:rFonts w:hint="eastAsia" w:ascii="仿宋" w:hAnsi="仿宋" w:eastAsia="仿宋" w:cs="仿宋"/>
          <w:bCs/>
          <w:color w:val="auto"/>
          <w:sz w:val="32"/>
          <w:szCs w:val="32"/>
          <w:highlight w:val="none"/>
          <w:lang w:eastAsia="zh-CN"/>
        </w:rPr>
        <w:t>党</w:t>
      </w:r>
      <w:r>
        <w:rPr>
          <w:rFonts w:hint="eastAsia" w:ascii="仿宋" w:hAnsi="仿宋" w:eastAsia="仿宋" w:cs="仿宋"/>
          <w:bCs/>
          <w:color w:val="auto"/>
          <w:sz w:val="32"/>
          <w:szCs w:val="32"/>
          <w:highlight w:val="none"/>
        </w:rPr>
        <w:t>支部政治</w:t>
      </w:r>
      <w:r>
        <w:rPr>
          <w:rFonts w:hint="eastAsia" w:ascii="仿宋" w:hAnsi="仿宋" w:eastAsia="仿宋" w:cs="仿宋"/>
          <w:bCs/>
          <w:color w:val="auto"/>
          <w:sz w:val="32"/>
          <w:szCs w:val="32"/>
          <w:highlight w:val="none"/>
          <w:lang w:eastAsia="zh-CN"/>
        </w:rPr>
        <w:t>堡垒作用</w:t>
      </w:r>
      <w:r>
        <w:rPr>
          <w:rFonts w:hint="eastAsia" w:ascii="仿宋" w:hAnsi="仿宋" w:eastAsia="仿宋" w:cs="仿宋"/>
          <w:bCs/>
          <w:color w:val="auto"/>
          <w:sz w:val="32"/>
          <w:szCs w:val="32"/>
          <w:highlight w:val="none"/>
        </w:rPr>
        <w:t>，强化了党员干部和教职工思想作风建设和队伍建设。</w:t>
      </w:r>
    </w:p>
    <w:p w14:paraId="465EBA6A">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7.完善基础设施建设，提升办学实力，发挥学校功能，扩大社会影响。</w:t>
      </w:r>
    </w:p>
    <w:p w14:paraId="5C2A8986">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8.强化制度管理，深化教学改革，优化课程设置，提高教学质量，提升管理效益。</w:t>
      </w:r>
    </w:p>
    <w:p w14:paraId="4CB8D611">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9.改进德育工作方法，提高德育工作实效性。</w:t>
      </w:r>
    </w:p>
    <w:p w14:paraId="5481CC39">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10.探索就业工作模式，力争提高就业质量；认真准备，确保完成招生任务。</w:t>
      </w:r>
    </w:p>
    <w:p w14:paraId="35F91310">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11.加强后勤保障，提升服务质量。</w:t>
      </w:r>
    </w:p>
    <w:p w14:paraId="4F9ACA04">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12.重视安全工作，确保全年无安全事故发生。</w:t>
      </w:r>
    </w:p>
    <w:p w14:paraId="5A720B8B">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13.充分发挥学校的职能和资源优势，</w:t>
      </w:r>
      <w:r>
        <w:rPr>
          <w:rFonts w:hint="eastAsia" w:ascii="仿宋" w:hAnsi="仿宋" w:eastAsia="仿宋" w:cs="仿宋"/>
          <w:bCs/>
          <w:color w:val="auto"/>
          <w:sz w:val="32"/>
          <w:szCs w:val="32"/>
          <w:highlight w:val="none"/>
          <w:lang w:eastAsia="zh-CN"/>
        </w:rPr>
        <w:t>开展</w:t>
      </w:r>
      <w:r>
        <w:rPr>
          <w:rFonts w:hint="eastAsia" w:ascii="仿宋" w:hAnsi="仿宋" w:eastAsia="仿宋" w:cs="仿宋"/>
          <w:bCs/>
          <w:color w:val="auto"/>
          <w:sz w:val="32"/>
          <w:szCs w:val="32"/>
          <w:highlight w:val="none"/>
        </w:rPr>
        <w:t>社会培训和技能鉴定工作。</w:t>
      </w:r>
    </w:p>
    <w:p w14:paraId="2FACDC2B">
      <w:pPr>
        <w:pStyle w:val="6"/>
        <w:keepNext w:val="0"/>
        <w:keepLines w:val="0"/>
        <w:pageBreakBefore w:val="0"/>
        <w:kinsoku/>
        <w:wordWrap/>
        <w:overflowPunct/>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color w:val="auto"/>
          <w:highlight w:val="none"/>
        </w:rPr>
      </w:pPr>
      <w:r>
        <w:rPr>
          <w:rFonts w:hint="eastAsia" w:ascii="仿宋" w:hAnsi="仿宋" w:eastAsia="仿宋" w:cs="仿宋"/>
          <w:bCs/>
          <w:color w:val="auto"/>
          <w:sz w:val="32"/>
          <w:szCs w:val="32"/>
          <w:highlight w:val="none"/>
        </w:rPr>
        <w:t>14.承办上级有关部门交办的其他事项。</w:t>
      </w:r>
    </w:p>
    <w:p w14:paraId="414843BC">
      <w:pPr>
        <w:bidi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w:t>
      </w:r>
      <w:r>
        <w:rPr>
          <w:rFonts w:hint="eastAsia" w:ascii="楷体" w:hAnsi="楷体" w:eastAsia="楷体" w:cs="楷体"/>
          <w:color w:val="auto"/>
          <w:sz w:val="32"/>
          <w:szCs w:val="32"/>
          <w:highlight w:val="none"/>
          <w:lang w:eastAsia="zh-CN"/>
        </w:rPr>
        <w:t>2026</w:t>
      </w:r>
      <w:r>
        <w:rPr>
          <w:rFonts w:hint="eastAsia" w:ascii="楷体" w:hAnsi="楷体" w:eastAsia="楷体" w:cs="楷体"/>
          <w:color w:val="auto"/>
          <w:sz w:val="32"/>
          <w:szCs w:val="32"/>
          <w:highlight w:val="none"/>
        </w:rPr>
        <w:t>年重点工作任务介绍</w:t>
      </w:r>
    </w:p>
    <w:p w14:paraId="5BF251B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2026年是</w:t>
      </w:r>
      <w:r>
        <w:rPr>
          <w:rFonts w:hint="eastAsia" w:ascii="仿宋" w:hAnsi="仿宋" w:eastAsia="仿宋" w:cs="仿宋"/>
          <w:color w:val="auto"/>
          <w:sz w:val="32"/>
          <w:szCs w:val="40"/>
          <w:highlight w:val="none"/>
          <w:lang w:eastAsia="zh-CN"/>
        </w:rPr>
        <w:t>国家</w:t>
      </w:r>
      <w:r>
        <w:rPr>
          <w:rFonts w:hint="eastAsia" w:ascii="仿宋" w:hAnsi="仿宋" w:cs="仿宋"/>
          <w:color w:val="auto"/>
          <w:sz w:val="32"/>
          <w:szCs w:val="40"/>
          <w:highlight w:val="none"/>
          <w:lang w:eastAsia="zh-CN"/>
        </w:rPr>
        <w:t>“十五五”开局之年</w:t>
      </w:r>
      <w:r>
        <w:rPr>
          <w:rFonts w:hint="eastAsia" w:ascii="仿宋" w:hAnsi="仿宋" w:eastAsia="仿宋" w:cs="仿宋"/>
          <w:color w:val="auto"/>
          <w:sz w:val="32"/>
          <w:szCs w:val="40"/>
          <w:highlight w:val="none"/>
        </w:rPr>
        <w:t>，是学校质量攻坚提升年，也是全校上下聚精会神、稳中求变求进、创业再出发的关键之年。本年度学校工作以习近平新时代中国特色社会主义思想为指导，全面贯彻党的教育方针，落实全党树立和践行正确政绩观学习教育要求，坚守为人民、用实干出政绩导向；对标中纪委2026年教育系统四大腐败问题</w:t>
      </w:r>
      <w:r>
        <w:rPr>
          <w:rFonts w:hint="eastAsia" w:ascii="仿宋" w:hAnsi="仿宋" w:cs="仿宋"/>
          <w:color w:val="auto"/>
          <w:sz w:val="32"/>
          <w:szCs w:val="40"/>
          <w:highlight w:val="none"/>
          <w:lang w:eastAsia="zh-CN"/>
        </w:rPr>
        <w:t>巡查</w:t>
      </w:r>
      <w:r>
        <w:rPr>
          <w:rFonts w:hint="eastAsia" w:ascii="仿宋" w:hAnsi="仿宋" w:eastAsia="仿宋" w:cs="仿宋"/>
          <w:color w:val="auto"/>
          <w:sz w:val="32"/>
          <w:szCs w:val="40"/>
          <w:highlight w:val="none"/>
        </w:rPr>
        <w:t>部署，紧扣</w:t>
      </w:r>
      <w:r>
        <w:rPr>
          <w:rFonts w:hint="eastAsia" w:ascii="仿宋" w:hAnsi="仿宋" w:cs="仿宋"/>
          <w:color w:val="auto"/>
          <w:sz w:val="32"/>
          <w:szCs w:val="40"/>
          <w:highlight w:val="none"/>
          <w:lang w:eastAsia="zh-CN"/>
        </w:rPr>
        <w:t>县委、县政府</w:t>
      </w:r>
      <w:r>
        <w:rPr>
          <w:rFonts w:hint="eastAsia" w:ascii="仿宋" w:hAnsi="仿宋" w:eastAsia="仿宋" w:cs="仿宋"/>
          <w:color w:val="auto"/>
          <w:sz w:val="32"/>
          <w:szCs w:val="40"/>
          <w:highlight w:val="none"/>
        </w:rPr>
        <w:t>“十五五”规划对职中专业调整优化、与县文化馆深度合作的任务要求，落实教育局开学工作精神与开学安全检查整改要求，锚定“五个百分之二十”年终考核目标，紧紧依靠全体行政干部与教职工，收心归位、聚力开局，守牢财务底线、安全红线、教学质量生命线、师德保命线，全面提升学风、班风、校风，推动学校高质量发展。</w:t>
      </w:r>
    </w:p>
    <w:p w14:paraId="35727AC6">
      <w:pPr>
        <w:bidi w:val="0"/>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二、部门预算单位构成</w:t>
      </w:r>
    </w:p>
    <w:p w14:paraId="0AA01C59">
      <w:pPr>
        <w:bidi w:val="0"/>
        <w:rPr>
          <w:rFonts w:hint="eastAsia" w:ascii="仿宋" w:hAnsi="仿宋" w:eastAsia="仿宋"/>
          <w:color w:val="auto"/>
          <w:sz w:val="32"/>
          <w:szCs w:val="32"/>
          <w:highlight w:val="none"/>
        </w:rPr>
      </w:pPr>
      <w:r>
        <w:rPr>
          <w:rFonts w:hint="eastAsia" w:ascii="仿宋" w:hAnsi="仿宋" w:eastAsia="仿宋" w:cs="仿宋"/>
          <w:bCs/>
          <w:color w:val="auto"/>
          <w:kern w:val="2"/>
          <w:sz w:val="32"/>
          <w:szCs w:val="32"/>
          <w:highlight w:val="none"/>
          <w:lang w:val="en-US" w:eastAsia="zh-CN" w:bidi="ar-SA"/>
        </w:rPr>
        <w:t>峨边彝族自治县职业高级中学校（职教中心）</w:t>
      </w:r>
      <w:r>
        <w:rPr>
          <w:rFonts w:hint="eastAsia" w:ascii="仿宋" w:hAnsi="仿宋" w:eastAsia="仿宋"/>
          <w:color w:val="auto"/>
          <w:sz w:val="32"/>
          <w:szCs w:val="32"/>
          <w:highlight w:val="none"/>
        </w:rPr>
        <w:t>预算单位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个，事业单位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w:t>
      </w:r>
    </w:p>
    <w:p w14:paraId="0F276211">
      <w:pPr>
        <w:bidi w:val="0"/>
        <w:rPr>
          <w:rFonts w:hint="eastAsia" w:ascii="仿宋" w:hAnsi="仿宋" w:eastAsia="仿宋"/>
          <w:color w:val="auto"/>
          <w:sz w:val="32"/>
          <w:szCs w:val="32"/>
          <w:highlight w:val="none"/>
        </w:rPr>
      </w:pPr>
      <w:r>
        <w:rPr>
          <w:rFonts w:hint="eastAsia" w:ascii="仿宋" w:hAnsi="仿宋" w:eastAsia="仿宋" w:cs="仿宋"/>
          <w:bCs/>
          <w:color w:val="auto"/>
          <w:kern w:val="2"/>
          <w:sz w:val="32"/>
          <w:szCs w:val="32"/>
          <w:highlight w:val="none"/>
          <w:lang w:val="en-US" w:eastAsia="zh-CN" w:bidi="ar-SA"/>
        </w:rPr>
        <w:t>峨边彝族自治县职业高级中学校（职教中心）</w:t>
      </w:r>
      <w:r>
        <w:rPr>
          <w:rFonts w:hint="eastAsia" w:ascii="仿宋" w:hAnsi="仿宋" w:eastAsia="仿宋"/>
          <w:color w:val="auto"/>
          <w:sz w:val="32"/>
          <w:szCs w:val="32"/>
          <w:highlight w:val="none"/>
        </w:rPr>
        <w:t>总编制</w:t>
      </w:r>
      <w:r>
        <w:rPr>
          <w:rFonts w:hint="eastAsia" w:ascii="仿宋" w:hAnsi="仿宋"/>
          <w:color w:val="auto"/>
          <w:sz w:val="32"/>
          <w:szCs w:val="32"/>
          <w:highlight w:val="none"/>
          <w:lang w:val="en-US" w:eastAsia="zh-CN"/>
        </w:rPr>
        <w:t>28</w:t>
      </w:r>
      <w:r>
        <w:rPr>
          <w:rFonts w:hint="eastAsia" w:ascii="仿宋" w:hAnsi="仿宋" w:eastAsia="仿宋"/>
          <w:color w:val="auto"/>
          <w:sz w:val="32"/>
          <w:szCs w:val="32"/>
          <w:highlight w:val="none"/>
        </w:rPr>
        <w:t>名，其中：行政编制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名，工勤编制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名，事业编制</w:t>
      </w:r>
      <w:r>
        <w:rPr>
          <w:rFonts w:hint="eastAsia" w:ascii="仿宋" w:hAnsi="仿宋"/>
          <w:color w:val="auto"/>
          <w:sz w:val="32"/>
          <w:szCs w:val="32"/>
          <w:highlight w:val="none"/>
          <w:lang w:val="en-US" w:eastAsia="zh-CN"/>
        </w:rPr>
        <w:t>28</w:t>
      </w:r>
      <w:r>
        <w:rPr>
          <w:rFonts w:hint="eastAsia" w:ascii="仿宋" w:hAnsi="仿宋" w:eastAsia="仿宋"/>
          <w:color w:val="auto"/>
          <w:sz w:val="32"/>
          <w:szCs w:val="32"/>
          <w:highlight w:val="none"/>
        </w:rPr>
        <w:t>名。在职人员总数</w:t>
      </w:r>
      <w:r>
        <w:rPr>
          <w:rFonts w:hint="eastAsia" w:ascii="仿宋" w:hAnsi="仿宋"/>
          <w:color w:val="auto"/>
          <w:sz w:val="32"/>
          <w:szCs w:val="32"/>
          <w:highlight w:val="none"/>
          <w:lang w:val="en-US" w:eastAsia="zh-CN"/>
        </w:rPr>
        <w:t>28</w:t>
      </w:r>
      <w:r>
        <w:rPr>
          <w:rFonts w:hint="eastAsia" w:ascii="仿宋" w:hAnsi="仿宋" w:eastAsia="仿宋"/>
          <w:color w:val="auto"/>
          <w:sz w:val="32"/>
          <w:szCs w:val="32"/>
          <w:highlight w:val="none"/>
        </w:rPr>
        <w:t>名，其中：行政</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名，工勤</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w:t>
      </w:r>
      <w:r>
        <w:rPr>
          <w:rFonts w:hint="eastAsia" w:ascii="仿宋" w:hAnsi="仿宋"/>
          <w:color w:val="auto"/>
          <w:sz w:val="32"/>
          <w:szCs w:val="32"/>
          <w:highlight w:val="none"/>
          <w:lang w:val="en-US" w:eastAsia="zh-CN"/>
        </w:rPr>
        <w:t>28</w:t>
      </w:r>
      <w:r>
        <w:rPr>
          <w:rFonts w:hint="eastAsia" w:ascii="仿宋" w:hAnsi="仿宋" w:eastAsia="仿宋"/>
          <w:color w:val="auto"/>
          <w:sz w:val="32"/>
          <w:szCs w:val="32"/>
          <w:highlight w:val="none"/>
        </w:rPr>
        <w:t>名。离休</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w:t>
      </w:r>
    </w:p>
    <w:p w14:paraId="47E104DE">
      <w:pPr>
        <w:spacing w:line="600" w:lineRule="exact"/>
        <w:ind w:firstLine="640" w:firstLineChars="200"/>
        <w:rPr>
          <w:rFonts w:hint="eastAsia" w:ascii="仿宋" w:hAnsi="仿宋" w:eastAsia="仿宋"/>
          <w:color w:val="auto"/>
          <w:sz w:val="32"/>
          <w:szCs w:val="32"/>
          <w:highlight w:val="none"/>
        </w:rPr>
      </w:pPr>
    </w:p>
    <w:p w14:paraId="532F45BE">
      <w:pPr>
        <w:spacing w:line="600" w:lineRule="exact"/>
        <w:ind w:firstLine="640" w:firstLineChars="200"/>
        <w:rPr>
          <w:rFonts w:hint="eastAsia" w:ascii="仿宋" w:hAnsi="仿宋" w:eastAsia="仿宋"/>
          <w:color w:val="auto"/>
          <w:sz w:val="32"/>
          <w:szCs w:val="32"/>
          <w:highlight w:val="none"/>
        </w:rPr>
      </w:pPr>
    </w:p>
    <w:p w14:paraId="68BC7A1C">
      <w:pPr>
        <w:spacing w:line="600" w:lineRule="exact"/>
        <w:ind w:firstLine="640" w:firstLineChars="200"/>
        <w:rPr>
          <w:rFonts w:hint="eastAsia" w:ascii="仿宋" w:hAnsi="仿宋" w:eastAsia="仿宋"/>
          <w:color w:val="auto"/>
          <w:sz w:val="32"/>
          <w:szCs w:val="32"/>
          <w:highlight w:val="none"/>
        </w:rPr>
      </w:pPr>
    </w:p>
    <w:p w14:paraId="2222FE8D">
      <w:pPr>
        <w:pStyle w:val="2"/>
        <w:numPr>
          <w:ilvl w:val="0"/>
          <w:numId w:val="0"/>
        </w:numPr>
        <w:bidi w:val="0"/>
        <w:jc w:val="both"/>
        <w:rPr>
          <w:rFonts w:hint="eastAsia" w:ascii="方正小标宋简体" w:hAnsi="方正小标宋简体" w:eastAsia="方正小标宋简体" w:cs="方正小标宋简体"/>
          <w:b w:val="0"/>
          <w:bCs/>
          <w:color w:val="auto"/>
          <w:highlight w:val="none"/>
          <w:lang w:val="en-US" w:eastAsia="zh-CN"/>
        </w:rPr>
      </w:pPr>
    </w:p>
    <w:p w14:paraId="39C5073D">
      <w:pPr>
        <w:pStyle w:val="2"/>
        <w:numPr>
          <w:ilvl w:val="0"/>
          <w:numId w:val="0"/>
        </w:numPr>
        <w:bidi w:val="0"/>
        <w:jc w:val="both"/>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第二部分  峨边彝族自治县</w:t>
      </w:r>
      <w:r>
        <w:rPr>
          <w:rFonts w:hint="eastAsia" w:ascii="方正小标宋简体" w:hAnsi="方正小标宋简体" w:eastAsia="方正小标宋简体" w:cs="方正小标宋简体"/>
          <w:b w:val="0"/>
          <w:bCs/>
          <w:color w:val="auto"/>
          <w:kern w:val="2"/>
          <w:sz w:val="52"/>
          <w:szCs w:val="52"/>
          <w:highlight w:val="none"/>
          <w:lang w:val="en-US" w:eastAsia="zh-CN" w:bidi="ar-SA"/>
        </w:rPr>
        <w:t>职业高级中学校（职教中心）</w:t>
      </w:r>
      <w:r>
        <w:rPr>
          <w:rFonts w:hint="eastAsia" w:ascii="方正小标宋简体" w:hAnsi="方正小标宋简体" w:eastAsia="方正小标宋简体" w:cs="方正小标宋简体"/>
          <w:b w:val="0"/>
          <w:bCs/>
          <w:color w:val="auto"/>
          <w:sz w:val="52"/>
          <w:szCs w:val="52"/>
          <w:highlight w:val="none"/>
          <w:lang w:val="en-US" w:eastAsia="zh-CN"/>
        </w:rPr>
        <w:t>2026年预算表</w:t>
      </w:r>
    </w:p>
    <w:p w14:paraId="4BBB0325">
      <w:pPr>
        <w:spacing w:line="600" w:lineRule="exact"/>
        <w:rPr>
          <w:rFonts w:hint="default" w:ascii="仿宋" w:hAnsi="仿宋" w:eastAsia="仿宋" w:cs="Times New Roman"/>
          <w:color w:val="auto"/>
          <w:sz w:val="32"/>
          <w:szCs w:val="32"/>
          <w:highlight w:val="none"/>
          <w:lang w:val="en-US" w:eastAsia="zh-CN"/>
        </w:rPr>
      </w:pPr>
    </w:p>
    <w:p w14:paraId="1AB98718">
      <w:pPr>
        <w:spacing w:line="600" w:lineRule="exact"/>
        <w:rPr>
          <w:rFonts w:hint="default" w:ascii="仿宋" w:hAnsi="仿宋" w:eastAsia="仿宋" w:cs="Times New Roman"/>
          <w:color w:val="auto"/>
          <w:sz w:val="32"/>
          <w:szCs w:val="32"/>
          <w:highlight w:val="none"/>
          <w:lang w:val="en-US" w:eastAsia="zh-CN"/>
        </w:rPr>
      </w:pPr>
    </w:p>
    <w:p w14:paraId="6B6D07C1">
      <w:pPr>
        <w:spacing w:line="600" w:lineRule="exact"/>
        <w:rPr>
          <w:rFonts w:hint="default" w:ascii="仿宋" w:hAnsi="仿宋" w:eastAsia="仿宋" w:cs="Times New Roman"/>
          <w:color w:val="auto"/>
          <w:sz w:val="32"/>
          <w:szCs w:val="32"/>
          <w:highlight w:val="none"/>
          <w:lang w:val="en-US" w:eastAsia="zh-CN"/>
        </w:rPr>
      </w:pPr>
    </w:p>
    <w:p w14:paraId="74FDA39D">
      <w:pPr>
        <w:spacing w:line="600" w:lineRule="exact"/>
        <w:rPr>
          <w:rFonts w:hint="default" w:ascii="仿宋" w:hAnsi="仿宋" w:eastAsia="仿宋" w:cs="Times New Roman"/>
          <w:color w:val="auto"/>
          <w:sz w:val="32"/>
          <w:szCs w:val="32"/>
          <w:highlight w:val="none"/>
          <w:lang w:val="en-US" w:eastAsia="zh-CN"/>
        </w:rPr>
      </w:pPr>
    </w:p>
    <w:p w14:paraId="57030EDC">
      <w:pPr>
        <w:spacing w:line="600" w:lineRule="exact"/>
        <w:rPr>
          <w:rFonts w:hint="default" w:ascii="仿宋" w:hAnsi="仿宋" w:eastAsia="仿宋" w:cs="Times New Roman"/>
          <w:color w:val="auto"/>
          <w:sz w:val="32"/>
          <w:szCs w:val="32"/>
          <w:highlight w:val="none"/>
          <w:lang w:val="en-US" w:eastAsia="zh-CN"/>
        </w:rPr>
      </w:pPr>
    </w:p>
    <w:p w14:paraId="7558659D">
      <w:pPr>
        <w:spacing w:line="600" w:lineRule="exact"/>
        <w:rPr>
          <w:rFonts w:hint="default" w:ascii="仿宋" w:hAnsi="仿宋" w:eastAsia="仿宋" w:cs="Times New Roman"/>
          <w:color w:val="auto"/>
          <w:sz w:val="32"/>
          <w:szCs w:val="32"/>
          <w:highlight w:val="none"/>
          <w:lang w:val="en-US" w:eastAsia="zh-CN"/>
        </w:rPr>
      </w:pPr>
    </w:p>
    <w:p w14:paraId="061788C9">
      <w:pPr>
        <w:spacing w:line="600" w:lineRule="exact"/>
        <w:rPr>
          <w:rFonts w:hint="default" w:ascii="仿宋" w:hAnsi="仿宋" w:eastAsia="仿宋" w:cs="Times New Roman"/>
          <w:color w:val="auto"/>
          <w:sz w:val="32"/>
          <w:szCs w:val="32"/>
          <w:highlight w:val="none"/>
          <w:lang w:val="en-US" w:eastAsia="zh-CN"/>
        </w:rPr>
      </w:pPr>
    </w:p>
    <w:p w14:paraId="451EC2B7">
      <w:pPr>
        <w:spacing w:line="600" w:lineRule="exact"/>
        <w:rPr>
          <w:rFonts w:hint="default" w:ascii="仿宋" w:hAnsi="仿宋" w:eastAsia="仿宋" w:cs="Times New Roman"/>
          <w:color w:val="auto"/>
          <w:sz w:val="32"/>
          <w:szCs w:val="32"/>
          <w:highlight w:val="none"/>
          <w:lang w:val="en-US" w:eastAsia="zh-CN"/>
        </w:rPr>
      </w:pPr>
    </w:p>
    <w:p w14:paraId="14640EDD">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详见附件2：</w:t>
      </w:r>
      <w:r>
        <w:rPr>
          <w:rFonts w:hint="eastAsia" w:ascii="仿宋" w:hAnsi="仿宋" w:eastAsia="仿宋"/>
          <w:color w:val="auto"/>
          <w:sz w:val="32"/>
          <w:szCs w:val="32"/>
          <w:highlight w:val="none"/>
          <w:lang w:val="en-US" w:eastAsia="zh-CN"/>
        </w:rPr>
        <w:t>峨边彝族自治县职业高级中学校（职教中心）</w:t>
      </w:r>
      <w:r>
        <w:rPr>
          <w:rFonts w:hint="eastAsia" w:ascii="仿宋_GB2312" w:hAnsi="仿宋_GB2312" w:eastAsia="仿宋_GB2312" w:cs="仿宋_GB2312"/>
          <w:color w:val="auto"/>
          <w:sz w:val="32"/>
          <w:szCs w:val="32"/>
          <w:highlight w:val="none"/>
          <w:lang w:val="en-US" w:eastAsia="zh-CN"/>
        </w:rPr>
        <w:t xml:space="preserve">预算公开报表  </w:t>
      </w:r>
    </w:p>
    <w:p w14:paraId="0D158229">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21CBEC53">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第三部分  峨边彝族自治县</w:t>
      </w:r>
      <w:r>
        <w:rPr>
          <w:rFonts w:hint="eastAsia" w:ascii="方正小标宋简体" w:hAnsi="方正小标宋简体" w:eastAsia="方正小标宋简体" w:cs="方正小标宋简体"/>
          <w:b w:val="0"/>
          <w:bCs/>
          <w:color w:val="auto"/>
          <w:kern w:val="2"/>
          <w:sz w:val="52"/>
          <w:szCs w:val="52"/>
          <w:highlight w:val="none"/>
          <w:lang w:val="en-US" w:eastAsia="zh-CN" w:bidi="ar-SA"/>
        </w:rPr>
        <w:t>职业高级中学校（职教中心）</w:t>
      </w:r>
    </w:p>
    <w:p w14:paraId="0FD7D72F">
      <w:pPr>
        <w:pStyle w:val="3"/>
        <w:numPr>
          <w:ilvl w:val="1"/>
          <w:numId w:val="0"/>
        </w:numPr>
        <w:tabs>
          <w:tab w:val="clear" w:pos="1080"/>
          <w:tab w:val="clear" w:pos="2422"/>
        </w:tabs>
        <w:bidi w:val="0"/>
        <w:jc w:val="center"/>
        <w:rPr>
          <w:rFonts w:hint="default"/>
          <w:b/>
          <w:bCs/>
          <w:color w:val="auto"/>
          <w:sz w:val="52"/>
          <w:szCs w:val="52"/>
          <w:highlight w:val="none"/>
          <w:lang w:val="en-US" w:eastAsia="zh-CN"/>
        </w:rPr>
      </w:pPr>
      <w:r>
        <w:rPr>
          <w:rFonts w:hint="eastAsia" w:ascii="方正小标宋简体" w:hAnsi="方正小标宋简体" w:eastAsia="方正小标宋简体" w:cs="方正小标宋简体"/>
          <w:b w:val="0"/>
          <w:bCs/>
          <w:color w:val="auto"/>
          <w:sz w:val="52"/>
          <w:szCs w:val="52"/>
          <w:highlight w:val="none"/>
          <w:lang w:val="en-US" w:eastAsia="zh-CN"/>
        </w:rPr>
        <w:t>2026年预算情况说明</w:t>
      </w:r>
    </w:p>
    <w:p w14:paraId="5DB63059">
      <w:pPr>
        <w:pStyle w:val="4"/>
        <w:bidi w:val="0"/>
        <w:rPr>
          <w:rFonts w:hint="eastAsia" w:ascii="黑体" w:hAnsi="黑体" w:eastAsia="黑体" w:cs="黑体"/>
          <w:b w:val="0"/>
          <w:bCs/>
          <w:color w:val="auto"/>
          <w:highlight w:val="none"/>
          <w:lang w:val="en-US" w:eastAsia="zh-CN"/>
        </w:rPr>
      </w:pPr>
    </w:p>
    <w:p w14:paraId="5865C4FD">
      <w:pPr>
        <w:pStyle w:val="4"/>
        <w:bidi w:val="0"/>
        <w:rPr>
          <w:rFonts w:hint="eastAsia" w:ascii="黑体" w:hAnsi="黑体" w:eastAsia="黑体" w:cs="黑体"/>
          <w:b w:val="0"/>
          <w:bCs/>
          <w:color w:val="auto"/>
          <w:highlight w:val="none"/>
          <w:lang w:val="en-US" w:eastAsia="zh-CN"/>
        </w:rPr>
      </w:pPr>
    </w:p>
    <w:p w14:paraId="03060F5D">
      <w:pPr>
        <w:rPr>
          <w:rFonts w:hint="eastAsia"/>
          <w:color w:val="auto"/>
          <w:highlight w:val="none"/>
          <w:lang w:val="en-US" w:eastAsia="zh-CN"/>
        </w:rPr>
      </w:pPr>
    </w:p>
    <w:p w14:paraId="6BCED718">
      <w:pPr>
        <w:rPr>
          <w:rFonts w:hint="eastAsia"/>
          <w:color w:val="auto"/>
          <w:highlight w:val="none"/>
          <w:lang w:val="en-US" w:eastAsia="zh-CN"/>
        </w:rPr>
      </w:pPr>
    </w:p>
    <w:p w14:paraId="21DDED52">
      <w:pPr>
        <w:pStyle w:val="4"/>
        <w:bidi w:val="0"/>
        <w:rPr>
          <w:rFonts w:hint="eastAsia" w:ascii="黑体" w:hAnsi="黑体" w:eastAsia="黑体" w:cs="黑体"/>
          <w:b w:val="0"/>
          <w:bCs/>
          <w:color w:val="auto"/>
          <w:highlight w:val="none"/>
          <w:lang w:val="en-US" w:eastAsia="zh-CN"/>
        </w:rPr>
      </w:pPr>
    </w:p>
    <w:p w14:paraId="70A3BC06">
      <w:pPr>
        <w:rPr>
          <w:rFonts w:hint="eastAsia"/>
          <w:lang w:val="en-US" w:eastAsia="zh-CN"/>
        </w:rPr>
      </w:pPr>
    </w:p>
    <w:p w14:paraId="424E16B6">
      <w:pPr>
        <w:pStyle w:val="4"/>
        <w:bidi w:val="0"/>
        <w:ind w:left="0" w:leftChars="0" w:firstLine="0" w:firstLineChars="0"/>
        <w:rPr>
          <w:rFonts w:hint="eastAsia" w:ascii="黑体" w:hAnsi="黑体" w:eastAsia="黑体" w:cs="黑体"/>
          <w:b w:val="0"/>
          <w:bCs/>
          <w:color w:val="auto"/>
          <w:highlight w:val="none"/>
          <w:lang w:val="en-US" w:eastAsia="zh-CN"/>
        </w:rPr>
      </w:pPr>
    </w:p>
    <w:p w14:paraId="2ED692EA">
      <w:pPr>
        <w:rPr>
          <w:rFonts w:hint="eastAsia"/>
          <w:lang w:val="en-US" w:eastAsia="zh-CN"/>
        </w:rPr>
      </w:pPr>
    </w:p>
    <w:p w14:paraId="6668E63F">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一、收支预算情况说明</w:t>
      </w:r>
    </w:p>
    <w:p w14:paraId="7635BCA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按照综合预算的原则，</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sz w:val="32"/>
          <w:szCs w:val="32"/>
          <w:highlight w:val="none"/>
          <w:lang w:val="en-US" w:eastAsia="zh-CN"/>
        </w:rPr>
        <w:t>所有收入和支出均纳入部门预算管理。收入包括：一般公共预算拨款收入；支出包括：教育支出、社会保障和就业支出、卫生健康支出、住房保障支出。</w:t>
      </w:r>
    </w:p>
    <w:p w14:paraId="2201CCF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年收支总预算</w:t>
      </w:r>
      <w:r>
        <w:rPr>
          <w:rFonts w:hint="eastAsia" w:ascii="Times New Roman" w:hAnsi="Times New Roman" w:eastAsia="仿宋_GB2312" w:cs="仿宋_GB2312"/>
          <w:color w:val="auto"/>
          <w:kern w:val="0"/>
          <w:sz w:val="32"/>
          <w:szCs w:val="32"/>
          <w:highlight w:val="none"/>
          <w:lang w:val="en-US" w:eastAsia="zh-CN"/>
        </w:rPr>
        <w:t>485.72</w:t>
      </w:r>
      <w:r>
        <w:rPr>
          <w:rFonts w:hint="eastAsia" w:ascii="Times New Roman" w:hAnsi="Times New Roman" w:eastAsia="仿宋_GB2312" w:cs="仿宋_GB2312"/>
          <w:color w:val="auto"/>
          <w:kern w:val="0"/>
          <w:sz w:val="32"/>
          <w:szCs w:val="32"/>
          <w:highlight w:val="none"/>
        </w:rPr>
        <w:t>万元，比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年收支预算总数增加</w:t>
      </w:r>
      <w:r>
        <w:rPr>
          <w:rFonts w:hint="eastAsia" w:ascii="Times New Roman" w:hAnsi="Times New Roman" w:eastAsia="仿宋_GB2312" w:cs="仿宋_GB2312"/>
          <w:color w:val="auto"/>
          <w:kern w:val="0"/>
          <w:sz w:val="32"/>
          <w:szCs w:val="32"/>
          <w:highlight w:val="none"/>
          <w:lang w:val="en-US" w:eastAsia="zh-CN"/>
        </w:rPr>
        <w:t>79.07</w:t>
      </w:r>
      <w:r>
        <w:rPr>
          <w:rFonts w:hint="eastAsia" w:ascii="Times New Roman" w:hAnsi="Times New Roman" w:eastAsia="仿宋_GB2312" w:cs="仿宋_GB2312"/>
          <w:color w:val="auto"/>
          <w:kern w:val="0"/>
          <w:sz w:val="32"/>
          <w:szCs w:val="32"/>
          <w:highlight w:val="none"/>
        </w:rPr>
        <w:t>万元，主要</w:t>
      </w:r>
      <w:r>
        <w:rPr>
          <w:rFonts w:hint="eastAsia" w:ascii="Times New Roman" w:hAnsi="Times New Roman" w:eastAsia="仿宋_GB2312" w:cs="仿宋_GB2312"/>
          <w:color w:val="auto"/>
          <w:kern w:val="0"/>
          <w:sz w:val="32"/>
          <w:szCs w:val="32"/>
          <w:highlight w:val="none"/>
          <w:lang w:eastAsia="zh-CN"/>
        </w:rPr>
        <w:t>原因是</w:t>
      </w:r>
      <w:r>
        <w:rPr>
          <w:rFonts w:hint="eastAsia" w:ascii="Times New Roman" w:hAnsi="Times New Roman" w:eastAsia="仿宋_GB2312" w:cs="仿宋_GB2312"/>
          <w:color w:val="auto"/>
          <w:kern w:val="0"/>
          <w:sz w:val="32"/>
          <w:szCs w:val="32"/>
          <w:highlight w:val="none"/>
          <w:lang w:val="en-US" w:eastAsia="zh-CN"/>
        </w:rPr>
        <w:t>学生人数增多，运转项目经费增加，上年结转29.73万元</w:t>
      </w:r>
      <w:r>
        <w:rPr>
          <w:rFonts w:hint="eastAsia" w:ascii="Times New Roman" w:hAnsi="Times New Roman" w:eastAsia="仿宋_GB2312" w:cs="仿宋_GB2312"/>
          <w:color w:val="auto"/>
          <w:kern w:val="0"/>
          <w:sz w:val="32"/>
          <w:szCs w:val="32"/>
          <w:highlight w:val="none"/>
        </w:rPr>
        <w:t>。</w:t>
      </w:r>
    </w:p>
    <w:p w14:paraId="279A9EF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（一）收入预算情况</w:t>
      </w:r>
    </w:p>
    <w:p w14:paraId="76AC2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年收入预算</w:t>
      </w:r>
      <w:r>
        <w:rPr>
          <w:rFonts w:hint="eastAsia" w:ascii="Times New Roman" w:hAnsi="Times New Roman" w:eastAsia="仿宋_GB2312" w:cs="仿宋_GB2312"/>
          <w:color w:val="auto"/>
          <w:kern w:val="0"/>
          <w:sz w:val="32"/>
          <w:szCs w:val="32"/>
          <w:highlight w:val="none"/>
          <w:lang w:val="en-US" w:eastAsia="zh-CN"/>
        </w:rPr>
        <w:t>485.72</w:t>
      </w:r>
      <w:r>
        <w:rPr>
          <w:rFonts w:hint="eastAsia" w:ascii="Times New Roman" w:hAnsi="Times New Roman" w:eastAsia="仿宋_GB2312" w:cs="仿宋_GB2312"/>
          <w:color w:val="auto"/>
          <w:kern w:val="0"/>
          <w:sz w:val="32"/>
          <w:szCs w:val="32"/>
          <w:highlight w:val="none"/>
        </w:rPr>
        <w:t>万元，其中：上年结转</w:t>
      </w:r>
      <w:r>
        <w:rPr>
          <w:rFonts w:hint="eastAsia" w:ascii="Times New Roman" w:hAnsi="Times New Roman" w:eastAsia="仿宋_GB2312" w:cs="仿宋_GB2312"/>
          <w:color w:val="auto"/>
          <w:kern w:val="0"/>
          <w:sz w:val="32"/>
          <w:szCs w:val="32"/>
          <w:highlight w:val="none"/>
          <w:lang w:val="en-US" w:eastAsia="zh-CN"/>
        </w:rPr>
        <w:t>29.73</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6.12</w:t>
      </w:r>
      <w:r>
        <w:rPr>
          <w:rFonts w:hint="eastAsia" w:ascii="Times New Roman" w:hAnsi="Times New Roman" w:eastAsia="仿宋_GB2312" w:cs="仿宋_GB2312"/>
          <w:color w:val="auto"/>
          <w:kern w:val="0"/>
          <w:sz w:val="32"/>
          <w:szCs w:val="32"/>
          <w:highlight w:val="none"/>
        </w:rPr>
        <w:t>%；一般公共预算拨款收入</w:t>
      </w:r>
      <w:r>
        <w:rPr>
          <w:rFonts w:hint="eastAsia" w:ascii="Times New Roman" w:hAnsi="Times New Roman" w:eastAsia="仿宋_GB2312" w:cs="仿宋_GB2312"/>
          <w:color w:val="auto"/>
          <w:kern w:val="0"/>
          <w:sz w:val="32"/>
          <w:szCs w:val="32"/>
          <w:highlight w:val="none"/>
          <w:lang w:val="en-US" w:eastAsia="zh-CN"/>
        </w:rPr>
        <w:t>455.99</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93.88</w:t>
      </w:r>
      <w:r>
        <w:rPr>
          <w:rFonts w:hint="eastAsia" w:ascii="Times New Roman" w:hAnsi="Times New Roman" w:eastAsia="仿宋_GB2312" w:cs="仿宋_GB2312"/>
          <w:color w:val="auto"/>
          <w:kern w:val="0"/>
          <w:sz w:val="32"/>
          <w:szCs w:val="32"/>
          <w:highlight w:val="none"/>
        </w:rPr>
        <w:t>%。</w:t>
      </w:r>
    </w:p>
    <w:p w14:paraId="13C9F425">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highlight w:val="none"/>
          <w:lang w:val="en-US" w:eastAsia="zh-CN"/>
        </w:rPr>
      </w:pPr>
      <w:r>
        <w:rPr>
          <w:rFonts w:hint="eastAsia" w:ascii="Times New Roman" w:hAnsi="Times New Roman" w:eastAsia="楷体_GB2312" w:cs="Times New Roman"/>
          <w:b w:val="0"/>
          <w:bCs/>
          <w:color w:val="auto"/>
          <w:sz w:val="32"/>
          <w:szCs w:val="32"/>
          <w:highlight w:val="none"/>
        </w:rPr>
        <w:t>（二）支出预算情况</w:t>
      </w:r>
    </w:p>
    <w:p w14:paraId="48FD5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年支出预算</w:t>
      </w:r>
      <w:r>
        <w:rPr>
          <w:rFonts w:hint="eastAsia" w:ascii="Times New Roman" w:hAnsi="Times New Roman" w:eastAsia="仿宋_GB2312" w:cs="仿宋_GB2312"/>
          <w:color w:val="auto"/>
          <w:kern w:val="0"/>
          <w:sz w:val="32"/>
          <w:szCs w:val="32"/>
          <w:highlight w:val="none"/>
          <w:lang w:val="en-US" w:eastAsia="zh-CN"/>
        </w:rPr>
        <w:t>485.72</w:t>
      </w:r>
      <w:r>
        <w:rPr>
          <w:rFonts w:hint="eastAsia" w:ascii="Times New Roman" w:hAnsi="Times New Roman" w:eastAsia="仿宋_GB2312" w:cs="仿宋_GB2312"/>
          <w:color w:val="auto"/>
          <w:kern w:val="0"/>
          <w:sz w:val="32"/>
          <w:szCs w:val="32"/>
          <w:highlight w:val="none"/>
        </w:rPr>
        <w:t>万元，其中：基本支出</w:t>
      </w:r>
      <w:r>
        <w:rPr>
          <w:rFonts w:hint="eastAsia" w:ascii="Times New Roman" w:hAnsi="Times New Roman" w:eastAsia="仿宋_GB2312" w:cs="仿宋_GB2312"/>
          <w:color w:val="auto"/>
          <w:kern w:val="0"/>
          <w:sz w:val="32"/>
          <w:szCs w:val="32"/>
          <w:highlight w:val="none"/>
          <w:lang w:val="en-US" w:eastAsia="zh-CN"/>
        </w:rPr>
        <w:t>455.99</w:t>
      </w:r>
      <w:r>
        <w:rPr>
          <w:rFonts w:hint="eastAsia" w:ascii="Times New Roman" w:hAnsi="Times New Roman" w:eastAsia="仿宋_GB2312" w:cs="仿宋_GB2312"/>
          <w:color w:val="auto"/>
          <w:kern w:val="0"/>
          <w:sz w:val="32"/>
          <w:szCs w:val="32"/>
          <w:highlight w:val="none"/>
        </w:rPr>
        <w:t>，占</w:t>
      </w:r>
      <w:r>
        <w:rPr>
          <w:rFonts w:hint="eastAsia" w:ascii="Times New Roman" w:hAnsi="Times New Roman" w:eastAsia="仿宋_GB2312" w:cs="仿宋_GB2312"/>
          <w:color w:val="auto"/>
          <w:kern w:val="0"/>
          <w:sz w:val="32"/>
          <w:szCs w:val="32"/>
          <w:highlight w:val="none"/>
          <w:lang w:val="en-US" w:eastAsia="zh-CN"/>
        </w:rPr>
        <w:t>93.88</w:t>
      </w:r>
      <w:r>
        <w:rPr>
          <w:rFonts w:hint="eastAsia" w:ascii="Times New Roman" w:hAnsi="Times New Roman" w:eastAsia="仿宋_GB2312" w:cs="仿宋_GB2312"/>
          <w:color w:val="auto"/>
          <w:kern w:val="0"/>
          <w:sz w:val="32"/>
          <w:szCs w:val="32"/>
          <w:highlight w:val="none"/>
        </w:rPr>
        <w:t>%；项目支出</w:t>
      </w:r>
      <w:r>
        <w:rPr>
          <w:rFonts w:hint="eastAsia" w:ascii="Times New Roman" w:hAnsi="Times New Roman" w:eastAsia="仿宋_GB2312" w:cs="仿宋_GB2312"/>
          <w:color w:val="auto"/>
          <w:kern w:val="0"/>
          <w:sz w:val="32"/>
          <w:szCs w:val="32"/>
          <w:highlight w:val="none"/>
          <w:lang w:val="en-US" w:eastAsia="zh-CN"/>
        </w:rPr>
        <w:t>29.73</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6.12</w:t>
      </w:r>
      <w:r>
        <w:rPr>
          <w:rFonts w:hint="eastAsia" w:ascii="Times New Roman" w:hAnsi="Times New Roman" w:eastAsia="仿宋_GB2312" w:cs="仿宋_GB2312"/>
          <w:color w:val="auto"/>
          <w:kern w:val="0"/>
          <w:sz w:val="32"/>
          <w:szCs w:val="32"/>
          <w:highlight w:val="none"/>
        </w:rPr>
        <w:t>%。</w:t>
      </w:r>
    </w:p>
    <w:p w14:paraId="4968DA01">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二、财政拨款收支预算情况说明</w:t>
      </w:r>
    </w:p>
    <w:p w14:paraId="308E4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485.72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增加79.07</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val="en-US" w:eastAsia="zh-CN"/>
        </w:rPr>
        <w:t>学生人数增多，运转项目经费增加，上年结转29.73万元。</w:t>
      </w:r>
    </w:p>
    <w:p w14:paraId="5642F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收入包括：本年一般公共预算拨款收入</w:t>
      </w:r>
      <w:r>
        <w:rPr>
          <w:rFonts w:hint="eastAsia" w:ascii="Times New Roman" w:hAnsi="Times New Roman" w:eastAsia="仿宋_GB2312" w:cs="仿宋_GB2312"/>
          <w:color w:val="auto"/>
          <w:kern w:val="0"/>
          <w:sz w:val="32"/>
          <w:szCs w:val="32"/>
          <w:highlight w:val="none"/>
          <w:lang w:val="en-US" w:eastAsia="zh-CN"/>
        </w:rPr>
        <w:t>485.72</w:t>
      </w:r>
      <w:r>
        <w:rPr>
          <w:rFonts w:hint="eastAsia" w:ascii="Times New Roman" w:hAnsi="Times New Roman" w:eastAsia="仿宋_GB2312" w:cs="仿宋_GB2312"/>
          <w:color w:val="auto"/>
          <w:kern w:val="0"/>
          <w:sz w:val="32"/>
          <w:szCs w:val="32"/>
          <w:highlight w:val="none"/>
        </w:rPr>
        <w:t>万元；支出包括：</w:t>
      </w:r>
      <w:r>
        <w:rPr>
          <w:rFonts w:hint="eastAsia" w:ascii="Times New Roman" w:hAnsi="Times New Roman" w:eastAsia="仿宋_GB2312" w:cs="仿宋_GB2312"/>
          <w:color w:val="auto"/>
          <w:kern w:val="0"/>
          <w:sz w:val="32"/>
          <w:szCs w:val="32"/>
          <w:highlight w:val="none"/>
          <w:lang w:val="en-US" w:eastAsia="zh-CN"/>
        </w:rPr>
        <w:t>教育支出351.77万元、</w:t>
      </w:r>
      <w:r>
        <w:rPr>
          <w:rFonts w:hint="eastAsia" w:ascii="Times New Roman" w:hAnsi="Times New Roman" w:eastAsia="仿宋_GB2312" w:cs="仿宋_GB2312"/>
          <w:color w:val="auto"/>
          <w:kern w:val="0"/>
          <w:sz w:val="32"/>
          <w:szCs w:val="32"/>
          <w:highlight w:val="none"/>
        </w:rPr>
        <w:t>社会保障和就业支出</w:t>
      </w:r>
      <w:r>
        <w:rPr>
          <w:rFonts w:hint="eastAsia" w:ascii="Times New Roman" w:hAnsi="Times New Roman" w:eastAsia="仿宋_GB2312" w:cs="仿宋_GB2312"/>
          <w:color w:val="auto"/>
          <w:kern w:val="0"/>
          <w:sz w:val="32"/>
          <w:szCs w:val="32"/>
          <w:highlight w:val="none"/>
          <w:lang w:val="en-US" w:eastAsia="zh-CN"/>
        </w:rPr>
        <w:t>77.65</w:t>
      </w:r>
      <w:r>
        <w:rPr>
          <w:rFonts w:hint="eastAsia" w:ascii="Times New Roman" w:hAnsi="Times New Roman" w:eastAsia="仿宋_GB2312" w:cs="仿宋_GB2312"/>
          <w:color w:val="auto"/>
          <w:kern w:val="0"/>
          <w:sz w:val="32"/>
          <w:szCs w:val="32"/>
          <w:highlight w:val="none"/>
        </w:rPr>
        <w:t>万元、卫生健康支出</w:t>
      </w:r>
      <w:r>
        <w:rPr>
          <w:rFonts w:hint="eastAsia" w:ascii="Times New Roman" w:hAnsi="Times New Roman" w:eastAsia="仿宋_GB2312" w:cs="仿宋_GB2312"/>
          <w:color w:val="auto"/>
          <w:kern w:val="0"/>
          <w:sz w:val="32"/>
          <w:szCs w:val="32"/>
          <w:highlight w:val="none"/>
          <w:lang w:val="en-US" w:eastAsia="zh-CN"/>
        </w:rPr>
        <w:t>16.68</w:t>
      </w:r>
      <w:r>
        <w:rPr>
          <w:rFonts w:hint="eastAsia" w:ascii="Times New Roman" w:hAnsi="Times New Roman" w:eastAsia="仿宋_GB2312" w:cs="仿宋_GB2312"/>
          <w:color w:val="auto"/>
          <w:kern w:val="0"/>
          <w:sz w:val="32"/>
          <w:szCs w:val="32"/>
          <w:highlight w:val="none"/>
        </w:rPr>
        <w:t>万元，住</w:t>
      </w:r>
      <w:r>
        <w:rPr>
          <w:rFonts w:hint="eastAsia" w:ascii="Times New Roman" w:hAnsi="Times New Roman" w:eastAsia="仿宋_GB2312" w:cs="仿宋_GB2312"/>
          <w:color w:val="auto"/>
          <w:kern w:val="0"/>
          <w:sz w:val="32"/>
          <w:szCs w:val="32"/>
          <w:highlight w:val="none"/>
          <w:lang w:eastAsia="zh-CN"/>
        </w:rPr>
        <w:t>房</w:t>
      </w:r>
      <w:r>
        <w:rPr>
          <w:rFonts w:hint="eastAsia" w:ascii="Times New Roman" w:hAnsi="Times New Roman" w:eastAsia="仿宋_GB2312" w:cs="仿宋_GB2312"/>
          <w:color w:val="auto"/>
          <w:kern w:val="0"/>
          <w:sz w:val="32"/>
          <w:szCs w:val="32"/>
          <w:highlight w:val="none"/>
        </w:rPr>
        <w:t>保障支出</w:t>
      </w:r>
      <w:r>
        <w:rPr>
          <w:rFonts w:hint="eastAsia" w:ascii="Times New Roman" w:hAnsi="Times New Roman" w:eastAsia="仿宋_GB2312" w:cs="仿宋_GB2312"/>
          <w:color w:val="auto"/>
          <w:kern w:val="0"/>
          <w:sz w:val="32"/>
          <w:szCs w:val="32"/>
          <w:highlight w:val="none"/>
          <w:lang w:val="en-US" w:eastAsia="zh-CN"/>
        </w:rPr>
        <w:t>39.61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p>
    <w:p w14:paraId="4440C949">
      <w:pPr>
        <w:numPr>
          <w:ilvl w:val="0"/>
          <w:numId w:val="0"/>
        </w:numPr>
        <w:spacing w:line="600" w:lineRule="exact"/>
        <w:ind w:firstLine="640" w:firstLineChars="20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rPr>
        <w:t>三、一般公共预算当年拨款情况说明</w:t>
      </w:r>
    </w:p>
    <w:p w14:paraId="78A5381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（一）一般公共预算当年拨款规模及变化情况</w:t>
      </w:r>
    </w:p>
    <w:p w14:paraId="5508773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年一般公共预算当年拨款</w:t>
      </w:r>
      <w:r>
        <w:rPr>
          <w:rFonts w:hint="eastAsia" w:ascii="Times New Roman" w:hAnsi="Times New Roman" w:eastAsia="仿宋_GB2312" w:cs="仿宋_GB2312"/>
          <w:color w:val="auto"/>
          <w:kern w:val="0"/>
          <w:sz w:val="32"/>
          <w:szCs w:val="32"/>
          <w:highlight w:val="none"/>
          <w:lang w:val="en-US" w:eastAsia="zh-CN"/>
        </w:rPr>
        <w:t>455.99</w:t>
      </w:r>
      <w:r>
        <w:rPr>
          <w:rFonts w:hint="eastAsia" w:ascii="Times New Roman" w:hAnsi="Times New Roman" w:eastAsia="仿宋_GB2312" w:cs="仿宋_GB2312"/>
          <w:color w:val="auto"/>
          <w:kern w:val="0"/>
          <w:sz w:val="32"/>
          <w:szCs w:val="32"/>
          <w:highlight w:val="none"/>
        </w:rPr>
        <w:t>万元，较上年预算数增加</w:t>
      </w:r>
      <w:r>
        <w:rPr>
          <w:rFonts w:hint="eastAsia" w:ascii="Times New Roman" w:hAnsi="Times New Roman" w:eastAsia="仿宋_GB2312" w:cs="仿宋_GB2312"/>
          <w:color w:val="auto"/>
          <w:kern w:val="0"/>
          <w:sz w:val="32"/>
          <w:szCs w:val="32"/>
          <w:highlight w:val="none"/>
          <w:lang w:val="en-US" w:eastAsia="zh-CN"/>
        </w:rPr>
        <w:t>49.34</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val="en-US" w:eastAsia="zh-CN"/>
        </w:rPr>
        <w:t>学生人数增多，运转项目经费增加</w:t>
      </w:r>
      <w:r>
        <w:rPr>
          <w:rFonts w:hint="eastAsia" w:ascii="Times New Roman" w:hAnsi="Times New Roman" w:eastAsia="仿宋_GB2312" w:cs="仿宋_GB2312"/>
          <w:color w:val="auto"/>
          <w:kern w:val="0"/>
          <w:sz w:val="32"/>
          <w:szCs w:val="32"/>
          <w:highlight w:val="none"/>
        </w:rPr>
        <w:t>。</w:t>
      </w:r>
    </w:p>
    <w:p w14:paraId="4B423084">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（二）一般公共预算当年拨款结构情况</w:t>
      </w:r>
    </w:p>
    <w:p w14:paraId="187A545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中等职业教育支出322.05万元，</w:t>
      </w:r>
      <w:r>
        <w:rPr>
          <w:rFonts w:hint="eastAsia" w:ascii="Times New Roman" w:hAnsi="Times New Roman" w:eastAsia="仿宋_GB2312" w:cs="仿宋_GB2312"/>
          <w:color w:val="auto"/>
          <w:kern w:val="0"/>
          <w:sz w:val="32"/>
          <w:szCs w:val="32"/>
          <w:highlight w:val="none"/>
        </w:rPr>
        <w:t>占</w:t>
      </w:r>
      <w:r>
        <w:rPr>
          <w:rFonts w:hint="eastAsia" w:ascii="Times New Roman" w:hAnsi="Times New Roman" w:eastAsia="仿宋_GB2312" w:cs="仿宋_GB2312"/>
          <w:color w:val="auto"/>
          <w:kern w:val="0"/>
          <w:sz w:val="32"/>
          <w:szCs w:val="32"/>
          <w:highlight w:val="none"/>
          <w:lang w:val="en-US" w:eastAsia="zh-CN"/>
        </w:rPr>
        <w:t>70.63</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val="en-US" w:eastAsia="zh-CN"/>
        </w:rPr>
        <w:t>机关事业单位基本养老保险缴费支出48.92万元，占10.73%；机关事业单位职业年金缴费支出24.46万元，占5.36%；其他社会保障和就业支出4.28万元，占0.94%；事业单位医疗16.68万元，占3.66%；住房公积金39.61万元，占8.68%。</w:t>
      </w:r>
    </w:p>
    <w:p w14:paraId="00784063">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（三）一般公共预算当年拨款具体使用情况</w:t>
      </w:r>
    </w:p>
    <w:p w14:paraId="07FCED5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教育支出</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职业教育</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中等职业教育</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322.05</w:t>
      </w:r>
      <w:r>
        <w:rPr>
          <w:rFonts w:hint="eastAsia" w:ascii="Times New Roman" w:hAnsi="Times New Roman" w:eastAsia="仿宋_GB2312" w:cs="仿宋_GB2312"/>
          <w:color w:val="auto"/>
          <w:kern w:val="0"/>
          <w:sz w:val="32"/>
          <w:szCs w:val="32"/>
          <w:highlight w:val="none"/>
        </w:rPr>
        <w:t>万元，主要用于：单位正常运转的基本支出，包括基本工资、津贴补贴等人员经费以及办公费、印刷费、水电费等日常公用经费。</w:t>
      </w:r>
    </w:p>
    <w:p w14:paraId="734845B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lang w:eastAsia="zh-CN"/>
        </w:rPr>
        <w:t>社会保障和就业支出（类）行政事业单位养老支出（款）机关事业单位基本养老保险缴费支出（项）：2026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48.92</w:t>
      </w:r>
      <w:r>
        <w:rPr>
          <w:rFonts w:hint="eastAsia" w:ascii="Times New Roman" w:hAnsi="Times New Roman" w:eastAsia="仿宋_GB2312" w:cs="仿宋_GB2312"/>
          <w:color w:val="auto"/>
          <w:kern w:val="0"/>
          <w:sz w:val="32"/>
          <w:szCs w:val="32"/>
          <w:highlight w:val="none"/>
        </w:rPr>
        <w:t>万元，主要用于：实施养老保险制度后，部门按规定由单位缴纳的基本养老保险费支出。</w:t>
      </w:r>
    </w:p>
    <w:p w14:paraId="139533B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社会保障和就业支出（类）行政事业单位养老支出（款）机关事业单位职业年金缴费支出（项）：2026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24.46</w:t>
      </w:r>
      <w:r>
        <w:rPr>
          <w:rFonts w:hint="eastAsia" w:ascii="Times New Roman" w:hAnsi="Times New Roman" w:eastAsia="仿宋_GB2312" w:cs="仿宋_GB2312"/>
          <w:color w:val="auto"/>
          <w:kern w:val="0"/>
          <w:sz w:val="32"/>
          <w:szCs w:val="32"/>
          <w:highlight w:val="none"/>
        </w:rPr>
        <w:t>万元，主要用于：实施养老保险制度后，部门按规定由单位缴纳的职业年金支出。</w:t>
      </w:r>
    </w:p>
    <w:p w14:paraId="5E76FEC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lang w:eastAsia="zh-CN"/>
        </w:rPr>
        <w:t>社会保障和就业支出（类）其他社会保障和就业支出（款）其他社会保障和就业支出（项）：2026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4.28</w:t>
      </w:r>
      <w:r>
        <w:rPr>
          <w:rFonts w:hint="eastAsia" w:ascii="Times New Roman" w:hAnsi="Times New Roman" w:eastAsia="仿宋_GB2312" w:cs="仿宋_GB2312"/>
          <w:color w:val="auto"/>
          <w:kern w:val="0"/>
          <w:sz w:val="32"/>
          <w:szCs w:val="32"/>
          <w:highlight w:val="none"/>
        </w:rPr>
        <w:t>万元，主要用于：</w:t>
      </w:r>
      <w:r>
        <w:rPr>
          <w:rFonts w:hint="eastAsia" w:ascii="Times New Roman" w:hAnsi="Times New Roman" w:eastAsia="仿宋_GB2312" w:cs="仿宋_GB2312"/>
          <w:color w:val="auto"/>
          <w:kern w:val="0"/>
          <w:sz w:val="32"/>
          <w:szCs w:val="32"/>
          <w:highlight w:val="none"/>
          <w:lang w:eastAsia="zh-CN"/>
        </w:rPr>
        <w:t>实施养老保险制度后，部门按规定由单位缴纳的工伤、失业保险支出</w:t>
      </w:r>
      <w:r>
        <w:rPr>
          <w:rFonts w:hint="eastAsia" w:ascii="Times New Roman" w:hAnsi="Times New Roman" w:eastAsia="仿宋_GB2312" w:cs="仿宋_GB2312"/>
          <w:color w:val="auto"/>
          <w:kern w:val="0"/>
          <w:sz w:val="32"/>
          <w:szCs w:val="32"/>
          <w:highlight w:val="none"/>
        </w:rPr>
        <w:t>。</w:t>
      </w:r>
    </w:p>
    <w:p w14:paraId="5C7B1F5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lang w:eastAsia="zh-CN"/>
        </w:rPr>
        <w:t>卫生健康支出（类）行政事业单位医疗（款）事业单位医疗（项）：2026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16.68</w:t>
      </w:r>
      <w:r>
        <w:rPr>
          <w:rFonts w:hint="eastAsia" w:ascii="Times New Roman" w:hAnsi="Times New Roman" w:eastAsia="仿宋_GB2312" w:cs="仿宋_GB2312"/>
          <w:color w:val="auto"/>
          <w:kern w:val="0"/>
          <w:sz w:val="32"/>
          <w:szCs w:val="32"/>
          <w:highlight w:val="none"/>
        </w:rPr>
        <w:t>万元，主要用于：事业单位基本医疗保险缴费支出。</w:t>
      </w:r>
    </w:p>
    <w:p w14:paraId="0981D4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lang w:eastAsia="zh-CN"/>
        </w:rPr>
        <w:t>住房保障支出（类）住房改革支出（款）住房公积金（项）：2026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39.60</w:t>
      </w:r>
      <w:r>
        <w:rPr>
          <w:rFonts w:hint="eastAsia" w:ascii="Times New Roman" w:hAnsi="Times New Roman" w:eastAsia="仿宋_GB2312" w:cs="仿宋_GB2312"/>
          <w:color w:val="auto"/>
          <w:kern w:val="0"/>
          <w:sz w:val="32"/>
          <w:szCs w:val="32"/>
          <w:highlight w:val="none"/>
        </w:rPr>
        <w:t>万元，主要用于：</w:t>
      </w:r>
      <w:r>
        <w:rPr>
          <w:rFonts w:hint="eastAsia" w:ascii="Times New Roman" w:hAnsi="Times New Roman" w:eastAsia="仿宋_GB2312" w:cs="仿宋_GB2312"/>
          <w:color w:val="auto"/>
          <w:kern w:val="0"/>
          <w:sz w:val="32"/>
          <w:szCs w:val="32"/>
          <w:highlight w:val="none"/>
          <w:lang w:eastAsia="zh-CN"/>
        </w:rPr>
        <w:t>事业单位住房公积金缴费支出。</w:t>
      </w:r>
    </w:p>
    <w:p w14:paraId="480623EE">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四</w:t>
      </w:r>
      <w:r>
        <w:rPr>
          <w:rStyle w:val="23"/>
          <w:rFonts w:hint="eastAsia" w:ascii="黑体" w:hAnsi="黑体" w:eastAsia="黑体" w:cs="黑体"/>
          <w:b w:val="0"/>
          <w:bCs/>
          <w:color w:val="auto"/>
          <w:highlight w:val="none"/>
        </w:rPr>
        <w:t>、一般公共预算基本支出情况说明</w:t>
      </w:r>
    </w:p>
    <w:p w14:paraId="6129E4A6">
      <w:pPr>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年一般公共预算基本支出</w:t>
      </w:r>
      <w:r>
        <w:rPr>
          <w:rFonts w:hint="eastAsia" w:ascii="Times New Roman" w:hAnsi="Times New Roman" w:eastAsia="仿宋_GB2312" w:cs="仿宋_GB2312"/>
          <w:color w:val="auto"/>
          <w:kern w:val="0"/>
          <w:sz w:val="32"/>
          <w:szCs w:val="32"/>
          <w:highlight w:val="none"/>
          <w:lang w:val="en-US" w:eastAsia="zh-CN"/>
        </w:rPr>
        <w:t>455.99</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p>
    <w:p w14:paraId="3778BDFD">
      <w:pPr>
        <w:rPr>
          <w:rFonts w:hint="eastAsia" w:ascii="Times New Roman" w:hAnsi="Times New Roman" w:eastAsia="仿宋_GB2312" w:cs="仿宋_GB2312"/>
          <w:color w:val="auto"/>
          <w:kern w:val="0"/>
          <w:sz w:val="32"/>
          <w:szCs w:val="32"/>
          <w:highlight w:val="none"/>
        </w:rPr>
      </w:pPr>
      <w:bookmarkStart w:id="0" w:name="_GoBack"/>
      <w:bookmarkEnd w:id="0"/>
      <w:r>
        <w:rPr>
          <w:rFonts w:hint="eastAsia" w:ascii="Times New Roman" w:hAnsi="Times New Roman" w:eastAsia="仿宋_GB2312" w:cs="仿宋_GB2312"/>
          <w:color w:val="auto"/>
          <w:kern w:val="0"/>
          <w:sz w:val="32"/>
          <w:szCs w:val="32"/>
          <w:highlight w:val="none"/>
        </w:rPr>
        <w:t>其中：人员经费</w:t>
      </w:r>
      <w:r>
        <w:rPr>
          <w:rFonts w:hint="eastAsia" w:ascii="Times New Roman" w:hAnsi="Times New Roman" w:eastAsia="仿宋_GB2312" w:cs="仿宋_GB2312"/>
          <w:color w:val="auto"/>
          <w:kern w:val="0"/>
          <w:sz w:val="32"/>
          <w:szCs w:val="32"/>
          <w:highlight w:val="none"/>
          <w:lang w:val="en-US" w:eastAsia="zh-CN"/>
        </w:rPr>
        <w:t>439.08</w:t>
      </w:r>
      <w:r>
        <w:rPr>
          <w:rFonts w:hint="eastAsia" w:ascii="Times New Roman" w:hAnsi="Times New Roman" w:eastAsia="仿宋_GB2312" w:cs="仿宋_GB2312"/>
          <w:color w:val="auto"/>
          <w:kern w:val="0"/>
          <w:sz w:val="32"/>
          <w:szCs w:val="32"/>
          <w:highlight w:val="none"/>
        </w:rPr>
        <w:t>万元，主要包括：基本工资、津贴补贴、</w:t>
      </w:r>
      <w:r>
        <w:rPr>
          <w:rFonts w:hint="eastAsia" w:ascii="Times New Roman" w:hAnsi="Times New Roman" w:eastAsia="仿宋_GB2312" w:cs="仿宋_GB2312"/>
          <w:color w:val="auto"/>
          <w:kern w:val="0"/>
          <w:sz w:val="32"/>
          <w:szCs w:val="32"/>
          <w:highlight w:val="none"/>
          <w:lang w:val="en-US" w:eastAsia="zh-CN"/>
        </w:rPr>
        <w:t>伙食补助费、绩效工资</w:t>
      </w:r>
      <w:r>
        <w:rPr>
          <w:rFonts w:hint="eastAsia" w:ascii="Times New Roman" w:hAnsi="Times New Roman" w:eastAsia="仿宋_GB2312" w:cs="仿宋_GB2312"/>
          <w:color w:val="auto"/>
          <w:kern w:val="0"/>
          <w:sz w:val="32"/>
          <w:szCs w:val="32"/>
          <w:highlight w:val="none"/>
        </w:rPr>
        <w:t>、机关事业单位基本养老保险缴费、职业年金缴费、</w:t>
      </w:r>
      <w:r>
        <w:rPr>
          <w:rFonts w:hint="eastAsia" w:ascii="Times New Roman" w:hAnsi="Times New Roman" w:eastAsia="仿宋_GB2312" w:cs="仿宋_GB2312"/>
          <w:color w:val="auto"/>
          <w:kern w:val="0"/>
          <w:sz w:val="32"/>
          <w:szCs w:val="32"/>
          <w:highlight w:val="none"/>
          <w:lang w:val="en-US" w:eastAsia="zh-CN"/>
        </w:rPr>
        <w:t>职工基本医疗保险缴费、</w:t>
      </w:r>
      <w:r>
        <w:rPr>
          <w:rFonts w:hint="eastAsia" w:ascii="Times New Roman" w:hAnsi="Times New Roman" w:eastAsia="仿宋_GB2312" w:cs="仿宋_GB2312"/>
          <w:color w:val="auto"/>
          <w:kern w:val="0"/>
          <w:sz w:val="32"/>
          <w:szCs w:val="32"/>
          <w:highlight w:val="none"/>
        </w:rPr>
        <w:t>住房</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其他社会保障缴费、住房</w:t>
      </w:r>
      <w:r>
        <w:rPr>
          <w:rFonts w:hint="eastAsia" w:ascii="Times New Roman" w:hAnsi="Times New Roman" w:eastAsia="仿宋_GB2312" w:cs="仿宋_GB2312"/>
          <w:color w:val="auto"/>
          <w:kern w:val="0"/>
          <w:sz w:val="32"/>
          <w:szCs w:val="32"/>
          <w:highlight w:val="none"/>
        </w:rPr>
        <w:t>公积金。</w:t>
      </w:r>
    </w:p>
    <w:p w14:paraId="1657E296">
      <w:pP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公用经费</w:t>
      </w:r>
      <w:r>
        <w:rPr>
          <w:rFonts w:hint="eastAsia" w:ascii="Times New Roman" w:hAnsi="Times New Roman" w:eastAsia="仿宋_GB2312" w:cs="仿宋_GB2312"/>
          <w:color w:val="auto"/>
          <w:kern w:val="0"/>
          <w:sz w:val="32"/>
          <w:szCs w:val="32"/>
          <w:highlight w:val="none"/>
          <w:lang w:val="en-US" w:eastAsia="zh-CN"/>
        </w:rPr>
        <w:t>16.91</w:t>
      </w:r>
      <w:r>
        <w:rPr>
          <w:rFonts w:hint="eastAsia" w:ascii="Times New Roman" w:hAnsi="Times New Roman" w:eastAsia="仿宋_GB2312" w:cs="仿宋_GB2312"/>
          <w:color w:val="auto"/>
          <w:kern w:val="0"/>
          <w:sz w:val="32"/>
          <w:szCs w:val="32"/>
          <w:highlight w:val="none"/>
        </w:rPr>
        <w:t>万元，主要包括：</w:t>
      </w:r>
      <w:r>
        <w:rPr>
          <w:rFonts w:hint="eastAsia" w:ascii="Times New Roman" w:hAnsi="Times New Roman" w:eastAsia="仿宋_GB2312" w:cs="仿宋_GB2312"/>
          <w:color w:val="auto"/>
          <w:kern w:val="0"/>
          <w:sz w:val="32"/>
          <w:szCs w:val="32"/>
          <w:highlight w:val="none"/>
          <w:lang w:val="en-US" w:eastAsia="zh-CN"/>
        </w:rPr>
        <w:t>公务接待费</w:t>
      </w:r>
      <w:r>
        <w:rPr>
          <w:rFonts w:hint="eastAsia" w:ascii="Times New Roman" w:hAnsi="Times New Roman" w:eastAsia="仿宋_GB2312" w:cs="仿宋_GB2312"/>
          <w:color w:val="auto"/>
          <w:kern w:val="0"/>
          <w:sz w:val="32"/>
          <w:szCs w:val="32"/>
          <w:highlight w:val="none"/>
        </w:rPr>
        <w:t>、工会经费、福利费。</w:t>
      </w:r>
    </w:p>
    <w:p w14:paraId="479A3A10">
      <w:pPr>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五</w:t>
      </w:r>
      <w:r>
        <w:rPr>
          <w:rStyle w:val="23"/>
          <w:rFonts w:hint="eastAsia" w:ascii="黑体" w:hAnsi="黑体" w:eastAsia="黑体" w:cs="黑体"/>
          <w:b w:val="0"/>
          <w:bCs/>
          <w:color w:val="auto"/>
          <w:highlight w:val="none"/>
        </w:rPr>
        <w:t>、政府性基金预算支出规模及变化情况说明</w:t>
      </w:r>
    </w:p>
    <w:p w14:paraId="08263EB0">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rPr>
        <w:t>政府性基金预算支出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532DDE5D">
      <w:pPr>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2026年没有使用政府性基金预算拨款安排的支出。</w:t>
      </w:r>
    </w:p>
    <w:p w14:paraId="0B0AA9CD">
      <w:pPr>
        <w:rPr>
          <w:rStyle w:val="23"/>
          <w:rFonts w:hint="eastAsia" w:ascii="黑体" w:hAnsi="黑体" w:eastAsia="黑体" w:cs="黑体"/>
          <w:b w:val="0"/>
          <w:bCs/>
          <w:color w:val="auto"/>
          <w:highlight w:val="none"/>
        </w:rPr>
      </w:pPr>
      <w:r>
        <w:rPr>
          <w:rStyle w:val="23"/>
          <w:rFonts w:hint="eastAsia" w:ascii="黑体" w:hAnsi="黑体" w:eastAsia="黑体" w:cs="黑体"/>
          <w:b w:val="0"/>
          <w:bCs/>
          <w:color w:val="auto"/>
          <w:highlight w:val="none"/>
          <w:lang w:eastAsia="zh-CN"/>
        </w:rPr>
        <w:t>六</w:t>
      </w:r>
      <w:r>
        <w:rPr>
          <w:rStyle w:val="23"/>
          <w:rFonts w:hint="eastAsia" w:ascii="黑体" w:hAnsi="黑体" w:eastAsia="黑体" w:cs="黑体"/>
          <w:b w:val="0"/>
          <w:bCs/>
          <w:color w:val="auto"/>
          <w:highlight w:val="none"/>
        </w:rPr>
        <w:t>、国有资本经营预算支出规模及变化情况说明</w:t>
      </w:r>
    </w:p>
    <w:p w14:paraId="0B555110">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rPr>
        <w:t>国有资本经营预算支出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29D596B2">
      <w:pPr>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2026年没有使用国有资本经营预算拨款安排的支出。</w:t>
      </w:r>
    </w:p>
    <w:p w14:paraId="306675E3">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七</w:t>
      </w:r>
      <w:r>
        <w:rPr>
          <w:rStyle w:val="23"/>
          <w:rFonts w:hint="eastAsia" w:ascii="黑体" w:hAnsi="黑体" w:eastAsia="黑体" w:cs="黑体"/>
          <w:b w:val="0"/>
          <w:bCs/>
          <w:color w:val="auto"/>
          <w:highlight w:val="none"/>
        </w:rPr>
        <w:t>、“三公”经费预算安排情况说明</w:t>
      </w:r>
    </w:p>
    <w:p w14:paraId="7F7D04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年“三公”经费</w:t>
      </w:r>
      <w:r>
        <w:rPr>
          <w:rFonts w:hint="eastAsia" w:ascii="Times New Roman" w:hAnsi="Times New Roman" w:eastAsia="仿宋_GB2312" w:cs="仿宋_GB2312"/>
          <w:color w:val="auto"/>
          <w:kern w:val="0"/>
          <w:sz w:val="32"/>
          <w:szCs w:val="32"/>
          <w:highlight w:val="none"/>
          <w:lang w:eastAsia="zh-CN"/>
        </w:rPr>
        <w:t>财政拨款</w:t>
      </w:r>
      <w:r>
        <w:rPr>
          <w:rFonts w:hint="eastAsia" w:ascii="Times New Roman" w:hAnsi="Times New Roman" w:eastAsia="仿宋_GB2312" w:cs="仿宋_GB2312"/>
          <w:color w:val="auto"/>
          <w:kern w:val="0"/>
          <w:sz w:val="32"/>
          <w:szCs w:val="32"/>
          <w:highlight w:val="none"/>
        </w:rPr>
        <w:t>预算数</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万元。其中</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因公出国（境）经费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万元，公务接待费</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万元，公务用车购置及运行维护费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w:t>
      </w:r>
    </w:p>
    <w:p w14:paraId="3E2555D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因公出国（境）经费较上年预算持平。主要原因是</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w:t>
      </w:r>
      <w:r>
        <w:rPr>
          <w:rFonts w:hint="eastAsia" w:ascii="Times New Roman" w:hAnsi="Times New Roman" w:eastAsia="仿宋_GB2312" w:cs="仿宋_GB2312"/>
          <w:color w:val="auto"/>
          <w:kern w:val="0"/>
          <w:sz w:val="32"/>
          <w:szCs w:val="32"/>
          <w:highlight w:val="none"/>
          <w:lang w:eastAsia="zh-CN"/>
        </w:rPr>
        <w:t>和2025</w:t>
      </w:r>
      <w:r>
        <w:rPr>
          <w:rFonts w:hint="eastAsia" w:ascii="Times New Roman" w:hAnsi="Times New Roman" w:eastAsia="仿宋_GB2312" w:cs="仿宋_GB2312"/>
          <w:color w:val="auto"/>
          <w:kern w:val="0"/>
          <w:sz w:val="32"/>
          <w:szCs w:val="32"/>
          <w:highlight w:val="none"/>
        </w:rPr>
        <w:t>年均无因公出国（境）费用支出。</w:t>
      </w:r>
    </w:p>
    <w:p w14:paraId="02E2A6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2.公务接待费较上年预算减少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万元，下降</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%。主要原因是按照中央八项规定及厉行节约、反对浪费的要求，简化接待程序，严格控制用餐及住宿标准，减少公务接待开支。</w:t>
      </w:r>
    </w:p>
    <w:p w14:paraId="3CEDB831">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年公务接待费计划用于调研指导工作和来我单位交流学习等。</w:t>
      </w:r>
    </w:p>
    <w:p w14:paraId="3008C4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3.公务用车购置及运行维护费较上年预算减少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万元，下降</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%。主要原因是</w:t>
      </w:r>
      <w:r>
        <w:rPr>
          <w:rFonts w:hint="eastAsia" w:ascii="Times New Roman" w:hAnsi="Times New Roman" w:eastAsia="仿宋_GB2312" w:cs="仿宋_GB2312"/>
          <w:color w:val="auto"/>
          <w:kern w:val="0"/>
          <w:sz w:val="32"/>
          <w:szCs w:val="32"/>
          <w:highlight w:val="none"/>
          <w:lang w:eastAsia="zh-CN"/>
        </w:rPr>
        <w:t>本单位无公务车辆</w:t>
      </w:r>
      <w:r>
        <w:rPr>
          <w:rFonts w:hint="eastAsia" w:ascii="Times New Roman" w:hAnsi="Times New Roman" w:eastAsia="仿宋_GB2312" w:cs="仿宋_GB2312"/>
          <w:color w:val="auto"/>
          <w:kern w:val="0"/>
          <w:sz w:val="32"/>
          <w:szCs w:val="32"/>
          <w:highlight w:val="none"/>
        </w:rPr>
        <w:t>。</w:t>
      </w:r>
    </w:p>
    <w:p w14:paraId="560CC11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单位现有公务用车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辆，其中：轿车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辆，越野车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辆，其他车型</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p>
    <w:p w14:paraId="012EFC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2026年安排公务用车购置费0万元。</w:t>
      </w:r>
    </w:p>
    <w:p w14:paraId="42326D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年安排公务用车运行维护费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p>
    <w:p w14:paraId="50A63E14">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八</w:t>
      </w:r>
      <w:r>
        <w:rPr>
          <w:rStyle w:val="23"/>
          <w:rFonts w:hint="eastAsia" w:ascii="黑体" w:hAnsi="黑体" w:eastAsia="黑体" w:cs="黑体"/>
          <w:b w:val="0"/>
          <w:bCs/>
          <w:color w:val="auto"/>
          <w:highlight w:val="none"/>
        </w:rPr>
        <w:t>、其他重要事项的情况说明</w:t>
      </w:r>
    </w:p>
    <w:p w14:paraId="1DF4509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（一）机关运行经费</w:t>
      </w:r>
    </w:p>
    <w:p w14:paraId="1A2305B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highlight w:val="none"/>
          <w:shd w:val="clear" w:color="auto" w:fill="FFFFFF"/>
          <w:lang w:eastAsia="zh-CN"/>
        </w:rPr>
        <w:t>2026</w:t>
      </w:r>
      <w:r>
        <w:rPr>
          <w:rFonts w:hint="eastAsia" w:ascii="Times New Roman" w:hAnsi="Times New Roman" w:eastAsia="仿宋_GB2312" w:cs="仿宋_GB2312"/>
          <w:color w:val="auto"/>
          <w:sz w:val="32"/>
          <w:szCs w:val="32"/>
          <w:highlight w:val="none"/>
          <w:shd w:val="clear" w:color="auto" w:fill="FFFFFF"/>
        </w:rPr>
        <w:t>年</w:t>
      </w:r>
      <w:r>
        <w:rPr>
          <w:rFonts w:hint="eastAsia" w:ascii="Times New Roman" w:hAnsi="Times New Roman" w:eastAsia="仿宋_GB2312" w:cs="仿宋_GB2312"/>
          <w:color w:val="auto"/>
          <w:sz w:val="32"/>
          <w:szCs w:val="32"/>
          <w:highlight w:val="none"/>
          <w:shd w:val="clear" w:color="auto" w:fill="FFFFFF"/>
          <w:lang w:eastAsia="zh-CN"/>
        </w:rPr>
        <w:t>，</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sz w:val="32"/>
          <w:szCs w:val="32"/>
          <w:highlight w:val="none"/>
          <w:lang w:eastAsia="zh-CN"/>
        </w:rPr>
        <w:t>运行经费财政拨款预算为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sz w:val="32"/>
          <w:szCs w:val="32"/>
          <w:highlight w:val="none"/>
          <w:shd w:val="clear" w:color="auto" w:fill="FFFFFF"/>
        </w:rPr>
        <w:t>万元</w:t>
      </w:r>
      <w:r>
        <w:rPr>
          <w:rFonts w:hint="eastAsia" w:ascii="Times New Roman" w:hAnsi="Times New Roman" w:eastAsia="仿宋_GB2312" w:cs="仿宋_GB2312"/>
          <w:color w:val="auto"/>
          <w:sz w:val="32"/>
          <w:szCs w:val="32"/>
          <w:highlight w:val="none"/>
          <w:shd w:val="clear" w:color="auto" w:fill="FFFFFF"/>
          <w:lang w:eastAsia="zh-CN"/>
        </w:rPr>
        <w:t>，比2025年预算增</w:t>
      </w:r>
      <w:r>
        <w:rPr>
          <w:rFonts w:hint="eastAsia" w:ascii="Times New Roman" w:hAnsi="Times New Roman" w:eastAsia="仿宋_GB2312" w:cs="仿宋_GB2312"/>
          <w:color w:val="auto"/>
          <w:kern w:val="0"/>
          <w:sz w:val="32"/>
          <w:szCs w:val="32"/>
          <w:highlight w:val="none"/>
          <w:lang w:eastAsia="zh-CN"/>
        </w:rPr>
        <w:t>加/减少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万元，主要原因是2026</w:t>
      </w:r>
      <w:r>
        <w:rPr>
          <w:rFonts w:hint="eastAsia" w:ascii="Times New Roman" w:hAnsi="Times New Roman" w:eastAsia="仿宋_GB2312" w:cs="仿宋_GB2312"/>
          <w:color w:val="auto"/>
          <w:kern w:val="0"/>
          <w:sz w:val="32"/>
          <w:szCs w:val="32"/>
          <w:highlight w:val="none"/>
        </w:rPr>
        <w:t>年</w:t>
      </w:r>
      <w:r>
        <w:rPr>
          <w:rFonts w:hint="eastAsia" w:ascii="Times New Roman" w:hAnsi="Times New Roman" w:eastAsia="仿宋_GB2312" w:cs="仿宋_GB2312"/>
          <w:color w:val="auto"/>
          <w:kern w:val="0"/>
          <w:sz w:val="32"/>
          <w:szCs w:val="32"/>
          <w:highlight w:val="none"/>
          <w:lang w:eastAsia="zh-CN"/>
        </w:rPr>
        <w:t>和2025</w:t>
      </w:r>
      <w:r>
        <w:rPr>
          <w:rFonts w:hint="eastAsia" w:ascii="Times New Roman" w:hAnsi="Times New Roman" w:eastAsia="仿宋_GB2312" w:cs="仿宋_GB2312"/>
          <w:color w:val="auto"/>
          <w:kern w:val="0"/>
          <w:sz w:val="32"/>
          <w:szCs w:val="32"/>
          <w:highlight w:val="none"/>
        </w:rPr>
        <w:t>年均无</w:t>
      </w:r>
      <w:r>
        <w:rPr>
          <w:rFonts w:hint="eastAsia" w:ascii="Times New Roman" w:hAnsi="Times New Roman" w:eastAsia="仿宋_GB2312" w:cs="仿宋_GB2312"/>
          <w:color w:val="auto"/>
          <w:kern w:val="0"/>
          <w:sz w:val="32"/>
          <w:szCs w:val="32"/>
          <w:highlight w:val="none"/>
          <w:lang w:val="en-US" w:eastAsia="zh-CN"/>
        </w:rPr>
        <w:t>机关运行经费</w:t>
      </w:r>
      <w:r>
        <w:rPr>
          <w:rFonts w:hint="eastAsia" w:ascii="Times New Roman" w:hAnsi="Times New Roman" w:eastAsia="仿宋_GB2312" w:cs="仿宋_GB2312"/>
          <w:color w:val="auto"/>
          <w:kern w:val="0"/>
          <w:sz w:val="32"/>
          <w:szCs w:val="32"/>
          <w:highlight w:val="none"/>
        </w:rPr>
        <w:t>支出。</w:t>
      </w:r>
    </w:p>
    <w:p w14:paraId="1E3A90F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（二）政府采购情况</w:t>
      </w:r>
    </w:p>
    <w:p w14:paraId="70FB6582">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安排政府采购预算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万元，其中，政府采购货物预算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万元；政府采购工程预算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万元；政府采购服务预算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0B590E90">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2026年无政府采购项目，未安排政府采购预算。</w:t>
      </w:r>
    </w:p>
    <w:p w14:paraId="7D3E9CF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三</w:t>
      </w:r>
      <w:r>
        <w:rPr>
          <w:rFonts w:hint="eastAsia" w:ascii="Times New Roman" w:hAnsi="Times New Roman" w:eastAsia="楷体_GB2312" w:cs="Times New Roman"/>
          <w:b w:val="0"/>
          <w:bCs/>
          <w:color w:val="auto"/>
          <w:sz w:val="32"/>
          <w:szCs w:val="32"/>
          <w:highlight w:val="none"/>
        </w:rPr>
        <w:t>）国有资产占有使用情况</w:t>
      </w:r>
    </w:p>
    <w:p w14:paraId="3435C7A1">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rPr>
        <w:t>截至</w:t>
      </w:r>
      <w:r>
        <w:rPr>
          <w:rFonts w:hint="eastAsia" w:ascii="Times New Roman" w:hAnsi="Times New Roman" w:eastAsia="仿宋_GB2312" w:cs="仿宋_GB2312"/>
          <w:color w:val="auto"/>
          <w:kern w:val="0"/>
          <w:highlight w:val="none"/>
          <w:lang w:eastAsia="zh-CN"/>
        </w:rPr>
        <w:t>2025</w:t>
      </w:r>
      <w:r>
        <w:rPr>
          <w:rFonts w:hint="eastAsia" w:ascii="Times New Roman" w:hAnsi="Times New Roman" w:eastAsia="仿宋_GB2312" w:cs="仿宋_GB2312"/>
          <w:color w:val="auto"/>
          <w:kern w:val="0"/>
          <w:highlight w:val="none"/>
        </w:rPr>
        <w:t>年底，</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highlight w:val="none"/>
        </w:rPr>
        <w:t>所属各预算单位共有车辆</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辆，其中，县级领导干部用车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辆、定向保障用车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辆、执法执勤用车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辆。单位价值200万元以上大型设备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台（套）。</w:t>
      </w:r>
    </w:p>
    <w:p w14:paraId="0732083F">
      <w:pPr>
        <w:rPr>
          <w:rFonts w:hint="eastAsia" w:ascii="Times New Roman" w:hAnsi="Times New Roman" w:eastAsia="仿宋_GB2312" w:cs="仿宋_GB2312"/>
          <w:color w:val="auto"/>
          <w:kern w:val="0"/>
          <w:highlight w:val="none"/>
          <w:lang w:eastAsia="zh-CN"/>
        </w:rPr>
      </w:pPr>
      <w:r>
        <w:rPr>
          <w:rFonts w:hint="eastAsia" w:ascii="Times New Roman" w:hAnsi="Times New Roman" w:eastAsia="仿宋_GB2312" w:cs="仿宋_GB2312"/>
          <w:color w:val="auto"/>
          <w:kern w:val="0"/>
          <w:highlight w:val="none"/>
          <w:lang w:eastAsia="zh-CN"/>
        </w:rPr>
        <w:t>2026年部门预算安排车辆购置经费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万元。其中，财政拨款预算安排</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万元，非财政拨款安排</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万元。拟购置县级领导干部用车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辆/定向保障用车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辆/执法执勤用车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辆。安排大型设备购置经费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万元，购置大型设备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台（套）。</w:t>
      </w:r>
    </w:p>
    <w:p w14:paraId="0B0106C9">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lang w:eastAsia="zh-CN"/>
        </w:rPr>
        <w:t>2026</w:t>
      </w:r>
      <w:r>
        <w:rPr>
          <w:rFonts w:hint="eastAsia" w:ascii="Times New Roman" w:hAnsi="Times New Roman" w:eastAsia="仿宋_GB2312" w:cs="仿宋_GB2312"/>
          <w:color w:val="auto"/>
          <w:kern w:val="0"/>
          <w:highlight w:val="none"/>
        </w:rPr>
        <w:t>年部门预算未安排购置车辆及单位价值200万元以上大型设备。</w:t>
      </w:r>
    </w:p>
    <w:p w14:paraId="3ABB289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四</w:t>
      </w:r>
      <w:r>
        <w:rPr>
          <w:rFonts w:hint="eastAsia" w:ascii="Times New Roman" w:hAnsi="Times New Roman" w:eastAsia="楷体_GB2312" w:cs="Times New Roman"/>
          <w:b w:val="0"/>
          <w:bCs/>
          <w:color w:val="auto"/>
          <w:sz w:val="32"/>
          <w:szCs w:val="32"/>
          <w:highlight w:val="none"/>
        </w:rPr>
        <w:t>）绩效目标设置情况</w:t>
      </w:r>
    </w:p>
    <w:p w14:paraId="51435D76">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76FF0FC8">
      <w:pPr>
        <w:pStyle w:val="2"/>
        <w:numPr>
          <w:ilvl w:val="0"/>
          <w:numId w:val="0"/>
        </w:numPr>
        <w:bidi w:val="0"/>
        <w:jc w:val="both"/>
        <w:rPr>
          <w:rFonts w:hint="eastAsia"/>
          <w:color w:val="auto"/>
          <w:highlight w:val="none"/>
          <w:lang w:val="en-US" w:eastAsia="zh-CN"/>
        </w:rPr>
      </w:pPr>
    </w:p>
    <w:p w14:paraId="5CBBBE34">
      <w:pPr>
        <w:rPr>
          <w:rFonts w:hint="eastAsia"/>
          <w:color w:val="auto"/>
          <w:highlight w:val="none"/>
          <w:lang w:val="en-US" w:eastAsia="zh-CN"/>
        </w:rPr>
      </w:pPr>
    </w:p>
    <w:p w14:paraId="5DEF8444">
      <w:pPr>
        <w:rPr>
          <w:rFonts w:hint="eastAsia"/>
          <w:color w:val="auto"/>
          <w:highlight w:val="none"/>
          <w:lang w:val="en-US" w:eastAsia="zh-CN"/>
        </w:rPr>
      </w:pPr>
    </w:p>
    <w:p w14:paraId="1EC2AD1A">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第四部分  名词解释</w:t>
      </w:r>
    </w:p>
    <w:p w14:paraId="40FE7BEF">
      <w:pPr>
        <w:widowControl/>
        <w:numPr>
          <w:ilvl w:val="0"/>
          <w:numId w:val="0"/>
        </w:numPr>
        <w:shd w:val="clear" w:color="auto" w:fill="FFFFFF"/>
        <w:ind w:left="960" w:leftChars="0"/>
        <w:jc w:val="left"/>
        <w:rPr>
          <w:rFonts w:hint="eastAsia" w:ascii="仿宋" w:hAnsi="宋体" w:eastAsia="仿宋" w:cs="宋体"/>
          <w:color w:val="auto"/>
          <w:kern w:val="0"/>
          <w:sz w:val="32"/>
          <w:szCs w:val="32"/>
          <w:highlight w:val="none"/>
        </w:rPr>
      </w:pPr>
    </w:p>
    <w:p w14:paraId="141B7F2B">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531BF30A">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8666783">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2AC646C">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89B1A1D">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21D1D9A9">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2B97C285">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045F0FA1">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5FD93607">
      <w:pPr>
        <w:bidi w:val="0"/>
        <w:rPr>
          <w:rFonts w:hint="eastAsia" w:ascii="仿宋_GB2312" w:hAnsi="仿宋_GB2312" w:eastAsia="仿宋_GB2312" w:cs="仿宋_GB2312"/>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一</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财政拨款收支情况：</w:t>
      </w:r>
      <w:r>
        <w:rPr>
          <w:rFonts w:hint="eastAsia" w:ascii="仿宋_GB2312" w:hAnsi="仿宋_GB2312" w:eastAsia="仿宋_GB2312" w:cs="仿宋_GB2312"/>
          <w:color w:val="auto"/>
          <w:highlight w:val="none"/>
        </w:rPr>
        <w:t>是指一般公共预算、政府性基金预算、国有资本经营预算拨款收支情况。</w:t>
      </w:r>
    </w:p>
    <w:p w14:paraId="5C9A88CD">
      <w:pPr>
        <w:bidi w:val="0"/>
        <w:rPr>
          <w:rFonts w:hint="eastAsia" w:eastAsia="仿宋"/>
          <w:color w:val="auto"/>
          <w:highlight w:val="none"/>
          <w:lang w:eastAsia="zh-CN"/>
        </w:rPr>
      </w:pPr>
      <w:r>
        <w:rPr>
          <w:rFonts w:hint="eastAsia" w:ascii="楷体" w:hAnsi="楷体" w:eastAsia="楷体" w:cs="楷体"/>
          <w:color w:val="auto"/>
          <w:highlight w:val="none"/>
          <w:lang w:eastAsia="zh-CN"/>
        </w:rPr>
        <w:t>（二）财政拨款收入：</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县</w:t>
      </w:r>
      <w:r>
        <w:rPr>
          <w:rFonts w:hint="eastAsia" w:ascii="仿宋_GB2312" w:hAnsi="仿宋_GB2312" w:eastAsia="仿宋_GB2312" w:cs="仿宋_GB2312"/>
          <w:color w:val="auto"/>
          <w:highlight w:val="none"/>
        </w:rPr>
        <w:t>级财政当年拨付的资金。</w:t>
      </w:r>
    </w:p>
    <w:p w14:paraId="588B438F">
      <w:pPr>
        <w:bidi w:val="0"/>
        <w:rPr>
          <w:rFonts w:hint="eastAsia" w:eastAsia="仿宋"/>
          <w:color w:val="auto"/>
          <w:highlight w:val="none"/>
          <w:lang w:eastAsia="zh-CN"/>
        </w:rPr>
      </w:pPr>
      <w:r>
        <w:rPr>
          <w:rFonts w:hint="eastAsia" w:ascii="楷体" w:hAnsi="楷体" w:eastAsia="楷体" w:cs="楷体"/>
          <w:color w:val="auto"/>
          <w:highlight w:val="none"/>
          <w:lang w:eastAsia="zh-CN"/>
        </w:rPr>
        <w:t>（三）事业收入：</w:t>
      </w:r>
      <w:r>
        <w:rPr>
          <w:rFonts w:hint="eastAsia" w:ascii="仿宋_GB2312" w:hAnsi="仿宋_GB2312" w:eastAsia="仿宋_GB2312" w:cs="仿宋_GB2312"/>
          <w:color w:val="auto"/>
          <w:highlight w:val="none"/>
        </w:rPr>
        <w:t>指事业单位开展专业业务活动及辅助活动所取得的收入。</w:t>
      </w:r>
    </w:p>
    <w:p w14:paraId="5C9196B5">
      <w:pPr>
        <w:bidi w:val="0"/>
        <w:rPr>
          <w:rFonts w:hint="eastAsia" w:eastAsia="仿宋"/>
          <w:color w:val="auto"/>
          <w:highlight w:val="none"/>
          <w:lang w:eastAsia="zh-CN"/>
        </w:rPr>
      </w:pPr>
      <w:r>
        <w:rPr>
          <w:rFonts w:hint="eastAsia" w:ascii="楷体" w:hAnsi="楷体" w:eastAsia="楷体" w:cs="楷体"/>
          <w:color w:val="auto"/>
          <w:highlight w:val="none"/>
          <w:lang w:eastAsia="zh-CN"/>
        </w:rPr>
        <w:t>（四）事业单位经营收入：</w:t>
      </w:r>
      <w:r>
        <w:rPr>
          <w:rFonts w:hint="eastAsia" w:ascii="仿宋_GB2312" w:hAnsi="仿宋_GB2312" w:eastAsia="仿宋_GB2312" w:cs="仿宋_GB2312"/>
          <w:color w:val="auto"/>
          <w:highlight w:val="none"/>
        </w:rPr>
        <w:t>指事业单位在专业业务活动及其辅助活动之外开展非独立核算经营活动取得的收入。</w:t>
      </w:r>
    </w:p>
    <w:p w14:paraId="45457453">
      <w:pPr>
        <w:bidi w:val="0"/>
        <w:rPr>
          <w:rFonts w:hint="eastAsia" w:eastAsia="仿宋"/>
          <w:color w:val="auto"/>
          <w:highlight w:val="none"/>
          <w:lang w:eastAsia="zh-CN"/>
        </w:rPr>
      </w:pPr>
      <w:r>
        <w:rPr>
          <w:rFonts w:hint="eastAsia" w:ascii="楷体" w:hAnsi="楷体" w:eastAsia="楷体" w:cs="楷体"/>
          <w:color w:val="auto"/>
          <w:highlight w:val="none"/>
          <w:lang w:eastAsia="zh-CN"/>
        </w:rPr>
        <w:t>（五）其他收入：</w:t>
      </w:r>
      <w:r>
        <w:rPr>
          <w:rFonts w:hint="eastAsia" w:ascii="仿宋_GB2312" w:hAnsi="仿宋_GB2312" w:eastAsia="仿宋_GB2312" w:cs="仿宋_GB2312"/>
          <w:color w:val="auto"/>
          <w:highlight w:val="none"/>
        </w:rPr>
        <w:t>指除上述“一般公共预算拨款收入”“事业收入”“事业单位经营收入”等以外的收入。主要是利息收入、国有资产出租收入等。</w:t>
      </w:r>
    </w:p>
    <w:p w14:paraId="336C206D">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（六）</w:t>
      </w:r>
      <w:r>
        <w:rPr>
          <w:rFonts w:hint="eastAsia" w:ascii="楷体" w:hAnsi="楷体" w:eastAsia="楷体" w:cs="楷体"/>
          <w:color w:val="auto"/>
          <w:highlight w:val="none"/>
          <w:lang w:eastAsia="zh-CN"/>
        </w:rPr>
        <w:t>上年结转：</w:t>
      </w:r>
      <w:r>
        <w:rPr>
          <w:rFonts w:hint="eastAsia" w:ascii="仿宋_GB2312" w:hAnsi="仿宋_GB2312" w:eastAsia="仿宋_GB2312" w:cs="仿宋_GB2312"/>
          <w:color w:val="auto"/>
          <w:highlight w:val="none"/>
        </w:rPr>
        <w:t>指以前年度</w:t>
      </w:r>
      <w:r>
        <w:rPr>
          <w:rFonts w:hint="eastAsia" w:ascii="仿宋_GB2312" w:hAnsi="仿宋_GB2312" w:eastAsia="仿宋_GB2312" w:cs="仿宋_GB2312"/>
          <w:color w:val="auto"/>
          <w:highlight w:val="none"/>
          <w:lang w:eastAsia="zh-CN"/>
        </w:rPr>
        <w:t>安排、</w:t>
      </w:r>
      <w:r>
        <w:rPr>
          <w:rFonts w:hint="eastAsia" w:ascii="仿宋_GB2312" w:hAnsi="仿宋_GB2312" w:eastAsia="仿宋_GB2312" w:cs="仿宋_GB2312"/>
          <w:color w:val="auto"/>
          <w:highlight w:val="none"/>
        </w:rPr>
        <w:t>结转到本年仍按原规定用途继续使用的资金。</w:t>
      </w:r>
    </w:p>
    <w:p w14:paraId="57879ADF">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（七）</w:t>
      </w:r>
      <w:r>
        <w:rPr>
          <w:rFonts w:hint="eastAsia" w:ascii="楷体" w:hAnsi="楷体" w:eastAsia="楷体" w:cs="楷体"/>
          <w:color w:val="auto"/>
          <w:highlight w:val="none"/>
          <w:lang w:eastAsia="zh-CN"/>
        </w:rPr>
        <w:t>社会保障和就业（类）行政事业单位养老支出（款）事业单位离退休（项）：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事业单位开支的离退休经费</w:t>
      </w:r>
      <w:r>
        <w:rPr>
          <w:rFonts w:hint="eastAsia" w:ascii="仿宋_GB2312" w:hAnsi="仿宋_GB2312" w:eastAsia="仿宋_GB2312" w:cs="仿宋_GB2312"/>
          <w:color w:val="auto"/>
          <w:highlight w:val="none"/>
        </w:rPr>
        <w:t>。</w:t>
      </w:r>
    </w:p>
    <w:p w14:paraId="3362095C">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（八）</w:t>
      </w:r>
      <w:r>
        <w:rPr>
          <w:rFonts w:hint="eastAsia" w:ascii="楷体" w:hAnsi="楷体" w:eastAsia="楷体" w:cs="楷体"/>
          <w:color w:val="auto"/>
          <w:highlight w:val="none"/>
          <w:lang w:eastAsia="zh-CN"/>
        </w:rPr>
        <w:t>社会保障和就业支出（类）行政事业单位养老支出（款）行政单位离退休（项）：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行政单位（包括实行公务员管理的事业单位）开支的离退休经费。</w:t>
      </w:r>
    </w:p>
    <w:p w14:paraId="617E7CFD">
      <w:pPr>
        <w:bidi w:val="0"/>
        <w:rPr>
          <w:rFonts w:hint="eastAsia" w:eastAsia="仿宋"/>
          <w:color w:val="auto"/>
          <w:highlight w:val="none"/>
          <w:lang w:eastAsia="zh-CN"/>
        </w:rPr>
      </w:pPr>
      <w:r>
        <w:rPr>
          <w:rFonts w:hint="eastAsia" w:ascii="楷体" w:hAnsi="楷体" w:eastAsia="楷体" w:cs="楷体"/>
          <w:color w:val="auto"/>
          <w:highlight w:val="none"/>
          <w:lang w:eastAsia="zh-CN"/>
        </w:rPr>
        <w:t>（九）社会保障和就业支出（类）行政事业单位养老支出（款）机关事业单位基本养老保险缴费支出（项）：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w:t>
      </w:r>
      <w:r>
        <w:rPr>
          <w:rFonts w:hint="eastAsia" w:ascii="仿宋_GB2312" w:hAnsi="仿宋_GB2312" w:eastAsia="仿宋_GB2312" w:cs="仿宋_GB2312"/>
          <w:color w:val="auto"/>
          <w:highlight w:val="none"/>
          <w:lang w:eastAsia="zh-CN"/>
        </w:rPr>
        <w:t>基本</w:t>
      </w:r>
      <w:r>
        <w:rPr>
          <w:rFonts w:hint="eastAsia" w:ascii="仿宋_GB2312" w:hAnsi="仿宋_GB2312" w:eastAsia="仿宋_GB2312" w:cs="仿宋_GB2312"/>
          <w:color w:val="auto"/>
          <w:highlight w:val="none"/>
        </w:rPr>
        <w:t>养老保险费的支出。</w:t>
      </w:r>
    </w:p>
    <w:p w14:paraId="68B66B7A">
      <w:pPr>
        <w:bidi w:val="0"/>
        <w:rPr>
          <w:rFonts w:hint="eastAsia" w:eastAsia="仿宋"/>
          <w:color w:val="auto"/>
          <w:highlight w:val="none"/>
          <w:lang w:eastAsia="zh-CN"/>
        </w:rPr>
      </w:pPr>
      <w:r>
        <w:rPr>
          <w:rFonts w:hint="eastAsia" w:ascii="楷体" w:hAnsi="楷体" w:eastAsia="楷体" w:cs="楷体"/>
          <w:color w:val="auto"/>
          <w:highlight w:val="none"/>
          <w:lang w:eastAsia="zh-CN"/>
        </w:rPr>
        <w:t>（十）社会保障和就业支出（类）行政事业单位养老支出（款）机关事业单位职业年金缴费支出（项）：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实施养老保险制度由单位缴纳的职业年金的支出</w:t>
      </w:r>
      <w:r>
        <w:rPr>
          <w:rFonts w:hint="eastAsia" w:ascii="仿宋_GB2312" w:hAnsi="仿宋_GB2312" w:eastAsia="仿宋_GB2312" w:cs="仿宋_GB2312"/>
          <w:color w:val="auto"/>
          <w:highlight w:val="none"/>
          <w:lang w:eastAsia="zh-CN"/>
        </w:rPr>
        <w:t>（含职业年金补记支出）</w:t>
      </w:r>
      <w:r>
        <w:rPr>
          <w:rFonts w:hint="eastAsia" w:ascii="仿宋_GB2312" w:hAnsi="仿宋_GB2312" w:eastAsia="仿宋_GB2312" w:cs="仿宋_GB2312"/>
          <w:color w:val="auto"/>
          <w:highlight w:val="none"/>
        </w:rPr>
        <w:t>。</w:t>
      </w:r>
    </w:p>
    <w:p w14:paraId="40A0D3D2">
      <w:pPr>
        <w:bidi w:val="0"/>
        <w:rPr>
          <w:rFonts w:hint="eastAsia" w:eastAsia="仿宋"/>
          <w:color w:val="auto"/>
          <w:highlight w:val="none"/>
          <w:lang w:eastAsia="zh-CN"/>
        </w:rPr>
      </w:pPr>
      <w:r>
        <w:rPr>
          <w:rFonts w:hint="eastAsia" w:ascii="楷体" w:hAnsi="楷体" w:eastAsia="楷体" w:cs="楷体"/>
          <w:color w:val="auto"/>
          <w:highlight w:val="none"/>
          <w:lang w:eastAsia="zh-CN"/>
        </w:rPr>
        <w:t>（十一）社会保障和就业支出（类）其他社会保障和就业支出（款）其他社会保障和就业支出（项）：</w:t>
      </w:r>
      <w:r>
        <w:rPr>
          <w:rFonts w:hint="eastAsia" w:ascii="仿宋_GB2312" w:hAnsi="仿宋_GB2312" w:eastAsia="仿宋_GB2312" w:cs="仿宋_GB2312"/>
          <w:color w:val="auto"/>
          <w:highlight w:val="none"/>
        </w:rPr>
        <w:t>指除上述项目</w:t>
      </w:r>
      <w:r>
        <w:rPr>
          <w:rFonts w:hint="eastAsia" w:ascii="仿宋_GB2312" w:hAnsi="仿宋_GB2312" w:eastAsia="仿宋_GB2312" w:cs="仿宋_GB2312"/>
          <w:color w:val="auto"/>
          <w:highlight w:val="none"/>
          <w:lang w:eastAsia="zh-CN"/>
        </w:rPr>
        <w:t>以外</w:t>
      </w:r>
      <w:r>
        <w:rPr>
          <w:rFonts w:hint="eastAsia" w:ascii="仿宋_GB2312" w:hAnsi="仿宋_GB2312" w:eastAsia="仿宋_GB2312" w:cs="仿宋_GB2312"/>
          <w:color w:val="auto"/>
          <w:highlight w:val="none"/>
        </w:rPr>
        <w:t>其他用于</w:t>
      </w:r>
      <w:r>
        <w:rPr>
          <w:rFonts w:hint="eastAsia" w:ascii="仿宋_GB2312" w:hAnsi="仿宋_GB2312" w:eastAsia="仿宋_GB2312" w:cs="仿宋_GB2312"/>
          <w:color w:val="auto"/>
          <w:highlight w:val="none"/>
          <w:lang w:eastAsia="zh-CN"/>
        </w:rPr>
        <w:t>社会保障和就业</w:t>
      </w:r>
      <w:r>
        <w:rPr>
          <w:rFonts w:hint="eastAsia" w:ascii="仿宋_GB2312" w:hAnsi="仿宋_GB2312" w:eastAsia="仿宋_GB2312" w:cs="仿宋_GB2312"/>
          <w:color w:val="auto"/>
          <w:highlight w:val="none"/>
        </w:rPr>
        <w:t>方面的支出。</w:t>
      </w:r>
    </w:p>
    <w:p w14:paraId="7B25B19E">
      <w:pPr>
        <w:bidi w:val="0"/>
        <w:rPr>
          <w:rFonts w:hint="eastAsia" w:eastAsia="仿宋"/>
          <w:color w:val="auto"/>
          <w:highlight w:val="none"/>
          <w:lang w:eastAsia="zh-CN"/>
        </w:rPr>
      </w:pPr>
      <w:r>
        <w:rPr>
          <w:rFonts w:hint="eastAsia" w:ascii="楷体" w:hAnsi="楷体" w:eastAsia="楷体" w:cs="楷体"/>
          <w:color w:val="auto"/>
          <w:highlight w:val="none"/>
          <w:lang w:eastAsia="zh-CN"/>
        </w:rPr>
        <w:t>（十二）卫生健康支出（类）行政事业单位医疗（款）行政单位医疗（项）：</w:t>
      </w:r>
      <w:r>
        <w:rPr>
          <w:rFonts w:hint="eastAsia" w:ascii="仿宋_GB2312" w:hAnsi="仿宋_GB2312" w:eastAsia="仿宋_GB2312" w:cs="仿宋_GB2312"/>
          <w:color w:val="auto"/>
          <w:highlight w:val="none"/>
        </w:rPr>
        <w:t>指财政部门安排的行政单位（包括实行公务员管理的事业单位）基本医疗保险缴费经费，未参加医疗保险的行政单位的公费医疗经费，按国家规定享受离休人员、红军老战士待遇人员的医疗经费。</w:t>
      </w:r>
    </w:p>
    <w:p w14:paraId="1317396B">
      <w:pPr>
        <w:bidi w:val="0"/>
        <w:rPr>
          <w:rFonts w:hint="eastAsia" w:eastAsia="仿宋"/>
          <w:color w:val="auto"/>
          <w:highlight w:val="none"/>
          <w:lang w:eastAsia="zh-CN"/>
        </w:rPr>
      </w:pPr>
      <w:r>
        <w:rPr>
          <w:rFonts w:hint="eastAsia" w:ascii="楷体" w:hAnsi="楷体" w:eastAsia="楷体" w:cs="楷体"/>
          <w:color w:val="auto"/>
          <w:highlight w:val="none"/>
          <w:lang w:eastAsia="zh-CN"/>
        </w:rPr>
        <w:t>（十三）卫生健康支出（类）行政事业单位医疗（款）事业单位医疗（项）：</w:t>
      </w:r>
      <w:r>
        <w:rPr>
          <w:rFonts w:hint="eastAsia" w:ascii="仿宋_GB2312" w:hAnsi="仿宋_GB2312" w:eastAsia="仿宋_GB2312" w:cs="仿宋_GB2312"/>
          <w:color w:val="auto"/>
          <w:highlight w:val="none"/>
        </w:rPr>
        <w:t>指财政部门安排的事业单位基本医疗保险缴费经费，未参加医疗保险的事业单位的公费医疗经费，按国家规定享受离休人员待遇的医疗经费。</w:t>
      </w:r>
    </w:p>
    <w:p w14:paraId="0FE76558">
      <w:pPr>
        <w:bidi w:val="0"/>
        <w:rPr>
          <w:rFonts w:hint="eastAsia" w:eastAsia="仿宋"/>
          <w:color w:val="auto"/>
          <w:highlight w:val="none"/>
          <w:lang w:eastAsia="zh-CN"/>
        </w:rPr>
      </w:pPr>
      <w:r>
        <w:rPr>
          <w:rFonts w:hint="eastAsia" w:ascii="楷体" w:hAnsi="楷体" w:eastAsia="楷体" w:cs="楷体"/>
          <w:color w:val="auto"/>
          <w:highlight w:val="none"/>
          <w:lang w:eastAsia="zh-CN"/>
        </w:rPr>
        <w:t>（十四）卫生健康支出（类）行政事业单位医疗（款）公务员医疗补助（项）：</w:t>
      </w:r>
      <w:r>
        <w:rPr>
          <w:rFonts w:hint="eastAsia" w:ascii="仿宋_GB2312" w:hAnsi="仿宋_GB2312" w:eastAsia="仿宋_GB2312" w:cs="仿宋_GB2312"/>
          <w:color w:val="auto"/>
          <w:highlight w:val="none"/>
        </w:rPr>
        <w:t>指财政部门安排的公务员医疗补助经费。</w:t>
      </w:r>
    </w:p>
    <w:p w14:paraId="6A79AC7B">
      <w:pPr>
        <w:bidi w:val="0"/>
        <w:rPr>
          <w:rFonts w:hint="eastAsia" w:eastAsia="仿宋"/>
          <w:color w:val="auto"/>
          <w:highlight w:val="none"/>
          <w:lang w:eastAsia="zh-CN"/>
        </w:rPr>
      </w:pPr>
      <w:r>
        <w:rPr>
          <w:rFonts w:hint="eastAsia" w:ascii="楷体" w:hAnsi="楷体" w:eastAsia="楷体" w:cs="楷体"/>
          <w:color w:val="auto"/>
          <w:highlight w:val="none"/>
          <w:lang w:eastAsia="zh-CN"/>
        </w:rPr>
        <w:t>（十五）住房保障支出（类）住房改革支出（款）住房公积金（项）：</w:t>
      </w:r>
      <w:r>
        <w:rPr>
          <w:rFonts w:hint="eastAsia" w:ascii="仿宋_GB2312" w:hAnsi="仿宋_GB2312" w:eastAsia="仿宋_GB2312" w:cs="仿宋_GB2312"/>
          <w:color w:val="auto"/>
          <w:highlight w:val="none"/>
        </w:rPr>
        <w:t>指行政事业单位按人力资源和社会保障部、财政部规定的基本工资和津贴补贴以及规定比例为职工缴纳的住房公积金。</w:t>
      </w:r>
    </w:p>
    <w:p w14:paraId="7B43B26E">
      <w:pPr>
        <w:bidi w:val="0"/>
        <w:rPr>
          <w:rFonts w:hint="eastAsia" w:eastAsia="仿宋"/>
          <w:color w:val="auto"/>
          <w:highlight w:val="none"/>
          <w:lang w:eastAsia="zh-CN"/>
        </w:rPr>
      </w:pPr>
      <w:r>
        <w:rPr>
          <w:rFonts w:hint="eastAsia" w:ascii="楷体" w:hAnsi="楷体" w:eastAsia="楷体" w:cs="楷体"/>
          <w:color w:val="auto"/>
          <w:highlight w:val="none"/>
          <w:lang w:eastAsia="zh-CN"/>
        </w:rPr>
        <w:t>（十六）基本支出：</w:t>
      </w:r>
      <w:r>
        <w:rPr>
          <w:rFonts w:hint="eastAsia" w:ascii="仿宋_GB2312" w:hAnsi="仿宋_GB2312" w:eastAsia="仿宋_GB2312" w:cs="仿宋_GB2312"/>
          <w:color w:val="auto"/>
          <w:highlight w:val="none"/>
        </w:rPr>
        <w:t>指为保</w:t>
      </w:r>
      <w:r>
        <w:rPr>
          <w:rFonts w:hint="eastAsia" w:ascii="仿宋_GB2312" w:hAnsi="仿宋_GB2312" w:eastAsia="仿宋_GB2312" w:cs="仿宋_GB2312"/>
          <w:color w:val="auto"/>
          <w:highlight w:val="none"/>
          <w:lang w:eastAsia="zh-CN"/>
        </w:rPr>
        <w:t>障</w:t>
      </w:r>
      <w:r>
        <w:rPr>
          <w:rFonts w:hint="eastAsia" w:ascii="仿宋_GB2312" w:hAnsi="仿宋_GB2312" w:eastAsia="仿宋_GB2312" w:cs="仿宋_GB2312"/>
          <w:color w:val="auto"/>
          <w:highlight w:val="none"/>
        </w:rPr>
        <w:t>机构正常运转，完成日常工作任务而发生的人员支出和公用支出。</w:t>
      </w:r>
    </w:p>
    <w:p w14:paraId="55206F71">
      <w:pPr>
        <w:bidi w:val="0"/>
        <w:rPr>
          <w:rFonts w:hint="eastAsia" w:eastAsia="仿宋"/>
          <w:color w:val="auto"/>
          <w:highlight w:val="none"/>
          <w:lang w:eastAsia="zh-CN"/>
        </w:rPr>
      </w:pPr>
      <w:r>
        <w:rPr>
          <w:rFonts w:hint="eastAsia" w:ascii="楷体" w:hAnsi="楷体" w:eastAsia="楷体" w:cs="楷体"/>
          <w:color w:val="auto"/>
          <w:highlight w:val="none"/>
          <w:lang w:eastAsia="zh-CN"/>
        </w:rPr>
        <w:t>（十七）项目支出：</w:t>
      </w:r>
      <w:r>
        <w:rPr>
          <w:rFonts w:hint="eastAsia" w:ascii="仿宋_GB2312" w:hAnsi="仿宋_GB2312" w:eastAsia="仿宋_GB2312" w:cs="仿宋_GB2312"/>
          <w:color w:val="auto"/>
          <w:highlight w:val="none"/>
        </w:rPr>
        <w:t>指在基本支出之外为完成特定行政任务</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事业发展目标所发生的支出。</w:t>
      </w:r>
    </w:p>
    <w:p w14:paraId="34E04B86">
      <w:pPr>
        <w:bidi w:val="0"/>
        <w:rPr>
          <w:rFonts w:hint="eastAsia" w:ascii="仿宋" w:hAnsi="仿宋" w:eastAsia="仿宋" w:cs="Times New Roman"/>
          <w:color w:val="auto"/>
          <w:sz w:val="32"/>
          <w:szCs w:val="32"/>
          <w:highlight w:val="none"/>
          <w:lang w:val="en-US" w:eastAsia="zh-CN"/>
        </w:rPr>
      </w:pPr>
      <w:r>
        <w:rPr>
          <w:rFonts w:hint="eastAsia" w:ascii="楷体" w:hAnsi="楷体" w:eastAsia="楷体" w:cs="楷体"/>
          <w:color w:val="auto"/>
          <w:highlight w:val="none"/>
          <w:lang w:eastAsia="zh-CN"/>
        </w:rPr>
        <w:t>（十八）“三公”经费：</w:t>
      </w:r>
      <w:r>
        <w:rPr>
          <w:rFonts w:hint="eastAsia" w:ascii="仿宋_GB2312" w:hAnsi="仿宋_GB2312" w:eastAsia="仿宋_GB2312" w:cs="仿宋_GB2312"/>
          <w:color w:val="auto"/>
          <w:highlight w:val="none"/>
          <w:lang w:eastAsia="zh-CN"/>
        </w:rPr>
        <w:t>纳入预算管理的“三公”经费，</w:t>
      </w:r>
      <w:r>
        <w:rPr>
          <w:rFonts w:hint="eastAsia" w:ascii="仿宋_GB2312" w:hAnsi="仿宋_GB2312" w:eastAsia="仿宋_GB2312" w:cs="仿宋_GB2312"/>
          <w:color w:val="auto"/>
          <w:highlight w:val="none"/>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highlight w:val="none"/>
          <w:lang w:eastAsia="zh-CN"/>
        </w:rPr>
        <w:t>、牌照费</w:t>
      </w:r>
      <w:r>
        <w:rPr>
          <w:rFonts w:hint="eastAsia" w:ascii="仿宋_GB2312" w:hAnsi="仿宋_GB2312" w:eastAsia="仿宋_GB2312" w:cs="仿宋_GB2312"/>
          <w:color w:val="auto"/>
          <w:highlight w:val="none"/>
        </w:rPr>
        <w:t>）及</w:t>
      </w:r>
      <w:r>
        <w:rPr>
          <w:rFonts w:hint="eastAsia" w:ascii="仿宋_GB2312" w:hAnsi="仿宋_GB2312" w:eastAsia="仿宋_GB2312" w:cs="仿宋_GB2312"/>
          <w:color w:val="auto"/>
          <w:highlight w:val="none"/>
          <w:lang w:eastAsia="zh-CN"/>
        </w:rPr>
        <w:t>单位按规定保留的公务用车</w:t>
      </w:r>
      <w:r>
        <w:rPr>
          <w:rFonts w:hint="eastAsia" w:ascii="仿宋_GB2312" w:hAnsi="仿宋_GB2312" w:eastAsia="仿宋_GB2312" w:cs="仿宋_GB2312"/>
          <w:color w:val="auto"/>
          <w:highlight w:val="none"/>
        </w:rPr>
        <w:t>燃料费、维修费、过路过桥费、保险费</w:t>
      </w:r>
      <w:r>
        <w:rPr>
          <w:rFonts w:hint="eastAsia" w:ascii="仿宋_GB2312" w:hAnsi="仿宋_GB2312" w:eastAsia="仿宋_GB2312" w:cs="仿宋_GB2312"/>
          <w:color w:val="auto"/>
          <w:highlight w:val="none"/>
          <w:lang w:eastAsia="zh-CN"/>
        </w:rPr>
        <w:t>、安全奖励费用</w:t>
      </w:r>
      <w:r>
        <w:rPr>
          <w:rFonts w:hint="eastAsia" w:ascii="仿宋_GB2312" w:hAnsi="仿宋_GB2312" w:eastAsia="仿宋_GB2312" w:cs="仿宋_GB2312"/>
          <w:color w:val="auto"/>
          <w:highlight w:val="none"/>
        </w:rPr>
        <w:t>等支出；公务接待费反映单位按规定开支的各类公务接待（含外宾接待）支出。</w:t>
      </w:r>
    </w:p>
    <w:p w14:paraId="6B5D5ADF">
      <w:pPr>
        <w:rPr>
          <w:rFonts w:hint="eastAsia"/>
          <w:color w:val="auto"/>
          <w:highlight w:val="none"/>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52B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FA10B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3FA10B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BC7598"/>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CF716E"/>
    <w:rsid w:val="13F265CF"/>
    <w:rsid w:val="13F50541"/>
    <w:rsid w:val="13FD34D0"/>
    <w:rsid w:val="14030F44"/>
    <w:rsid w:val="1421019A"/>
    <w:rsid w:val="14250002"/>
    <w:rsid w:val="143546C3"/>
    <w:rsid w:val="14D50328"/>
    <w:rsid w:val="14FF1C34"/>
    <w:rsid w:val="15016C82"/>
    <w:rsid w:val="15333760"/>
    <w:rsid w:val="153414A8"/>
    <w:rsid w:val="15500F91"/>
    <w:rsid w:val="157F6F01"/>
    <w:rsid w:val="15A866E4"/>
    <w:rsid w:val="15C119DB"/>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20158E"/>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914E82"/>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D904BB"/>
    <w:rsid w:val="2AFE1AAC"/>
    <w:rsid w:val="2B424B14"/>
    <w:rsid w:val="2B576F68"/>
    <w:rsid w:val="2B580C97"/>
    <w:rsid w:val="2B7A76AB"/>
    <w:rsid w:val="2B7F27BA"/>
    <w:rsid w:val="2BE62BB6"/>
    <w:rsid w:val="2C0868BC"/>
    <w:rsid w:val="2C262A09"/>
    <w:rsid w:val="2C456543"/>
    <w:rsid w:val="2C56698C"/>
    <w:rsid w:val="2C6829BD"/>
    <w:rsid w:val="2C7072E8"/>
    <w:rsid w:val="2C726404"/>
    <w:rsid w:val="2C8269FB"/>
    <w:rsid w:val="2CC43FE4"/>
    <w:rsid w:val="2CE403B9"/>
    <w:rsid w:val="2CE77D75"/>
    <w:rsid w:val="2D5F7A17"/>
    <w:rsid w:val="2D9919FB"/>
    <w:rsid w:val="2DEF169F"/>
    <w:rsid w:val="2E2A4CEC"/>
    <w:rsid w:val="2E395AB2"/>
    <w:rsid w:val="2E3E712E"/>
    <w:rsid w:val="2E6F0902"/>
    <w:rsid w:val="2ED12513"/>
    <w:rsid w:val="2ED93BF6"/>
    <w:rsid w:val="2EE53513"/>
    <w:rsid w:val="2EF717D0"/>
    <w:rsid w:val="2F0571F8"/>
    <w:rsid w:val="2F6837FE"/>
    <w:rsid w:val="2F826250"/>
    <w:rsid w:val="2F9C50A0"/>
    <w:rsid w:val="2FF31F43"/>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4FC2664"/>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3A19D2"/>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52714F"/>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500161"/>
    <w:rsid w:val="5B69023F"/>
    <w:rsid w:val="5B747982"/>
    <w:rsid w:val="5B9C44F9"/>
    <w:rsid w:val="5BC11F53"/>
    <w:rsid w:val="5C0438FC"/>
    <w:rsid w:val="5C1C4987"/>
    <w:rsid w:val="5C526A06"/>
    <w:rsid w:val="5C6D4FF3"/>
    <w:rsid w:val="5C8C12C8"/>
    <w:rsid w:val="5CA67BCF"/>
    <w:rsid w:val="5CAD3352"/>
    <w:rsid w:val="5CEF421A"/>
    <w:rsid w:val="5D6E287B"/>
    <w:rsid w:val="5D901E06"/>
    <w:rsid w:val="5DD62F1B"/>
    <w:rsid w:val="5E0651AA"/>
    <w:rsid w:val="5E294F9F"/>
    <w:rsid w:val="5E566896"/>
    <w:rsid w:val="5E604B3E"/>
    <w:rsid w:val="5E64737F"/>
    <w:rsid w:val="5E77526B"/>
    <w:rsid w:val="5E921426"/>
    <w:rsid w:val="5EA77AD3"/>
    <w:rsid w:val="5EB95DD2"/>
    <w:rsid w:val="5EFA58A6"/>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5A1DB9"/>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1020E8"/>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06AF8"/>
    <w:rsid w:val="735D00D3"/>
    <w:rsid w:val="73B07BE6"/>
    <w:rsid w:val="73B155E8"/>
    <w:rsid w:val="741C4825"/>
    <w:rsid w:val="74280C84"/>
    <w:rsid w:val="742A2BFF"/>
    <w:rsid w:val="745921C5"/>
    <w:rsid w:val="74693BC7"/>
    <w:rsid w:val="74977010"/>
    <w:rsid w:val="74CA64C0"/>
    <w:rsid w:val="74F636CF"/>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6EB6EB0"/>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F87A16"/>
    <w:rsid w:val="79223282"/>
    <w:rsid w:val="79FC224E"/>
    <w:rsid w:val="7A01796E"/>
    <w:rsid w:val="7A056E77"/>
    <w:rsid w:val="7A5173A9"/>
    <w:rsid w:val="7A5A076F"/>
    <w:rsid w:val="7B3C7DB9"/>
    <w:rsid w:val="7BC22FF4"/>
    <w:rsid w:val="7BFD4C52"/>
    <w:rsid w:val="7C622CA0"/>
    <w:rsid w:val="7C731091"/>
    <w:rsid w:val="7C776EA4"/>
    <w:rsid w:val="7CA440B9"/>
    <w:rsid w:val="7DF76D47"/>
    <w:rsid w:val="7E5768E9"/>
    <w:rsid w:val="7EAD3051"/>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ff06e5c7-200b-4292-87b9-5631014a3b43</errorID>
      <errorWord>巡查</errorWord>
      <group>L1_Word</group>
      <groupName>字词问题</groupName>
      <ability>L2_Typo</ability>
      <abilityName>字词错误</abilityName>
      <candidateList>
        <item>巡察</item>
      </candidateList>
      <explain>〈动〉巡视考察；巡行察访：～各地。</explain>
      <paraID>5BF251BF</paraID>
      <start>153</start>
      <end>155</end>
      <status>ignored</status>
      <modifiedWord/>
      <trackRevisions>false</trackRevisions>
    </reviewItem>
    <reviewItem>
      <errorID>e93a032c-e427-4d24-bfc7-081d0187a80f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7635BCA5</paraID>
      <start>52</start>
      <end>60</end>
      <status>ignored</status>
      <modifiedWord/>
      <trackRevisions>false</trackRevisions>
    </reviewItem>
    <reviewItem>
      <errorID>97ee75cc-63fd-4353-ac5e-0e0d2c95bbdd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76AC2CDF</paraID>
      <start>60</start>
      <end>68</end>
      <status>ignored</status>
      <modifiedWord/>
      <trackRevisions>false</trackRevisions>
    </reviewItem>
    <reviewItem>
      <errorID>602a0059-b90b-44c7-aa90-9d05a1e8164d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5642FDBF</paraID>
      <start>7</start>
      <end>15</end>
      <status>ignored</status>
      <modifiedWord/>
      <trackRevisions>false</trackRevisions>
    </reviewItem>
    <reviewItem>
      <errorID>064e36aa-df34-4d8d-88a1-cd25d4cb0f6e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78A5381C</paraID>
      <start>3</start>
      <end>13</end>
      <status>ignored</status>
      <modifiedWord/>
      <trackRevisions>false</trackRevisions>
    </reviewItem>
    <reviewItem>
      <errorID>b07c3885-3130-4980-8689-fc3cbcf23deb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45457453</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3d071-a20d-4b13-a07c-6c679ed3ba5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Words>
  <Characters>108</Characters>
  <Lines>1</Lines>
  <Paragraphs>1</Paragraphs>
  <TotalTime>13</TotalTime>
  <ScaleCrop>false</ScaleCrop>
  <LinksUpToDate>false</LinksUpToDate>
  <CharactersWithSpaces>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2026-03-23T06:30:00Z</cp:lastPrinted>
  <dcterms:modified xsi:type="dcterms:W3CDTF">2026-04-08T03:55:07Z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1CBE37B44BA2419C89EDB4B0759A646C_12</vt:lpwstr>
  </property>
</Properties>
</file>