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7FF8B">
      <w:pPr>
        <w:pStyle w:val="2"/>
        <w:spacing w:before="93"/>
        <w:jc w:val="center"/>
        <w:rPr>
          <w:rFonts w:ascii="Times New Roman" w:eastAsia="方正小标宋简体"/>
          <w:kern w:val="2"/>
          <w:sz w:val="44"/>
          <w:szCs w:val="44"/>
        </w:rPr>
      </w:pPr>
      <w:bookmarkStart w:id="0" w:name="_Toc15378442"/>
      <w:bookmarkStart w:id="1" w:name="_Toc15377194"/>
      <w:bookmarkStart w:id="2" w:name="_Toc15377426"/>
      <w:bookmarkStart w:id="3" w:name="_Toc15396476"/>
      <w:bookmarkStart w:id="4" w:name="_Toc15396598"/>
      <w:bookmarkStart w:id="5" w:name="_Toc15377425"/>
      <w:bookmarkStart w:id="6" w:name="_Toc15378441"/>
      <w:bookmarkStart w:id="7" w:name="_Toc15396597"/>
      <w:bookmarkStart w:id="8" w:name="_Toc15306267"/>
      <w:bookmarkStart w:id="9" w:name="_Toc15396475"/>
      <w:bookmarkStart w:id="10" w:name="_Toc15377193"/>
    </w:p>
    <w:p w14:paraId="5597DD27">
      <w:pPr>
        <w:pStyle w:val="2"/>
        <w:spacing w:before="93"/>
        <w:jc w:val="center"/>
        <w:rPr>
          <w:rFonts w:ascii="Times New Roman" w:eastAsia="方正小标宋简体"/>
          <w:kern w:val="2"/>
          <w:sz w:val="44"/>
          <w:szCs w:val="44"/>
        </w:rPr>
      </w:pPr>
    </w:p>
    <w:p w14:paraId="57FEB3EC">
      <w:pPr>
        <w:pStyle w:val="2"/>
        <w:spacing w:before="93"/>
        <w:jc w:val="center"/>
        <w:rPr>
          <w:rFonts w:ascii="Times New Roman" w:eastAsia="方正小标宋简体"/>
          <w:kern w:val="2"/>
          <w:sz w:val="44"/>
          <w:szCs w:val="44"/>
        </w:rPr>
      </w:pPr>
    </w:p>
    <w:p w14:paraId="3E8A5AF2">
      <w:pPr>
        <w:pStyle w:val="2"/>
        <w:spacing w:before="93"/>
        <w:jc w:val="center"/>
        <w:rPr>
          <w:rFonts w:ascii="Times New Roman" w:eastAsia="方正小标宋简体"/>
          <w:kern w:val="2"/>
          <w:sz w:val="44"/>
          <w:szCs w:val="44"/>
        </w:rPr>
      </w:pPr>
    </w:p>
    <w:p w14:paraId="382E201D">
      <w:pPr>
        <w:pStyle w:val="2"/>
        <w:spacing w:before="93"/>
        <w:jc w:val="center"/>
        <w:rPr>
          <w:rFonts w:ascii="Times New Roman" w:eastAsia="方正小标宋简体"/>
          <w:kern w:val="2"/>
          <w:sz w:val="44"/>
          <w:szCs w:val="44"/>
        </w:rPr>
      </w:pPr>
    </w:p>
    <w:p w14:paraId="06EFA434">
      <w:pPr>
        <w:pStyle w:val="2"/>
        <w:spacing w:before="93"/>
        <w:jc w:val="center"/>
        <w:rPr>
          <w:rFonts w:ascii="Times New Roman" w:eastAsia="方正小标宋简体"/>
          <w:kern w:val="2"/>
          <w:sz w:val="44"/>
          <w:szCs w:val="44"/>
        </w:rPr>
      </w:pPr>
    </w:p>
    <w:p w14:paraId="094B794B">
      <w:pPr>
        <w:pStyle w:val="2"/>
        <w:spacing w:before="93"/>
        <w:jc w:val="center"/>
        <w:rPr>
          <w:rFonts w:ascii="Times New Roman" w:eastAsia="方正小标宋简体"/>
          <w:kern w:val="2"/>
          <w:sz w:val="44"/>
          <w:szCs w:val="44"/>
        </w:rPr>
      </w:pPr>
    </w:p>
    <w:p w14:paraId="28DCC066">
      <w:pPr>
        <w:pStyle w:val="2"/>
        <w:spacing w:before="93"/>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2024年度</w:t>
      </w:r>
    </w:p>
    <w:p w14:paraId="29EA0504">
      <w:pPr>
        <w:pStyle w:val="2"/>
        <w:spacing w:before="93"/>
        <w:jc w:val="center"/>
        <w:rPr>
          <w:rFonts w:hint="eastAsia" w:ascii="方正小标宋简体" w:hAnsi="方正小标宋简体" w:eastAsia="方正小标宋简体" w:cs="方正小标宋简体"/>
          <w:kern w:val="2"/>
          <w:sz w:val="44"/>
          <w:szCs w:val="44"/>
        </w:rPr>
      </w:pPr>
      <w:bookmarkStart w:id="11" w:name="_Toc15306268"/>
      <w:r>
        <w:rPr>
          <w:rFonts w:hint="eastAsia" w:ascii="方正小标宋简体" w:hAnsi="方正小标宋简体" w:eastAsia="方正小标宋简体" w:cs="方正小标宋简体"/>
          <w:kern w:val="2"/>
          <w:sz w:val="44"/>
          <w:szCs w:val="44"/>
        </w:rPr>
        <w:t>峨边彝族自治县职业高级中学校（职教中心）</w:t>
      </w:r>
    </w:p>
    <w:p w14:paraId="234F97A9">
      <w:pPr>
        <w:pStyle w:val="2"/>
        <w:spacing w:before="93"/>
        <w:jc w:val="center"/>
        <w:rPr>
          <w:rFonts w:ascii="Times New Roman" w:eastAsia="方正小标宋简体"/>
          <w:kern w:val="2"/>
          <w:sz w:val="44"/>
          <w:szCs w:val="44"/>
        </w:rPr>
      </w:pPr>
      <w:r>
        <w:rPr>
          <w:rFonts w:hint="eastAsia" w:ascii="方正小标宋简体" w:hAnsi="方正小标宋简体" w:eastAsia="方正小标宋简体" w:cs="方正小标宋简体"/>
          <w:kern w:val="2"/>
          <w:sz w:val="44"/>
          <w:szCs w:val="44"/>
        </w:rPr>
        <w:t>单位决算</w:t>
      </w:r>
      <w:bookmarkEnd w:id="0"/>
      <w:bookmarkEnd w:id="1"/>
      <w:bookmarkEnd w:id="2"/>
      <w:bookmarkEnd w:id="3"/>
      <w:bookmarkEnd w:id="4"/>
      <w:bookmarkEnd w:id="11"/>
    </w:p>
    <w:p w14:paraId="43B5FAC5">
      <w:pPr>
        <w:pStyle w:val="20"/>
        <w:rPr>
          <w:rFonts w:ascii="Times New Roman" w:hAnsi="Times New Roman"/>
          <w:sz w:val="44"/>
          <w:szCs w:val="44"/>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5"/>
    <w:bookmarkEnd w:id="6"/>
    <w:bookmarkEnd w:id="7"/>
    <w:bookmarkEnd w:id="8"/>
    <w:bookmarkEnd w:id="9"/>
    <w:bookmarkEnd w:id="10"/>
    <w:p w14:paraId="63C2B1C2">
      <w:pPr>
        <w:widowControl/>
        <w:jc w:val="center"/>
        <w:rPr>
          <w:rFonts w:eastAsia="黑体"/>
          <w:sz w:val="48"/>
          <w:szCs w:val="48"/>
        </w:rPr>
      </w:pPr>
      <w:r>
        <w:rPr>
          <w:rFonts w:hint="eastAsia" w:eastAsia="黑体"/>
          <w:sz w:val="48"/>
          <w:szCs w:val="48"/>
        </w:rPr>
        <w:t>目录</w:t>
      </w:r>
    </w:p>
    <w:p w14:paraId="3F33519A">
      <w:pPr>
        <w:widowControl/>
        <w:jc w:val="center"/>
        <w:rPr>
          <w:rFonts w:eastAsia="黑体" w:cstheme="minorBidi"/>
          <w:sz w:val="28"/>
          <w:szCs w:val="28"/>
        </w:rPr>
      </w:pPr>
    </w:p>
    <w:p w14:paraId="54793FB6">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p w14:paraId="6952E657"/>
    <w:p w14:paraId="0663F834">
      <w:pPr>
        <w:pStyle w:val="12"/>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3</w:t>
      </w:r>
    </w:p>
    <w:p w14:paraId="72AE9C6A">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一、部门职责....................................................................</w:t>
      </w:r>
      <w:r>
        <w:rPr>
          <w:rFonts w:hint="eastAsia" w:eastAsia="仿宋_GB2312" w:cs="仿宋_GB2312"/>
          <w:sz w:val="32"/>
          <w:szCs w:val="32"/>
          <w:lang w:val="en-US" w:eastAsia="zh-CN"/>
        </w:rPr>
        <w:t>3</w:t>
      </w:r>
    </w:p>
    <w:p w14:paraId="12DAD050">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二、机构设置....................................................................</w:t>
      </w:r>
      <w:r>
        <w:rPr>
          <w:rFonts w:hint="eastAsia" w:eastAsia="仿宋_GB2312" w:cs="仿宋_GB2312"/>
          <w:sz w:val="32"/>
          <w:szCs w:val="32"/>
          <w:lang w:val="en-US" w:eastAsia="zh-CN"/>
        </w:rPr>
        <w:t>4</w:t>
      </w:r>
    </w:p>
    <w:p w14:paraId="3C72A2AF">
      <w:pPr>
        <w:pStyle w:val="12"/>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14:paraId="3A384BE0">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5</w:t>
      </w:r>
    </w:p>
    <w:p w14:paraId="6BAC1C12">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5</w:t>
      </w:r>
    </w:p>
    <w:p w14:paraId="22B067F3">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p>
    <w:p w14:paraId="2B7F85AF">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p>
    <w:p w14:paraId="362DE7E9">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p>
    <w:p w14:paraId="5657766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六、一般公共预算财政拨款基本支出决算情况说明...10</w:t>
      </w:r>
    </w:p>
    <w:p w14:paraId="783793D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10</w:t>
      </w:r>
    </w:p>
    <w:p w14:paraId="5EE4089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八、政府性基金预算支出决算情况说明.......................12</w:t>
      </w:r>
    </w:p>
    <w:p w14:paraId="096DCE6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12</w:t>
      </w:r>
    </w:p>
    <w:p w14:paraId="7C1CB59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12</w:t>
      </w:r>
    </w:p>
    <w:p w14:paraId="67A0E544">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14</w:t>
      </w:r>
    </w:p>
    <w:p w14:paraId="5721987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17</w:t>
      </w:r>
    </w:p>
    <w:p w14:paraId="0118590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21</w:t>
      </w:r>
    </w:p>
    <w:p w14:paraId="1373AE6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21</w:t>
      </w:r>
    </w:p>
    <w:p w14:paraId="05E5CB5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21</w:t>
      </w:r>
    </w:p>
    <w:p w14:paraId="44DF1D2D">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三、支出决算表...............................................................2</w:t>
      </w:r>
      <w:r>
        <w:rPr>
          <w:rFonts w:hint="eastAsia" w:eastAsia="仿宋_GB2312" w:cs="仿宋_GB2312"/>
          <w:sz w:val="32"/>
          <w:szCs w:val="32"/>
          <w:lang w:val="en-US" w:eastAsia="zh-CN"/>
        </w:rPr>
        <w:t>1</w:t>
      </w:r>
    </w:p>
    <w:p w14:paraId="6D246CD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w:t>
      </w:r>
      <w:r>
        <w:rPr>
          <w:rFonts w:hint="eastAsia" w:eastAsia="仿宋_GB2312" w:cs="仿宋_GB2312"/>
          <w:sz w:val="32"/>
          <w:szCs w:val="32"/>
        </w:rPr>
        <w:t>.....21</w:t>
      </w:r>
    </w:p>
    <w:p w14:paraId="68753347">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w:t>
      </w:r>
      <w:r>
        <w:rPr>
          <w:rFonts w:hint="eastAsia" w:eastAsia="仿宋_GB2312" w:cs="仿宋_GB2312"/>
          <w:sz w:val="32"/>
          <w:szCs w:val="32"/>
        </w:rPr>
        <w:t>.....2</w:t>
      </w:r>
      <w:r>
        <w:rPr>
          <w:rFonts w:hint="eastAsia" w:eastAsia="仿宋_GB2312" w:cs="仿宋_GB2312"/>
          <w:sz w:val="32"/>
          <w:szCs w:val="32"/>
          <w:lang w:val="en-US" w:eastAsia="zh-CN"/>
        </w:rPr>
        <w:t>1</w:t>
      </w:r>
    </w:p>
    <w:p w14:paraId="24C2A459">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w:t>
      </w:r>
      <w:r>
        <w:rPr>
          <w:rFonts w:hint="eastAsia" w:eastAsia="仿宋_GB2312" w:cs="仿宋_GB2312"/>
          <w:sz w:val="32"/>
          <w:szCs w:val="32"/>
        </w:rPr>
        <w:t>....2</w:t>
      </w:r>
      <w:r>
        <w:rPr>
          <w:rFonts w:hint="eastAsia" w:eastAsia="仿宋_GB2312" w:cs="仿宋_GB2312"/>
          <w:sz w:val="32"/>
          <w:szCs w:val="32"/>
          <w:lang w:val="en-US" w:eastAsia="zh-CN"/>
        </w:rPr>
        <w:t>1</w:t>
      </w:r>
    </w:p>
    <w:p w14:paraId="51E4501A">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w:t>
      </w:r>
      <w:r>
        <w:rPr>
          <w:rFonts w:hint="eastAsia" w:eastAsia="仿宋_GB2312" w:cs="仿宋_GB2312"/>
          <w:sz w:val="32"/>
          <w:szCs w:val="32"/>
        </w:rPr>
        <w:t>...2</w:t>
      </w:r>
      <w:r>
        <w:rPr>
          <w:rFonts w:hint="eastAsia" w:eastAsia="仿宋_GB2312" w:cs="仿宋_GB2312"/>
          <w:sz w:val="32"/>
          <w:szCs w:val="32"/>
          <w:lang w:val="en-US" w:eastAsia="zh-CN"/>
        </w:rPr>
        <w:t>1</w:t>
      </w:r>
    </w:p>
    <w:p w14:paraId="61073281">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w:t>
      </w:r>
      <w:r>
        <w:rPr>
          <w:rFonts w:hint="eastAsia" w:eastAsia="仿宋_GB2312" w:cs="仿宋_GB2312"/>
          <w:sz w:val="32"/>
          <w:szCs w:val="32"/>
        </w:rPr>
        <w:t>.....2</w:t>
      </w:r>
      <w:r>
        <w:rPr>
          <w:rFonts w:hint="eastAsia" w:eastAsia="仿宋_GB2312" w:cs="仿宋_GB2312"/>
          <w:sz w:val="32"/>
          <w:szCs w:val="32"/>
          <w:lang w:val="en-US" w:eastAsia="zh-CN"/>
        </w:rPr>
        <w:t>1</w:t>
      </w:r>
    </w:p>
    <w:p w14:paraId="29E4EDB3">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w:t>
      </w:r>
      <w:r>
        <w:rPr>
          <w:rFonts w:hint="eastAsia" w:eastAsia="仿宋_GB2312" w:cs="仿宋_GB2312"/>
          <w:sz w:val="32"/>
          <w:szCs w:val="32"/>
        </w:rPr>
        <w:t>..2</w:t>
      </w:r>
      <w:r>
        <w:rPr>
          <w:rFonts w:hint="eastAsia" w:eastAsia="仿宋_GB2312" w:cs="仿宋_GB2312"/>
          <w:sz w:val="32"/>
          <w:szCs w:val="32"/>
          <w:lang w:val="en-US" w:eastAsia="zh-CN"/>
        </w:rPr>
        <w:t>1</w:t>
      </w:r>
    </w:p>
    <w:p w14:paraId="458F7608">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十、政府性基金预算财政拨款收入支出决算表............2</w:t>
      </w:r>
      <w:r>
        <w:rPr>
          <w:rFonts w:hint="eastAsia" w:eastAsia="仿宋_GB2312" w:cs="仿宋_GB2312"/>
          <w:sz w:val="32"/>
          <w:szCs w:val="32"/>
          <w:lang w:val="en-US" w:eastAsia="zh-CN"/>
        </w:rPr>
        <w:t>1</w:t>
      </w:r>
    </w:p>
    <w:p w14:paraId="703D7BEC">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十一、国有资本经营预算财政拨款收入支出决算表....2</w:t>
      </w:r>
      <w:r>
        <w:rPr>
          <w:rFonts w:hint="eastAsia" w:eastAsia="仿宋_GB2312" w:cs="仿宋_GB2312"/>
          <w:sz w:val="32"/>
          <w:szCs w:val="32"/>
          <w:lang w:val="en-US" w:eastAsia="zh-CN"/>
        </w:rPr>
        <w:t>1</w:t>
      </w:r>
    </w:p>
    <w:p w14:paraId="7DEC87CD">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十二、国有资本经营预算财政拨款支出决算表............2</w:t>
      </w:r>
      <w:r>
        <w:rPr>
          <w:rFonts w:hint="eastAsia" w:eastAsia="仿宋_GB2312" w:cs="仿宋_GB2312"/>
          <w:sz w:val="32"/>
          <w:szCs w:val="32"/>
          <w:lang w:val="en-US" w:eastAsia="zh-CN"/>
        </w:rPr>
        <w:t>1</w:t>
      </w:r>
    </w:p>
    <w:p w14:paraId="0E3BE696">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21</w:t>
      </w:r>
    </w:p>
    <w:p w14:paraId="15314E64">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5639EDBC">
      <w:pPr>
        <w:pStyle w:val="3"/>
        <w:jc w:val="center"/>
        <w:rPr>
          <w:rFonts w:hint="eastAsia" w:ascii="黑体" w:hAnsi="黑体" w:eastAsia="黑体" w:cs="黑体"/>
          <w:sz w:val="44"/>
          <w:szCs w:val="44"/>
        </w:rPr>
      </w:pPr>
      <w:r>
        <w:rPr>
          <w:rFonts w:hint="eastAsia" w:ascii="黑体" w:hAnsi="黑体" w:eastAsia="黑体" w:cs="黑体"/>
          <w:b w:val="0"/>
          <w:sz w:val="44"/>
          <w:szCs w:val="44"/>
        </w:rPr>
        <w:t xml:space="preserve">第一部分  </w:t>
      </w:r>
      <w:r>
        <w:rPr>
          <w:rStyle w:val="29"/>
          <w:rFonts w:hint="eastAsia" w:ascii="黑体" w:hAnsi="黑体" w:eastAsia="黑体" w:cs="黑体"/>
          <w:b w:val="0"/>
          <w:bCs w:val="0"/>
          <w:sz w:val="44"/>
          <w:szCs w:val="44"/>
        </w:rPr>
        <w:t>部门概况</w:t>
      </w:r>
      <w:bookmarkEnd w:id="12"/>
      <w:bookmarkEnd w:id="13"/>
    </w:p>
    <w:p w14:paraId="1D86874C">
      <w:pPr>
        <w:pStyle w:val="4"/>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ascii="Times New Roman" w:hAnsi="Times New Roman" w:eastAsia="黑体"/>
          <w:b w:val="0"/>
        </w:rPr>
      </w:pPr>
      <w:r>
        <w:rPr>
          <w:rFonts w:hint="eastAsia" w:ascii="Times New Roman" w:hAnsi="Times New Roman" w:eastAsia="黑体"/>
          <w:b w:val="0"/>
          <w:lang w:eastAsia="zh-CN"/>
        </w:rPr>
        <w:t>一、</w:t>
      </w:r>
      <w:r>
        <w:rPr>
          <w:rFonts w:hint="eastAsia" w:ascii="Times New Roman" w:hAnsi="Times New Roman" w:eastAsia="黑体"/>
          <w:b w:val="0"/>
        </w:rPr>
        <w:t>部门职责</w:t>
      </w:r>
    </w:p>
    <w:p w14:paraId="5C8A7C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全面贯彻国家的教育路线、方针、政策和</w:t>
      </w:r>
      <w:r>
        <w:rPr>
          <w:rFonts w:hint="eastAsia" w:ascii="仿宋" w:hAnsi="仿宋" w:eastAsia="仿宋" w:cs="仿宋"/>
          <w:sz w:val="32"/>
          <w:szCs w:val="32"/>
          <w:lang w:eastAsia="zh-CN"/>
        </w:rPr>
        <w:t>法律法规</w:t>
      </w:r>
      <w:r>
        <w:rPr>
          <w:rFonts w:hint="eastAsia" w:ascii="仿宋" w:hAnsi="仿宋" w:eastAsia="仿宋" w:cs="仿宋"/>
          <w:sz w:val="32"/>
          <w:szCs w:val="32"/>
        </w:rPr>
        <w:t>，尊重教育规律，保证教育质量，坚持学校的公益性。</w:t>
      </w:r>
    </w:p>
    <w:p w14:paraId="5C18B3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中等职业学历教育为主，同时兼具社会培训、社区服务等功能，为地方经济建设和社会发展培养合格的专业技术人才，为高等职业院校输送合格新生。</w:t>
      </w:r>
    </w:p>
    <w:p w14:paraId="4198B8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探索多元化发展道路，创建办学特色学校，坚持以人为本、以德为先，以素质为基础</w:t>
      </w:r>
      <w:r>
        <w:rPr>
          <w:rFonts w:hint="eastAsia" w:ascii="仿宋" w:hAnsi="仿宋" w:eastAsia="仿宋" w:cs="仿宋"/>
          <w:sz w:val="32"/>
          <w:szCs w:val="32"/>
          <w:lang w:eastAsia="zh-CN"/>
        </w:rPr>
        <w:t>、以</w:t>
      </w:r>
      <w:r>
        <w:rPr>
          <w:rFonts w:hint="eastAsia" w:ascii="仿宋" w:hAnsi="仿宋" w:eastAsia="仿宋" w:cs="仿宋"/>
          <w:sz w:val="32"/>
          <w:szCs w:val="32"/>
        </w:rPr>
        <w:t>能力为本位</w:t>
      </w:r>
      <w:r>
        <w:rPr>
          <w:rFonts w:hint="eastAsia" w:ascii="仿宋" w:hAnsi="仿宋" w:eastAsia="仿宋" w:cs="仿宋"/>
          <w:sz w:val="32"/>
          <w:szCs w:val="32"/>
          <w:lang w:eastAsia="zh-CN"/>
        </w:rPr>
        <w:t>、以</w:t>
      </w:r>
      <w:r>
        <w:rPr>
          <w:rFonts w:hint="eastAsia" w:ascii="仿宋" w:hAnsi="仿宋" w:eastAsia="仿宋" w:cs="仿宋"/>
          <w:sz w:val="32"/>
          <w:szCs w:val="32"/>
        </w:rPr>
        <w:t>实训为主线</w:t>
      </w:r>
      <w:r>
        <w:rPr>
          <w:rFonts w:hint="eastAsia" w:ascii="仿宋" w:hAnsi="仿宋" w:eastAsia="仿宋" w:cs="仿宋"/>
          <w:sz w:val="32"/>
          <w:szCs w:val="32"/>
          <w:lang w:eastAsia="zh-CN"/>
        </w:rPr>
        <w:t>、以</w:t>
      </w:r>
      <w:r>
        <w:rPr>
          <w:rFonts w:hint="eastAsia" w:ascii="仿宋" w:hAnsi="仿宋" w:eastAsia="仿宋" w:cs="仿宋"/>
          <w:sz w:val="32"/>
          <w:szCs w:val="32"/>
        </w:rPr>
        <w:t>就业为导向</w:t>
      </w:r>
      <w:r>
        <w:rPr>
          <w:rFonts w:hint="eastAsia" w:ascii="仿宋" w:hAnsi="仿宋" w:eastAsia="仿宋" w:cs="仿宋"/>
          <w:sz w:val="32"/>
          <w:szCs w:val="32"/>
          <w:lang w:eastAsia="zh-CN"/>
        </w:rPr>
        <w:t>、以</w:t>
      </w:r>
      <w:r>
        <w:rPr>
          <w:rFonts w:hint="eastAsia" w:ascii="仿宋" w:hAnsi="仿宋" w:eastAsia="仿宋" w:cs="仿宋"/>
          <w:sz w:val="32"/>
          <w:szCs w:val="32"/>
        </w:rPr>
        <w:t>项目为引领、任务驱动的办学原则，构建新型课程体系，提升学校的办学综合实力。</w:t>
      </w:r>
    </w:p>
    <w:p w14:paraId="6CAB9DB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培养与我国社会主义现代化建设要求相适应，德、智、体、美全面发展，具有综合职业能力，在生产、服务一线工作的高素质劳动者和技能型人才。</w:t>
      </w:r>
    </w:p>
    <w:p w14:paraId="75EECF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依照相关</w:t>
      </w:r>
      <w:r>
        <w:rPr>
          <w:rFonts w:hint="eastAsia" w:ascii="仿宋" w:hAnsi="仿宋" w:eastAsia="仿宋" w:cs="仿宋"/>
          <w:sz w:val="32"/>
          <w:szCs w:val="32"/>
          <w:lang w:eastAsia="zh-CN"/>
        </w:rPr>
        <w:t>法律法规</w:t>
      </w:r>
      <w:r>
        <w:rPr>
          <w:rFonts w:hint="eastAsia" w:ascii="仿宋" w:hAnsi="仿宋" w:eastAsia="仿宋" w:cs="仿宋"/>
          <w:sz w:val="32"/>
          <w:szCs w:val="32"/>
        </w:rPr>
        <w:t>和教育行政部门的规定招收学生，对学生进行学籍管理，组织实施教育教学活动，完成教育教学任务，给学生颁发相应的学业证书。</w:t>
      </w:r>
    </w:p>
    <w:p w14:paraId="2D2613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发挥支部政治</w:t>
      </w:r>
      <w:r>
        <w:rPr>
          <w:rFonts w:hint="eastAsia" w:ascii="仿宋" w:hAnsi="仿宋" w:eastAsia="仿宋" w:cs="仿宋"/>
          <w:sz w:val="32"/>
          <w:szCs w:val="32"/>
          <w:lang w:eastAsia="zh-CN"/>
        </w:rPr>
        <w:t>堡垒作用</w:t>
      </w:r>
      <w:r>
        <w:rPr>
          <w:rFonts w:hint="eastAsia" w:ascii="仿宋" w:hAnsi="仿宋" w:eastAsia="仿宋" w:cs="仿宋"/>
          <w:sz w:val="32"/>
          <w:szCs w:val="32"/>
        </w:rPr>
        <w:t>，强化了党员干部和教职工思想作风建设和队伍建设。</w:t>
      </w:r>
    </w:p>
    <w:p w14:paraId="26E5964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完善基础设施建设，提升办学实力，发挥学校功能，扩大社会影响。</w:t>
      </w:r>
    </w:p>
    <w:p w14:paraId="571089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强化制度管理，深化教学改革，优化课程设置，提高教学质量，提升管理效益。</w:t>
      </w:r>
    </w:p>
    <w:p w14:paraId="107EFDC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改进德育工作方法，提高德育工作实效性。</w:t>
      </w:r>
    </w:p>
    <w:p w14:paraId="134B71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探索就业工作模式，力争提高就业质量；认真准备，确保完成招生任务。</w:t>
      </w:r>
    </w:p>
    <w:p w14:paraId="0D3111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加强后勤保障，提升服务质量。</w:t>
      </w:r>
    </w:p>
    <w:p w14:paraId="456647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重视安全工作，确保全年无安全事故发生。</w:t>
      </w:r>
    </w:p>
    <w:p w14:paraId="6E30CBA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充分发挥学校的职能和资源优势，开展了社会培训和技能鉴定工作。</w:t>
      </w:r>
    </w:p>
    <w:p w14:paraId="3ABA47C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pPr>
      <w:r>
        <w:rPr>
          <w:rFonts w:hint="eastAsia" w:ascii="仿宋" w:hAnsi="仿宋" w:eastAsia="仿宋" w:cs="仿宋"/>
          <w:sz w:val="32"/>
          <w:szCs w:val="32"/>
          <w:lang w:val="en-US" w:eastAsia="zh-CN"/>
        </w:rPr>
        <w:t>14.</w:t>
      </w:r>
      <w:r>
        <w:rPr>
          <w:rFonts w:hint="eastAsia" w:ascii="仿宋" w:hAnsi="仿宋" w:eastAsia="仿宋" w:cs="仿宋"/>
          <w:sz w:val="32"/>
          <w:szCs w:val="32"/>
        </w:rPr>
        <w:t>承办上级有关部门交办的其他事项。</w:t>
      </w:r>
    </w:p>
    <w:p w14:paraId="3125B478">
      <w:pPr>
        <w:pStyle w:val="4"/>
        <w:pageBreakBefore w:val="0"/>
        <w:widowControl w:val="0"/>
        <w:kinsoku/>
        <w:wordWrap/>
        <w:overflowPunct/>
        <w:topLinePunct w:val="0"/>
        <w:autoSpaceDE/>
        <w:autoSpaceDN/>
        <w:bidi w:val="0"/>
        <w:adjustRightInd/>
        <w:snapToGrid/>
        <w:ind w:firstLine="640" w:firstLineChars="200"/>
        <w:textAlignment w:val="auto"/>
        <w:rPr>
          <w:rStyle w:val="30"/>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523DAD6E">
      <w:pPr>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峨边彝族自治县职业高级中学校（职教中心）属县教育局下属二级事业单位1个：设：办公室、教务处、总务处、学生处、安全办、工会、培训处、招生就业办。</w:t>
      </w:r>
    </w:p>
    <w:p w14:paraId="37EEF4CC">
      <w:pPr>
        <w:numPr>
          <w:ilvl w:val="0"/>
          <w:numId w:val="1"/>
        </w:numPr>
        <w:rPr>
          <w:rFonts w:hint="eastAsia" w:ascii="仿宋" w:hAnsi="仿宋" w:eastAsia="仿宋" w:cs="仿宋"/>
          <w:sz w:val="32"/>
          <w:szCs w:val="32"/>
        </w:rPr>
      </w:pPr>
      <w:r>
        <w:rPr>
          <w:rFonts w:hint="eastAsia" w:ascii="仿宋" w:hAnsi="仿宋" w:eastAsia="仿宋" w:cs="仿宋"/>
          <w:sz w:val="32"/>
          <w:szCs w:val="32"/>
        </w:rPr>
        <w:br w:type="page"/>
      </w:r>
    </w:p>
    <w:p w14:paraId="1C60B37D">
      <w:pPr>
        <w:pStyle w:val="3"/>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14:paraId="18E0C1C9"/>
    <w:p w14:paraId="15EFA077">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56B80599">
      <w:pPr>
        <w:pStyle w:val="28"/>
        <w:spacing w:line="600" w:lineRule="exact"/>
        <w:ind w:firstLine="640"/>
        <w:outlineLvl w:val="1"/>
        <w:rPr>
          <w:rFonts w:eastAsia="仿宋_GB2312" w:cs="仿宋_GB2312"/>
          <w:color w:val="auto"/>
          <w:sz w:val="32"/>
          <w:szCs w:val="32"/>
        </w:rPr>
      </w:pPr>
      <w:r>
        <w:rPr>
          <w:rFonts w:hint="eastAsia" w:eastAsia="仿宋_GB2312" w:cs="仿宋_GB2312"/>
          <w:color w:val="auto"/>
          <w:sz w:val="32"/>
          <w:szCs w:val="32"/>
        </w:rPr>
        <w:t>2024年度收入、支出总计均为</w:t>
      </w:r>
      <w:r>
        <w:rPr>
          <w:rFonts w:hint="eastAsia" w:ascii="仿宋_GB2312" w:hAnsi="仿宋_GB2312" w:eastAsia="仿宋_GB2312" w:cs="仿宋_GB2312"/>
          <w:color w:val="auto"/>
          <w:sz w:val="32"/>
          <w:szCs w:val="32"/>
        </w:rPr>
        <w:t>1598.29</w:t>
      </w:r>
      <w:r>
        <w:rPr>
          <w:rFonts w:hint="eastAsia" w:eastAsia="仿宋_GB2312" w:cs="仿宋_GB2312"/>
          <w:color w:val="auto"/>
          <w:sz w:val="32"/>
          <w:szCs w:val="32"/>
        </w:rPr>
        <w:t>万元。与2023年度相比，收入、支出总计各增加1.95万元，增长0.11%。主要变动原因是人员支出增加。</w:t>
      </w:r>
    </w:p>
    <w:p w14:paraId="12F04B9A">
      <w:pP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1" name="图表 1"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FD6A8">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3883C397">
      <w:pPr>
        <w:ind w:firstLine="640" w:firstLineChars="200"/>
        <w:rPr>
          <w:rFonts w:eastAsia="仿宋_GB2312" w:cs="仿宋_GB2312"/>
          <w:sz w:val="32"/>
          <w:szCs w:val="32"/>
        </w:rPr>
      </w:pPr>
    </w:p>
    <w:p w14:paraId="4211F7AF">
      <w:pPr>
        <w:pStyle w:val="28"/>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253BF4E7">
      <w:pPr>
        <w:pStyle w:val="28"/>
        <w:spacing w:line="600" w:lineRule="exact"/>
        <w:ind w:firstLine="640"/>
        <w:jc w:val="left"/>
        <w:outlineLvl w:val="1"/>
        <w:rPr>
          <w:rFonts w:hint="eastAsia" w:eastAsia="仿宋_GB2312" w:cs="仿宋_GB2312"/>
          <w:b/>
          <w:bCs/>
          <w:color w:val="auto"/>
          <w:sz w:val="32"/>
          <w:szCs w:val="32"/>
          <w:lang w:eastAsia="zh-CN"/>
        </w:rPr>
      </w:pPr>
      <w:r>
        <w:rPr>
          <w:rFonts w:hint="eastAsia" w:ascii="仿宋_GB2312" w:hAnsi="仿宋_GB2312" w:eastAsia="仿宋_GB2312" w:cs="仿宋_GB2312"/>
          <w:color w:val="auto"/>
          <w:sz w:val="32"/>
          <w:szCs w:val="32"/>
        </w:rPr>
        <w:t>2024年度本年收入合计973.28万元，其中：一般公共预算财政拨款收入873.28万元，占89.72%；政府性基金预算财政拨款收入100万元，占10.27%</w:t>
      </w:r>
      <w:r>
        <w:rPr>
          <w:rFonts w:hint="eastAsia" w:ascii="仿宋_GB2312" w:hAnsi="仿宋_GB2312" w:eastAsia="仿宋_GB2312" w:cs="仿宋_GB2312"/>
          <w:color w:val="auto"/>
          <w:sz w:val="32"/>
          <w:szCs w:val="32"/>
          <w:lang w:eastAsia="zh-CN"/>
        </w:rPr>
        <w:t>。</w:t>
      </w:r>
    </w:p>
    <w:p w14:paraId="2C0C11D9">
      <w:pPr>
        <w:pStyle w:val="28"/>
        <w:spacing w:line="600" w:lineRule="exact"/>
        <w:ind w:left="0" w:leftChars="0" w:firstLine="0" w:firstLineChars="0"/>
        <w:jc w:val="left"/>
        <w:outlineLvl w:val="1"/>
        <w:rPr>
          <w:rFonts w:hint="eastAsia" w:eastAsia="仿宋_GB2312" w:cs="仿宋_GB2312"/>
          <w:b/>
          <w:bCs/>
          <w:sz w:val="32"/>
          <w:szCs w:val="32"/>
          <w:lang w:eastAsia="zh-CN"/>
        </w:rPr>
      </w:pPr>
      <w:r>
        <w:rPr>
          <w:rFonts w:hint="eastAsia" w:eastAsia="仿宋_GB2312" w:cs="仿宋_GB2312"/>
          <w:b/>
          <w:bCs/>
          <w:sz w:val="32"/>
          <w:szCs w:val="32"/>
          <w:lang w:eastAsia="zh-CN"/>
        </w:rPr>
        <w:drawing>
          <wp:anchor distT="0" distB="0" distL="114300" distR="114300" simplePos="0" relativeHeight="251660288" behindDoc="1" locked="0" layoutInCell="1" allowOverlap="1">
            <wp:simplePos x="0" y="0"/>
            <wp:positionH relativeFrom="column">
              <wp:posOffset>-3175</wp:posOffset>
            </wp:positionH>
            <wp:positionV relativeFrom="paragraph">
              <wp:posOffset>67945</wp:posOffset>
            </wp:positionV>
            <wp:extent cx="5256530" cy="2988310"/>
            <wp:effectExtent l="5080" t="4445" r="15240" b="17145"/>
            <wp:wrapTight wrapText="bothSides">
              <wp:wrapPolygon>
                <wp:start x="-21" y="-32"/>
                <wp:lineTo x="-21" y="21449"/>
                <wp:lineTo x="21506" y="21449"/>
                <wp:lineTo x="21506" y="-32"/>
                <wp:lineTo x="-21" y="-32"/>
              </wp:wrapPolygon>
            </wp:wrapTight>
            <wp:docPr id="11" name="图表 11" descr="7b0a202020202263686172745265734964223a2022323034373638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641435C">
      <w:pPr>
        <w:jc w:val="center"/>
        <w:rPr>
          <w:rFonts w:eastAsia="仿宋_GB2312" w:cs="仿宋_GB2312"/>
          <w:sz w:val="32"/>
          <w:szCs w:val="32"/>
        </w:rPr>
      </w:pPr>
      <w:r>
        <w:rPr>
          <w:rFonts w:hint="eastAsia" w:eastAsia="仿宋_GB2312" w:cs="仿宋_GB2312"/>
          <w:sz w:val="32"/>
          <w:szCs w:val="32"/>
        </w:rPr>
        <w:t>（图2：收入决算结构图）</w:t>
      </w:r>
    </w:p>
    <w:p w14:paraId="05FC5518">
      <w:pPr>
        <w:ind w:firstLine="800" w:firstLineChars="250"/>
        <w:rPr>
          <w:rFonts w:eastAsia="仿宋_GB2312" w:cs="仿宋_GB2312"/>
          <w:sz w:val="32"/>
          <w:szCs w:val="32"/>
        </w:rPr>
      </w:pPr>
    </w:p>
    <w:p w14:paraId="7F880692">
      <w:pPr>
        <w:pStyle w:val="28"/>
        <w:spacing w:line="600" w:lineRule="exact"/>
        <w:ind w:firstLine="640"/>
        <w:outlineLvl w:val="1"/>
        <w:rPr>
          <w:rStyle w:val="30"/>
          <w:rFonts w:ascii="Times New Roman" w:hAnsi="Times New Roman" w:eastAsia="黑体"/>
          <w:b w:val="0"/>
        </w:rPr>
      </w:pPr>
      <w:bookmarkStart w:id="22" w:name="_Toc15377207"/>
      <w:bookmarkStart w:id="23" w:name="_Toc15396605"/>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2E4A5214">
      <w:pPr>
        <w:pStyle w:val="28"/>
        <w:spacing w:line="600" w:lineRule="exact"/>
        <w:ind w:firstLine="640"/>
        <w:jc w:val="left"/>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2024年度本年支出合计973.28万元，其中：基本支出483.65万元，占49.69%；项目支出489.62万元，占50.3%</w:t>
      </w:r>
      <w:r>
        <w:rPr>
          <w:rFonts w:hint="eastAsia" w:ascii="仿宋_GB2312" w:hAnsi="仿宋_GB2312" w:eastAsia="仿宋_GB2312" w:cs="仿宋_GB2312"/>
          <w:color w:val="auto"/>
          <w:sz w:val="32"/>
          <w:szCs w:val="32"/>
          <w:lang w:eastAsia="zh-CN"/>
        </w:rPr>
        <w:t>。</w:t>
      </w:r>
    </w:p>
    <w:p w14:paraId="77FC74DF">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r>
        <w:rPr>
          <w:rFonts w:hint="eastAsia" w:eastAsia="仿宋_GB2312" w:cs="仿宋_GB2312"/>
          <w:sz w:val="32"/>
          <w:szCs w:val="32"/>
          <w:lang w:eastAsia="zh-CN"/>
        </w:rPr>
        <w:t>支出决算结构图</w:t>
      </w:r>
      <w:r>
        <w:rPr>
          <w:rFonts w:hint="eastAsia" w:ascii="仿宋_GB2312" w:hAnsi="仿宋_GB2312" w:eastAsia="仿宋_GB2312" w:cs="仿宋_GB2312"/>
          <w:color w:val="FF0000"/>
          <w:sz w:val="32"/>
          <w:szCs w:val="32"/>
          <w:lang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54610</wp:posOffset>
            </wp:positionV>
            <wp:extent cx="5256530" cy="2988310"/>
            <wp:effectExtent l="5080" t="4445" r="15240" b="17145"/>
            <wp:wrapNone/>
            <wp:docPr id="12" name="图表 12" descr="7b0a202020202263686172745265734964223a2022323034373638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037AF2E">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3375DEEC">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0F787E01">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367B3A43">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41AE3EF1">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259E995E">
      <w:pPr>
        <w:pStyle w:val="28"/>
        <w:spacing w:line="600" w:lineRule="exact"/>
        <w:ind w:firstLine="640"/>
        <w:jc w:val="left"/>
        <w:outlineLvl w:val="1"/>
        <w:rPr>
          <w:rFonts w:hint="eastAsia" w:ascii="仿宋_GB2312" w:hAnsi="仿宋_GB2312" w:eastAsia="仿宋_GB2312" w:cs="仿宋_GB2312"/>
          <w:color w:val="FF0000"/>
          <w:sz w:val="32"/>
          <w:szCs w:val="32"/>
          <w:lang w:eastAsia="zh-CN"/>
        </w:rPr>
      </w:pPr>
    </w:p>
    <w:p w14:paraId="36C60F8A">
      <w:pPr>
        <w:pStyle w:val="28"/>
        <w:spacing w:line="600" w:lineRule="exact"/>
        <w:ind w:left="0" w:leftChars="0" w:firstLine="0" w:firstLineChars="0"/>
        <w:jc w:val="left"/>
        <w:outlineLvl w:val="1"/>
        <w:rPr>
          <w:rFonts w:hint="eastAsia" w:ascii="仿宋_GB2312" w:hAnsi="仿宋_GB2312" w:eastAsia="仿宋_GB2312" w:cs="仿宋_GB2312"/>
          <w:color w:val="FF0000"/>
          <w:sz w:val="32"/>
          <w:szCs w:val="32"/>
          <w:lang w:eastAsia="zh-CN"/>
        </w:rPr>
      </w:pPr>
    </w:p>
    <w:p w14:paraId="54A1DC52">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5DC0BF35">
      <w:pPr>
        <w:ind w:firstLine="800" w:firstLineChars="250"/>
        <w:rPr>
          <w:rFonts w:eastAsia="仿宋_GB2312" w:cs="仿宋_GB2312"/>
          <w:sz w:val="32"/>
          <w:szCs w:val="32"/>
        </w:rPr>
      </w:pPr>
    </w:p>
    <w:p w14:paraId="3F0EC08B">
      <w:pPr>
        <w:spacing w:line="600" w:lineRule="exact"/>
        <w:ind w:firstLine="640" w:firstLineChars="200"/>
        <w:outlineLvl w:val="1"/>
        <w:rPr>
          <w:rStyle w:val="30"/>
          <w:rFonts w:ascii="Times New Roman" w:hAnsi="Times New Roman" w:eastAsia="黑体"/>
          <w:b w:val="0"/>
        </w:rPr>
      </w:pPr>
      <w:bookmarkStart w:id="24" w:name="_Toc15377208"/>
      <w:bookmarkStart w:id="25"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60687A4C">
      <w:pPr>
        <w:spacing w:line="600" w:lineRule="exact"/>
        <w:ind w:firstLine="640"/>
        <w:rPr>
          <w:rFonts w:hint="eastAsia" w:eastAsia="仿宋_GB2312" w:cs="仿宋_GB2312"/>
          <w:color w:val="auto"/>
          <w:sz w:val="32"/>
          <w:szCs w:val="32"/>
        </w:rPr>
      </w:pPr>
      <w:r>
        <w:rPr>
          <w:rFonts w:hint="eastAsia" w:eastAsia="仿宋_GB2312" w:cs="仿宋_GB2312"/>
          <w:color w:val="auto"/>
          <w:sz w:val="32"/>
          <w:szCs w:val="32"/>
        </w:rPr>
        <w:t>2024年度财政拨款收入、支出总计均为</w:t>
      </w:r>
      <w:r>
        <w:rPr>
          <w:rFonts w:hint="eastAsia" w:ascii="仿宋_GB2312" w:hAnsi="仿宋_GB2312" w:eastAsia="仿宋_GB2312" w:cs="仿宋_GB2312"/>
          <w:color w:val="auto"/>
          <w:sz w:val="32"/>
          <w:szCs w:val="32"/>
        </w:rPr>
        <w:t>1598.29</w:t>
      </w:r>
      <w:r>
        <w:rPr>
          <w:rFonts w:hint="eastAsia" w:eastAsia="仿宋_GB2312" w:cs="仿宋_GB2312"/>
          <w:color w:val="auto"/>
          <w:sz w:val="32"/>
          <w:szCs w:val="32"/>
        </w:rPr>
        <w:t>万元。与2023年度相比，财政拨款收入总计、支出总计各增加1.95万元，增长0.11%。主要变动原因是人员支出增加。</w:t>
      </w:r>
    </w:p>
    <w:p w14:paraId="6C3429A2">
      <w:pPr>
        <w:pStyle w:val="13"/>
        <w:rPr>
          <w:rFonts w:hint="eastAsia"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-15875</wp:posOffset>
            </wp:positionH>
            <wp:positionV relativeFrom="paragraph">
              <wp:posOffset>133985</wp:posOffset>
            </wp:positionV>
            <wp:extent cx="5256530" cy="2988310"/>
            <wp:effectExtent l="5080" t="4445" r="15240" b="17145"/>
            <wp:wrapNone/>
            <wp:docPr id="13" name="图表 13"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64E345D">
      <w:pPr>
        <w:pStyle w:val="7"/>
        <w:rPr>
          <w:rFonts w:hint="eastAsia" w:eastAsia="仿宋_GB2312" w:cs="仿宋_GB2312"/>
          <w:sz w:val="32"/>
          <w:szCs w:val="32"/>
        </w:rPr>
      </w:pPr>
    </w:p>
    <w:p w14:paraId="69986D1A">
      <w:pPr>
        <w:pStyle w:val="7"/>
        <w:rPr>
          <w:rFonts w:hint="eastAsia" w:eastAsia="仿宋_GB2312" w:cs="仿宋_GB2312"/>
          <w:sz w:val="32"/>
          <w:szCs w:val="32"/>
        </w:rPr>
      </w:pPr>
    </w:p>
    <w:p w14:paraId="50B519EB">
      <w:pPr>
        <w:pStyle w:val="7"/>
        <w:rPr>
          <w:rFonts w:hint="eastAsia" w:eastAsia="仿宋_GB2312" w:cs="仿宋_GB2312"/>
          <w:sz w:val="32"/>
          <w:szCs w:val="32"/>
        </w:rPr>
      </w:pPr>
    </w:p>
    <w:p w14:paraId="409FD199">
      <w:pPr>
        <w:pStyle w:val="7"/>
        <w:rPr>
          <w:rFonts w:hint="eastAsia" w:eastAsia="仿宋_GB2312" w:cs="仿宋_GB2312"/>
          <w:sz w:val="32"/>
          <w:szCs w:val="32"/>
        </w:rPr>
      </w:pPr>
    </w:p>
    <w:p w14:paraId="034CD310">
      <w:pPr>
        <w:pStyle w:val="7"/>
        <w:rPr>
          <w:rFonts w:hint="eastAsia" w:eastAsia="仿宋_GB2312" w:cs="仿宋_GB2312"/>
          <w:sz w:val="32"/>
          <w:szCs w:val="32"/>
        </w:rPr>
      </w:pPr>
    </w:p>
    <w:p w14:paraId="5910BE2D">
      <w:pPr>
        <w:pStyle w:val="7"/>
        <w:rPr>
          <w:rFonts w:hint="eastAsia" w:eastAsia="仿宋_GB2312" w:cs="仿宋_GB2312"/>
          <w:sz w:val="32"/>
          <w:szCs w:val="32"/>
        </w:rPr>
      </w:pPr>
    </w:p>
    <w:p w14:paraId="7D6BD5C3">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w:t>
      </w:r>
    </w:p>
    <w:p w14:paraId="3113A983">
      <w:pPr>
        <w:pStyle w:val="7"/>
        <w:ind w:left="0" w:leftChars="0" w:firstLine="0" w:firstLineChars="0"/>
      </w:pPr>
    </w:p>
    <w:p w14:paraId="72423D39">
      <w:pPr>
        <w:spacing w:line="600" w:lineRule="exact"/>
        <w:ind w:firstLine="640" w:firstLineChars="200"/>
        <w:outlineLvl w:val="1"/>
        <w:rPr>
          <w:rStyle w:val="30"/>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53462EB7">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7364D1A6">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2024年度一般公共预算财政拨款支出873.28万元，占本年支出合计的89.72%。与2023年度相比，一般公共预算财政拨款支出增加75.11万元，增长9.41%。主要变动原因是人员经费支出增加。</w:t>
      </w:r>
    </w:p>
    <w:p w14:paraId="372B4039">
      <w:pPr>
        <w:pStyle w:val="7"/>
        <w:rPr>
          <w:rFonts w:hint="eastAsia" w:ascii="仿宋_GB2312" w:hAnsi="仿宋_GB2312" w:eastAsia="仿宋_GB2312" w:cs="仿宋_GB2312"/>
          <w:color w:val="FF0000"/>
          <w:sz w:val="32"/>
          <w:szCs w:val="32"/>
        </w:rPr>
      </w:pPr>
    </w:p>
    <w:p w14:paraId="0A3F650F">
      <w:pPr>
        <w:pStyle w:val="7"/>
        <w:rPr>
          <w:rFonts w:hint="eastAsia" w:ascii="仿宋_GB2312" w:hAnsi="仿宋_GB2312" w:eastAsia="仿宋_GB2312" w:cs="仿宋_GB2312"/>
          <w:color w:val="FF0000"/>
          <w:sz w:val="32"/>
          <w:szCs w:val="32"/>
        </w:rPr>
      </w:pPr>
    </w:p>
    <w:p w14:paraId="7DADA1C8">
      <w:pPr>
        <w:pStyle w:val="7"/>
        <w:rPr>
          <w:rFonts w:hint="eastAsia" w:ascii="仿宋_GB2312" w:hAnsi="仿宋_GB2312" w:eastAsia="仿宋_GB2312" w:cs="仿宋_GB2312"/>
          <w:color w:val="FF0000"/>
          <w:sz w:val="32"/>
          <w:szCs w:val="32"/>
        </w:rPr>
      </w:pPr>
      <w:r>
        <w:rPr>
          <w:rFonts w:hint="eastAsia" w:eastAsia="仿宋_GB2312" w:cs="仿宋_GB2312"/>
          <w:sz w:val="32"/>
          <w:szCs w:val="32"/>
          <w:lang w:eastAsia="zh-CN"/>
        </w:rPr>
        <w:drawing>
          <wp:anchor distT="0" distB="0" distL="114300" distR="114300" simplePos="0" relativeHeight="251663360" behindDoc="0" locked="0" layoutInCell="1" allowOverlap="1">
            <wp:simplePos x="0" y="0"/>
            <wp:positionH relativeFrom="column">
              <wp:posOffset>330200</wp:posOffset>
            </wp:positionH>
            <wp:positionV relativeFrom="paragraph">
              <wp:posOffset>106680</wp:posOffset>
            </wp:positionV>
            <wp:extent cx="4763135" cy="2530475"/>
            <wp:effectExtent l="4445" t="5080" r="13970" b="17145"/>
            <wp:wrapNone/>
            <wp:docPr id="14" name="图表 14"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BD62BEE">
      <w:pPr>
        <w:pStyle w:val="7"/>
        <w:rPr>
          <w:rFonts w:hint="eastAsia" w:ascii="仿宋_GB2312" w:hAnsi="仿宋_GB2312" w:eastAsia="仿宋_GB2312" w:cs="仿宋_GB2312"/>
          <w:color w:val="FF0000"/>
          <w:sz w:val="32"/>
          <w:szCs w:val="32"/>
        </w:rPr>
      </w:pPr>
    </w:p>
    <w:p w14:paraId="62F5C1A1">
      <w:pPr>
        <w:pStyle w:val="7"/>
        <w:rPr>
          <w:rFonts w:hint="eastAsia" w:ascii="仿宋_GB2312" w:hAnsi="仿宋_GB2312" w:eastAsia="仿宋_GB2312" w:cs="仿宋_GB2312"/>
          <w:color w:val="FF0000"/>
          <w:sz w:val="32"/>
          <w:szCs w:val="32"/>
        </w:rPr>
      </w:pPr>
    </w:p>
    <w:p w14:paraId="53FB544C">
      <w:pPr>
        <w:pStyle w:val="7"/>
        <w:rPr>
          <w:rFonts w:hint="eastAsia" w:ascii="仿宋_GB2312" w:hAnsi="仿宋_GB2312" w:eastAsia="仿宋_GB2312" w:cs="仿宋_GB2312"/>
          <w:color w:val="FF0000"/>
          <w:sz w:val="32"/>
          <w:szCs w:val="32"/>
        </w:rPr>
      </w:pPr>
    </w:p>
    <w:p w14:paraId="72E53F5B">
      <w:pPr>
        <w:pStyle w:val="7"/>
        <w:rPr>
          <w:rFonts w:hint="eastAsia" w:ascii="仿宋_GB2312" w:hAnsi="仿宋_GB2312" w:eastAsia="仿宋_GB2312" w:cs="仿宋_GB2312"/>
          <w:color w:val="FF0000"/>
          <w:sz w:val="32"/>
          <w:szCs w:val="32"/>
        </w:rPr>
      </w:pPr>
    </w:p>
    <w:p w14:paraId="50F78530">
      <w:pPr>
        <w:spacing w:line="600" w:lineRule="exact"/>
        <w:rPr>
          <w:rFonts w:hint="eastAsia" w:eastAsia="仿宋_GB2312" w:cs="仿宋_GB2312"/>
          <w:sz w:val="32"/>
          <w:szCs w:val="32"/>
        </w:rPr>
      </w:pPr>
    </w:p>
    <w:p w14:paraId="1D351088">
      <w:pPr>
        <w:spacing w:line="600" w:lineRule="exact"/>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5E449BC9">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25BA1895">
      <w:pPr>
        <w:spacing w:line="600" w:lineRule="exact"/>
        <w:ind w:firstLine="640"/>
        <w:rPr>
          <w:rFonts w:hint="eastAsia" w:eastAsia="仿宋_GB2312" w:cs="仿宋_GB2312"/>
          <w:color w:val="auto"/>
          <w:sz w:val="32"/>
          <w:szCs w:val="32"/>
        </w:rPr>
      </w:pPr>
      <w:r>
        <w:rPr>
          <w:rFonts w:hint="eastAsia" w:eastAsia="仿宋_GB2312" w:cs="仿宋_GB2312"/>
          <w:color w:val="auto"/>
          <w:sz w:val="32"/>
          <w:szCs w:val="32"/>
        </w:rPr>
        <w:t>2024年度一般公共预算财政拨款支出</w:t>
      </w:r>
      <w:r>
        <w:rPr>
          <w:rFonts w:hint="eastAsia" w:ascii="仿宋_GB2312" w:hAnsi="仿宋_GB2312" w:eastAsia="仿宋_GB2312" w:cs="仿宋_GB2312"/>
          <w:color w:val="auto"/>
          <w:sz w:val="32"/>
          <w:szCs w:val="32"/>
        </w:rPr>
        <w:t>873.28万元</w:t>
      </w:r>
      <w:r>
        <w:rPr>
          <w:rFonts w:hint="eastAsia" w:eastAsia="仿宋_GB2312" w:cs="仿宋_GB2312"/>
          <w:color w:val="auto"/>
          <w:sz w:val="32"/>
          <w:szCs w:val="32"/>
        </w:rPr>
        <w:t>，主要用于以下方面：教育支出675.65万元，占77.37%；社会保障和就业支出66.84万元，占7.66%；卫生健康支出15.56万元，占1.78%；农林水支出80万元，占9.16%；住房保障支出35.22万元，占4.03%。</w:t>
      </w:r>
    </w:p>
    <w:p w14:paraId="0980D1C2">
      <w:pPr>
        <w:pStyle w:val="13"/>
        <w:rPr>
          <w:rFonts w:hint="eastAsia" w:eastAsia="仿宋_GB2312" w:cs="仿宋_GB2312"/>
          <w:color w:val="FF0000"/>
          <w:sz w:val="32"/>
          <w:szCs w:val="32"/>
          <w:lang w:eastAsia="zh-CN"/>
        </w:rPr>
      </w:pPr>
      <w:r>
        <w:rPr>
          <w:rFonts w:hint="eastAsia" w:eastAsia="仿宋_GB2312" w:cs="仿宋_GB2312"/>
          <w:color w:val="FF0000"/>
          <w:sz w:val="32"/>
          <w:szCs w:val="32"/>
          <w:lang w:eastAsia="zh-CN"/>
        </w:rPr>
        <w:drawing>
          <wp:inline distT="0" distB="0" distL="114300" distR="114300">
            <wp:extent cx="4441825" cy="2452370"/>
            <wp:effectExtent l="4445" t="4445" r="11430" b="57785"/>
            <wp:docPr id="16" name="图表 16" descr="7b0a202020202263686172745265734964223a202235303035333431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1CFE95">
      <w:pPr>
        <w:spacing w:line="600" w:lineRule="exact"/>
        <w:jc w:val="center"/>
        <w:rPr>
          <w:rFonts w:eastAsia="仿宋_GB2312" w:cs="仿宋_GB2312"/>
          <w:sz w:val="32"/>
          <w:szCs w:val="32"/>
        </w:rPr>
      </w:pPr>
      <w:r>
        <w:rPr>
          <w:rFonts w:hint="eastAsia" w:eastAsia="仿宋_GB2312" w:cs="仿宋_GB2312"/>
          <w:sz w:val="32"/>
          <w:szCs w:val="32"/>
        </w:rPr>
        <w:t>（图6：一般公共预算财政拨款支出决算结构）</w:t>
      </w:r>
    </w:p>
    <w:p w14:paraId="29CD3824">
      <w:pPr>
        <w:spacing w:line="600" w:lineRule="exact"/>
        <w:ind w:firstLine="640"/>
        <w:rPr>
          <w:rFonts w:eastAsia="仿宋_GB2312" w:cs="仿宋_GB2312"/>
          <w:sz w:val="32"/>
          <w:szCs w:val="32"/>
        </w:rPr>
      </w:pPr>
    </w:p>
    <w:p w14:paraId="1D3D0F98">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17B81F09">
      <w:pPr>
        <w:spacing w:line="600" w:lineRule="exact"/>
        <w:ind w:firstLine="640"/>
        <w:rPr>
          <w:rFonts w:eastAsia="仿宋_GB2312" w:cs="仿宋_GB2312"/>
          <w:color w:val="auto"/>
          <w:sz w:val="32"/>
          <w:szCs w:val="32"/>
        </w:rPr>
      </w:pPr>
      <w:bookmarkStart w:id="31" w:name="_Toc15378460"/>
      <w:bookmarkStart w:id="32" w:name="_Toc15377213"/>
      <w:bookmarkStart w:id="33" w:name="_Toc15377444"/>
      <w:r>
        <w:rPr>
          <w:rFonts w:hint="eastAsia" w:eastAsia="仿宋_GB2312" w:cs="仿宋_GB2312"/>
          <w:color w:val="auto"/>
          <w:sz w:val="32"/>
          <w:szCs w:val="32"/>
        </w:rPr>
        <w:t>2024年度一般公共预算财政拨款支出决算数为</w:t>
      </w:r>
      <w:r>
        <w:rPr>
          <w:rFonts w:hint="eastAsia" w:ascii="仿宋_GB2312" w:hAnsi="仿宋_GB2312" w:eastAsia="仿宋_GB2312" w:cs="仿宋_GB2312"/>
          <w:color w:val="auto"/>
          <w:sz w:val="32"/>
          <w:szCs w:val="32"/>
        </w:rPr>
        <w:t>873.28</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w:t>
      </w:r>
      <w:r>
        <w:rPr>
          <w:rFonts w:hint="eastAsia" w:eastAsia="仿宋_GB2312" w:cs="仿宋_GB2312"/>
          <w:color w:val="auto"/>
          <w:sz w:val="32"/>
          <w:szCs w:val="32"/>
        </w:rPr>
        <w:t>完成预算100%。其中：</w:t>
      </w:r>
      <w:bookmarkEnd w:id="31"/>
      <w:bookmarkEnd w:id="32"/>
      <w:bookmarkEnd w:id="33"/>
    </w:p>
    <w:p w14:paraId="1ACB4903">
      <w:pPr>
        <w:spacing w:line="600" w:lineRule="exact"/>
        <w:ind w:left="640"/>
        <w:rPr>
          <w:rFonts w:eastAsia="仿宋_GB2312" w:cs="仿宋_GB2312"/>
          <w:color w:val="auto"/>
          <w:sz w:val="32"/>
          <w:szCs w:val="32"/>
        </w:rPr>
      </w:pPr>
      <w:r>
        <w:rPr>
          <w:rFonts w:hint="eastAsia" w:eastAsia="仿宋_GB2312" w:cs="仿宋_GB2312"/>
          <w:color w:val="auto"/>
          <w:sz w:val="32"/>
          <w:szCs w:val="32"/>
        </w:rPr>
        <w:t>1.教育（类）教育管理事务（款）其他教育管理事务支出（项）</w:t>
      </w:r>
      <w:r>
        <w:rPr>
          <w:rFonts w:hint="eastAsia" w:eastAsia="仿宋_GB2312" w:cs="仿宋_GB2312"/>
          <w:color w:val="auto"/>
          <w:sz w:val="32"/>
          <w:szCs w:val="32"/>
          <w:lang w:eastAsia="zh-CN"/>
        </w:rPr>
        <w:t>：</w:t>
      </w:r>
      <w:r>
        <w:rPr>
          <w:rFonts w:hint="eastAsia" w:eastAsia="仿宋_GB2312" w:cs="仿宋_GB2312"/>
          <w:color w:val="auto"/>
          <w:sz w:val="32"/>
          <w:szCs w:val="32"/>
        </w:rPr>
        <w:t xml:space="preserve"> 支出决算为3.08万元，完成预算100%。</w:t>
      </w:r>
    </w:p>
    <w:p w14:paraId="0EAA4F47">
      <w:pPr>
        <w:spacing w:line="600" w:lineRule="exact"/>
        <w:ind w:left="640"/>
        <w:rPr>
          <w:rFonts w:eastAsia="仿宋_GB2312" w:cs="仿宋_GB2312"/>
          <w:color w:val="auto"/>
          <w:sz w:val="32"/>
          <w:szCs w:val="32"/>
        </w:rPr>
      </w:pPr>
      <w:r>
        <w:rPr>
          <w:rFonts w:hint="eastAsia" w:eastAsia="仿宋_GB2312" w:cs="仿宋_GB2312"/>
          <w:color w:val="auto"/>
          <w:sz w:val="32"/>
          <w:szCs w:val="32"/>
        </w:rPr>
        <w:t>2.教育（类）普通教育（款）小学教育（项）</w:t>
      </w:r>
      <w:r>
        <w:rPr>
          <w:rFonts w:hint="eastAsia" w:eastAsia="仿宋_GB2312" w:cs="仿宋_GB2312"/>
          <w:color w:val="auto"/>
          <w:sz w:val="32"/>
          <w:szCs w:val="32"/>
          <w:lang w:eastAsia="zh-CN"/>
        </w:rPr>
        <w:t>：</w:t>
      </w:r>
      <w:r>
        <w:rPr>
          <w:rFonts w:hint="eastAsia" w:eastAsia="仿宋_GB2312" w:cs="仿宋_GB2312"/>
          <w:color w:val="auto"/>
          <w:sz w:val="32"/>
          <w:szCs w:val="32"/>
        </w:rPr>
        <w:t xml:space="preserve"> 支出决算为10.42万元，完成预算100%。</w:t>
      </w:r>
    </w:p>
    <w:p w14:paraId="65055219">
      <w:pPr>
        <w:spacing w:line="600" w:lineRule="exact"/>
        <w:ind w:firstLine="640"/>
        <w:rPr>
          <w:rFonts w:eastAsia="仿宋_GB2312" w:cs="仿宋_GB2312"/>
          <w:color w:val="auto"/>
          <w:sz w:val="32"/>
          <w:szCs w:val="32"/>
        </w:rPr>
      </w:pPr>
      <w:r>
        <w:rPr>
          <w:rFonts w:hint="eastAsia" w:eastAsia="仿宋_GB2312" w:cs="仿宋_GB2312"/>
          <w:color w:val="auto"/>
          <w:sz w:val="32"/>
          <w:szCs w:val="32"/>
        </w:rPr>
        <w:t>3.教育（类）普通教育（款）初中教育（项）</w:t>
      </w:r>
      <w:r>
        <w:rPr>
          <w:rFonts w:hint="eastAsia" w:eastAsia="仿宋_GB2312" w:cs="仿宋_GB2312"/>
          <w:color w:val="auto"/>
          <w:sz w:val="32"/>
          <w:szCs w:val="32"/>
          <w:lang w:eastAsia="zh-CN"/>
        </w:rPr>
        <w:t>：</w:t>
      </w:r>
      <w:r>
        <w:rPr>
          <w:rFonts w:hint="eastAsia" w:eastAsia="仿宋_GB2312" w:cs="仿宋_GB2312"/>
          <w:color w:val="auto"/>
          <w:sz w:val="32"/>
          <w:szCs w:val="32"/>
        </w:rPr>
        <w:t xml:space="preserve"> 支出决算为7.69万元，完成预算100%。</w:t>
      </w:r>
    </w:p>
    <w:p w14:paraId="7693D29F">
      <w:pPr>
        <w:spacing w:line="600" w:lineRule="exact"/>
        <w:ind w:firstLine="640"/>
        <w:rPr>
          <w:rFonts w:eastAsia="仿宋_GB2312" w:cs="仿宋_GB2312"/>
          <w:color w:val="auto"/>
          <w:sz w:val="32"/>
          <w:szCs w:val="32"/>
        </w:rPr>
      </w:pPr>
      <w:r>
        <w:rPr>
          <w:rFonts w:hint="eastAsia" w:eastAsia="仿宋_GB2312" w:cs="仿宋_GB2312"/>
          <w:color w:val="auto"/>
          <w:sz w:val="32"/>
          <w:szCs w:val="32"/>
        </w:rPr>
        <w:t>4.教育（类）职业教育（款）中等职业教育（项）</w:t>
      </w:r>
      <w:r>
        <w:rPr>
          <w:rFonts w:hint="eastAsia" w:eastAsia="仿宋_GB2312" w:cs="仿宋_GB2312"/>
          <w:color w:val="auto"/>
          <w:sz w:val="32"/>
          <w:szCs w:val="32"/>
          <w:lang w:eastAsia="zh-CN"/>
        </w:rPr>
        <w:t>：</w:t>
      </w:r>
      <w:r>
        <w:rPr>
          <w:rFonts w:hint="eastAsia" w:eastAsia="仿宋_GB2312" w:cs="仿宋_GB2312"/>
          <w:color w:val="auto"/>
          <w:sz w:val="32"/>
          <w:szCs w:val="32"/>
        </w:rPr>
        <w:t xml:space="preserve"> 支出决算为623.95万元，完成预算100%。</w:t>
      </w:r>
    </w:p>
    <w:p w14:paraId="7E5B95EC">
      <w:pPr>
        <w:spacing w:line="600" w:lineRule="exact"/>
        <w:ind w:firstLine="640"/>
        <w:rPr>
          <w:color w:val="auto"/>
        </w:rPr>
      </w:pPr>
      <w:r>
        <w:rPr>
          <w:rFonts w:hint="eastAsia" w:eastAsia="仿宋_GB2312" w:cs="仿宋_GB2312"/>
          <w:color w:val="auto"/>
          <w:sz w:val="32"/>
          <w:szCs w:val="32"/>
        </w:rPr>
        <w:t>5.教育（类）其他教育支出（款）其他教育支出（项）</w:t>
      </w:r>
      <w:r>
        <w:rPr>
          <w:rFonts w:hint="eastAsia" w:eastAsia="仿宋_GB2312" w:cs="仿宋_GB2312"/>
          <w:color w:val="auto"/>
          <w:sz w:val="32"/>
          <w:szCs w:val="32"/>
          <w:lang w:eastAsia="zh-CN"/>
        </w:rPr>
        <w:t>：</w:t>
      </w:r>
      <w:r>
        <w:rPr>
          <w:rFonts w:hint="eastAsia" w:eastAsia="仿宋_GB2312" w:cs="仿宋_GB2312"/>
          <w:color w:val="auto"/>
          <w:sz w:val="32"/>
          <w:szCs w:val="32"/>
        </w:rPr>
        <w:t xml:space="preserve"> 支出决算为30.50万元，完成预算100%。</w:t>
      </w:r>
    </w:p>
    <w:p w14:paraId="730DFF96">
      <w:pPr>
        <w:spacing w:line="600" w:lineRule="exact"/>
        <w:ind w:firstLine="640"/>
        <w:rPr>
          <w:rFonts w:eastAsia="仿宋_GB2312" w:cs="仿宋_GB2312"/>
          <w:color w:val="auto"/>
          <w:sz w:val="32"/>
          <w:szCs w:val="32"/>
        </w:rPr>
      </w:pPr>
      <w:r>
        <w:rPr>
          <w:rFonts w:hint="eastAsia" w:eastAsia="仿宋_GB2312" w:cs="仿宋_GB2312"/>
          <w:color w:val="auto"/>
          <w:sz w:val="32"/>
          <w:szCs w:val="32"/>
        </w:rPr>
        <w:t>6.社会保障和就业（类）行政事业单位养老支出（款）机关事业单位基本养老保险缴费支出（项）：支出决算为40.22万元，完成预算100%。</w:t>
      </w:r>
    </w:p>
    <w:p w14:paraId="71F9CE26">
      <w:pPr>
        <w:spacing w:line="600" w:lineRule="exact"/>
        <w:ind w:firstLine="640"/>
        <w:rPr>
          <w:rFonts w:eastAsia="仿宋_GB2312" w:cs="仿宋_GB2312"/>
          <w:color w:val="auto"/>
          <w:sz w:val="32"/>
          <w:szCs w:val="32"/>
        </w:rPr>
      </w:pPr>
      <w:r>
        <w:rPr>
          <w:rFonts w:hint="eastAsia" w:eastAsia="仿宋_GB2312" w:cs="仿宋_GB2312"/>
          <w:color w:val="auto"/>
          <w:sz w:val="32"/>
          <w:szCs w:val="32"/>
        </w:rPr>
        <w:t>7.社会保障和就业（类）行政事业单位养老支出（款）机关事业单位职业年金缴费支出（项）：支出决算为20.11万元，完成预算100%。</w:t>
      </w:r>
    </w:p>
    <w:p w14:paraId="58AFF82E">
      <w:pPr>
        <w:spacing w:line="600" w:lineRule="exact"/>
        <w:ind w:firstLine="640"/>
        <w:rPr>
          <w:rFonts w:eastAsia="仿宋_GB2312" w:cs="仿宋_GB2312"/>
          <w:color w:val="auto"/>
          <w:sz w:val="32"/>
          <w:szCs w:val="32"/>
        </w:rPr>
      </w:pPr>
      <w:r>
        <w:rPr>
          <w:rFonts w:hint="eastAsia" w:eastAsia="仿宋_GB2312" w:cs="仿宋_GB2312"/>
          <w:color w:val="auto"/>
          <w:sz w:val="32"/>
          <w:szCs w:val="32"/>
        </w:rPr>
        <w:t>8.社会保障和就业（类）其他社会保障和就业支出（款）其他社会保障和就业支出（项）：支出决算为6.52万元，完成预算100%。</w:t>
      </w:r>
    </w:p>
    <w:p w14:paraId="7EC19436">
      <w:pPr>
        <w:spacing w:line="600" w:lineRule="exact"/>
        <w:ind w:firstLine="640" w:firstLineChars="200"/>
        <w:rPr>
          <w:rFonts w:eastAsia="仿宋_GB2312" w:cs="仿宋_GB2312"/>
          <w:color w:val="auto"/>
          <w:sz w:val="32"/>
          <w:szCs w:val="32"/>
        </w:rPr>
      </w:pPr>
      <w:r>
        <w:rPr>
          <w:rFonts w:hint="eastAsia" w:eastAsia="仿宋_GB2312" w:cs="仿宋_GB2312"/>
          <w:color w:val="auto"/>
          <w:sz w:val="32"/>
          <w:szCs w:val="32"/>
        </w:rPr>
        <w:t>9.卫生健康（类）行政事业单位医疗（款）事业单位医疗（项）：支出决算为15.56万元，完成预算100%。</w:t>
      </w:r>
    </w:p>
    <w:p w14:paraId="3B43957C">
      <w:pPr>
        <w:spacing w:line="600" w:lineRule="exact"/>
        <w:ind w:firstLine="640" w:firstLineChars="200"/>
        <w:rPr>
          <w:rFonts w:eastAsia="仿宋_GB2312" w:cs="仿宋_GB2312"/>
          <w:color w:val="auto"/>
          <w:sz w:val="32"/>
          <w:szCs w:val="32"/>
        </w:rPr>
      </w:pPr>
      <w:r>
        <w:rPr>
          <w:rFonts w:hint="eastAsia" w:eastAsia="仿宋_GB2312" w:cs="仿宋_GB2312"/>
          <w:color w:val="auto"/>
          <w:sz w:val="32"/>
          <w:szCs w:val="32"/>
        </w:rPr>
        <w:t>10.农林水支出（类）巩固脱贫攻坚成果衔接乡村振兴（款）其他巩固脱贫攻坚成果衔接乡村振兴支出（项）：支出决算</w:t>
      </w:r>
      <w:bookmarkStart w:id="67" w:name="_GoBack"/>
      <w:bookmarkEnd w:id="67"/>
      <w:r>
        <w:rPr>
          <w:rFonts w:hint="eastAsia" w:eastAsia="仿宋_GB2312" w:cs="仿宋_GB2312"/>
          <w:color w:val="auto"/>
          <w:sz w:val="32"/>
          <w:szCs w:val="32"/>
        </w:rPr>
        <w:t>为80.00万元，完成预算100%。</w:t>
      </w:r>
    </w:p>
    <w:p w14:paraId="3572DCDF">
      <w:pPr>
        <w:spacing w:line="600" w:lineRule="exact"/>
        <w:ind w:firstLine="640"/>
        <w:rPr>
          <w:rFonts w:eastAsia="仿宋_GB2312" w:cs="仿宋_GB2312"/>
          <w:sz w:val="32"/>
          <w:szCs w:val="32"/>
        </w:rPr>
      </w:pPr>
      <w:r>
        <w:rPr>
          <w:rFonts w:hint="eastAsia" w:eastAsia="仿宋_GB2312" w:cs="仿宋_GB2312"/>
          <w:color w:val="auto"/>
          <w:sz w:val="32"/>
          <w:szCs w:val="32"/>
        </w:rPr>
        <w:t>11.住房保障支出（类）住房改革支出（款）住房公积金（项）：支出决算为35.22万元，完成预算100%。</w:t>
      </w:r>
    </w:p>
    <w:p w14:paraId="43515DA1">
      <w:pPr>
        <w:tabs>
          <w:tab w:val="right" w:pos="8306"/>
        </w:tabs>
        <w:spacing w:line="600" w:lineRule="exact"/>
        <w:ind w:firstLine="640"/>
        <w:outlineLvl w:val="1"/>
        <w:rPr>
          <w:rStyle w:val="30"/>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29D81084">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483.65万</w:t>
      </w:r>
      <w:r>
        <w:rPr>
          <w:rFonts w:hint="eastAsia" w:eastAsia="仿宋_GB2312" w:cs="仿宋_GB2312"/>
          <w:sz w:val="32"/>
          <w:szCs w:val="32"/>
        </w:rPr>
        <w:t>元，其中：</w:t>
      </w:r>
    </w:p>
    <w:p w14:paraId="5989BE21">
      <w:pPr>
        <w:spacing w:line="600" w:lineRule="exact"/>
        <w:ind w:firstLine="640"/>
        <w:rPr>
          <w:rFonts w:eastAsia="仿宋_GB2312" w:cs="仿宋_GB2312"/>
          <w:color w:val="auto"/>
          <w:sz w:val="32"/>
          <w:szCs w:val="32"/>
        </w:rPr>
      </w:pPr>
      <w:r>
        <w:rPr>
          <w:rFonts w:hint="eastAsia" w:eastAsia="仿宋_GB2312" w:cs="仿宋_GB2312"/>
          <w:color w:val="auto"/>
          <w:sz w:val="32"/>
          <w:szCs w:val="32"/>
        </w:rPr>
        <w:t>人员经费</w:t>
      </w:r>
      <w:r>
        <w:rPr>
          <w:rFonts w:hint="eastAsia" w:ascii="仿宋_GB2312" w:hAnsi="仿宋_GB2312" w:eastAsia="仿宋_GB2312" w:cs="仿宋_GB2312"/>
          <w:color w:val="auto"/>
          <w:sz w:val="32"/>
          <w:szCs w:val="32"/>
        </w:rPr>
        <w:t>469.68万</w:t>
      </w:r>
      <w:r>
        <w:rPr>
          <w:rFonts w:hint="eastAsia" w:eastAsia="仿宋_GB2312" w:cs="仿宋_GB2312"/>
          <w:color w:val="auto"/>
          <w:sz w:val="32"/>
          <w:szCs w:val="32"/>
        </w:rPr>
        <w:t>元，主要包括：基本工资、津贴补贴、伙食补助费、绩效工资、机关事业单位基本养老保险缴费、职业年金缴费、其他社会保障缴费、职工基本医疗保险缴费、其他工资福利支出、生活补助、住房公积金。</w:t>
      </w:r>
      <w:r>
        <w:rPr>
          <w:rFonts w:hint="eastAsia" w:eastAsia="仿宋_GB2312" w:cs="仿宋_GB2312"/>
          <w:color w:val="auto"/>
          <w:sz w:val="32"/>
          <w:szCs w:val="32"/>
        </w:rPr>
        <w:br w:type="textWrapping"/>
      </w:r>
      <w:r>
        <w:rPr>
          <w:rFonts w:hint="eastAsia" w:eastAsia="仿宋_GB2312" w:cs="仿宋_GB2312"/>
          <w:color w:val="auto"/>
          <w:sz w:val="32"/>
          <w:szCs w:val="32"/>
        </w:rPr>
        <w:t>　　公用经费</w:t>
      </w:r>
      <w:r>
        <w:rPr>
          <w:rFonts w:hint="eastAsia" w:ascii="仿宋_GB2312" w:hAnsi="仿宋_GB2312" w:eastAsia="仿宋_GB2312" w:cs="仿宋_GB2312"/>
          <w:color w:val="auto"/>
          <w:sz w:val="32"/>
          <w:szCs w:val="32"/>
        </w:rPr>
        <w:t>13.97万</w:t>
      </w:r>
      <w:r>
        <w:rPr>
          <w:rFonts w:hint="eastAsia" w:eastAsia="仿宋_GB2312" w:cs="仿宋_GB2312"/>
          <w:color w:val="auto"/>
          <w:sz w:val="32"/>
          <w:szCs w:val="32"/>
        </w:rPr>
        <w:t>元，主要包括：工会经费、福利费、公务接待费。</w:t>
      </w:r>
    </w:p>
    <w:p w14:paraId="66893D47">
      <w:pPr>
        <w:spacing w:line="600" w:lineRule="exact"/>
        <w:ind w:firstLine="640"/>
        <w:rPr>
          <w:rFonts w:eastAsia="仿宋_GB2312" w:cs="仿宋_GB2312"/>
          <w:sz w:val="32"/>
          <w:szCs w:val="32"/>
        </w:rPr>
      </w:pPr>
    </w:p>
    <w:p w14:paraId="4596BE2E">
      <w:pPr>
        <w:spacing w:line="600" w:lineRule="exact"/>
        <w:ind w:firstLine="640"/>
        <w:outlineLvl w:val="1"/>
        <w:rPr>
          <w:rStyle w:val="30"/>
          <w:rFonts w:ascii="Times New Roman" w:hAnsi="Times New Roman" w:eastAsia="黑体"/>
          <w:b w:val="0"/>
        </w:rPr>
      </w:pPr>
      <w:bookmarkStart w:id="36" w:name="_Toc15396609"/>
      <w:bookmarkStart w:id="37"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5848C03F">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BDFF40F">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2024年度“三公”经费财政拨款支出决算为</w:t>
      </w:r>
      <w:r>
        <w:rPr>
          <w:rFonts w:hint="eastAsia" w:ascii="仿宋_GB2312" w:hAnsi="仿宋_GB2312" w:eastAsia="仿宋_GB2312" w:cs="仿宋_GB2312"/>
          <w:color w:val="auto"/>
          <w:sz w:val="32"/>
          <w:szCs w:val="32"/>
        </w:rPr>
        <w:t>0.14万元，完成预算100%，</w:t>
      </w:r>
      <w:r>
        <w:rPr>
          <w:rFonts w:hint="eastAsia" w:eastAsia="仿宋_GB2312" w:cs="仿宋_GB2312"/>
          <w:color w:val="auto"/>
          <w:sz w:val="32"/>
          <w:szCs w:val="32"/>
        </w:rPr>
        <w:t>较上年度增加0.14万元，增长100%。决算数大于预算数的主要原因是接待批次增多，人数增多。</w:t>
      </w:r>
    </w:p>
    <w:p w14:paraId="695748F6">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2B3051BF">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2024年度“三公”经费财政拨款支出决算中，因公出国（境）费支出决算0万元，占0%；公务用车购置及运行维护费支出决算0万元，占0%；公务接待费支出决算0.14万元，100%。具体情况如下：</w:t>
      </w:r>
    </w:p>
    <w:p w14:paraId="068394E6">
      <w:pPr>
        <w:pStyle w:val="13"/>
        <w:rPr>
          <w:rFonts w:hint="eastAsia" w:ascii="仿宋_GB2312" w:hAnsi="仿宋_GB2312" w:eastAsia="仿宋_GB2312" w:cs="仿宋_GB2312"/>
          <w:color w:val="auto"/>
          <w:sz w:val="32"/>
          <w:szCs w:val="32"/>
        </w:rPr>
      </w:pPr>
      <w:r>
        <w:rPr>
          <w:rFonts w:hint="eastAsia" w:hAnsi="仿宋_GB2312" w:eastAsia="仿宋_GB2312" w:cs="仿宋_GB2312"/>
          <w:color w:val="auto"/>
          <w:sz w:val="32"/>
          <w:szCs w:val="32"/>
          <w:lang w:eastAsia="zh-CN"/>
        </w:rPr>
        <w:drawing>
          <wp:anchor distT="0" distB="0" distL="114300" distR="114300" simplePos="0" relativeHeight="251664384" behindDoc="0" locked="0" layoutInCell="1" allowOverlap="1">
            <wp:simplePos x="0" y="0"/>
            <wp:positionH relativeFrom="column">
              <wp:posOffset>22860</wp:posOffset>
            </wp:positionH>
            <wp:positionV relativeFrom="paragraph">
              <wp:posOffset>96520</wp:posOffset>
            </wp:positionV>
            <wp:extent cx="5256530" cy="2988310"/>
            <wp:effectExtent l="5080" t="4445" r="15240" b="17145"/>
            <wp:wrapNone/>
            <wp:docPr id="18" name="图表 18" descr="7b0a202020202263686172745265734964223a2022323034373638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78229C0">
      <w:pPr>
        <w:pStyle w:val="7"/>
        <w:rPr>
          <w:rFonts w:hint="eastAsia" w:ascii="仿宋_GB2312" w:hAnsi="仿宋_GB2312" w:eastAsia="仿宋_GB2312" w:cs="仿宋_GB2312"/>
          <w:sz w:val="32"/>
          <w:szCs w:val="32"/>
        </w:rPr>
      </w:pPr>
    </w:p>
    <w:p w14:paraId="5875F542">
      <w:pPr>
        <w:pStyle w:val="7"/>
        <w:rPr>
          <w:rFonts w:hint="eastAsia" w:ascii="仿宋_GB2312" w:hAnsi="仿宋_GB2312" w:eastAsia="仿宋_GB2312" w:cs="仿宋_GB2312"/>
          <w:sz w:val="32"/>
          <w:szCs w:val="32"/>
        </w:rPr>
      </w:pPr>
    </w:p>
    <w:p w14:paraId="0275267A">
      <w:pPr>
        <w:pStyle w:val="7"/>
        <w:rPr>
          <w:rFonts w:hint="eastAsia" w:ascii="仿宋_GB2312" w:hAnsi="仿宋_GB2312" w:eastAsia="仿宋_GB2312" w:cs="仿宋_GB2312"/>
          <w:sz w:val="32"/>
          <w:szCs w:val="32"/>
        </w:rPr>
      </w:pPr>
    </w:p>
    <w:p w14:paraId="34DC836D">
      <w:pPr>
        <w:pStyle w:val="7"/>
        <w:rPr>
          <w:rFonts w:hint="eastAsia" w:ascii="仿宋_GB2312" w:hAnsi="仿宋_GB2312" w:eastAsia="仿宋_GB2312" w:cs="仿宋_GB2312"/>
          <w:sz w:val="32"/>
          <w:szCs w:val="32"/>
        </w:rPr>
      </w:pPr>
    </w:p>
    <w:p w14:paraId="5932F7FC">
      <w:pPr>
        <w:pStyle w:val="7"/>
        <w:rPr>
          <w:rFonts w:hint="eastAsia" w:hAnsi="仿宋_GB2312" w:eastAsia="仿宋_GB2312" w:cs="仿宋_GB2312"/>
          <w:sz w:val="32"/>
          <w:szCs w:val="32"/>
          <w:lang w:eastAsia="zh-CN"/>
        </w:rPr>
      </w:pPr>
    </w:p>
    <w:p w14:paraId="5E21DBC9">
      <w:pPr>
        <w:pStyle w:val="7"/>
        <w:ind w:left="0" w:leftChars="0" w:firstLine="0" w:firstLineChars="0"/>
        <w:rPr>
          <w:rFonts w:hint="eastAsia" w:hAnsi="仿宋_GB2312" w:eastAsia="仿宋_GB2312" w:cs="仿宋_GB2312"/>
          <w:sz w:val="32"/>
          <w:szCs w:val="32"/>
          <w:lang w:eastAsia="zh-CN"/>
        </w:rPr>
      </w:pPr>
    </w:p>
    <w:p w14:paraId="53826025">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14:paraId="5B456BD7">
      <w:pPr>
        <w:spacing w:line="600" w:lineRule="exact"/>
        <w:ind w:firstLine="640"/>
        <w:rPr>
          <w:rFonts w:eastAsia="仿宋_GB2312" w:cs="仿宋_GB2312"/>
          <w:color w:val="auto"/>
          <w:sz w:val="32"/>
          <w:szCs w:val="32"/>
        </w:rPr>
      </w:pPr>
      <w:r>
        <w:rPr>
          <w:rFonts w:hint="eastAsia" w:eastAsia="仿宋_GB2312" w:cs="仿宋_GB2312"/>
          <w:b/>
          <w:bCs/>
          <w:color w:val="auto"/>
          <w:sz w:val="32"/>
          <w:szCs w:val="32"/>
        </w:rPr>
        <w:t>1.因公出国（境）经费支出0万元，完成预算0%。</w:t>
      </w:r>
      <w:r>
        <w:rPr>
          <w:rFonts w:hint="eastAsia" w:eastAsia="仿宋_GB2312" w:cs="仿宋_GB2312"/>
          <w:color w:val="auto"/>
          <w:sz w:val="32"/>
          <w:szCs w:val="32"/>
        </w:rPr>
        <w:t>全年安排因公出国（境）团</w:t>
      </w:r>
      <w:r>
        <w:rPr>
          <w:rFonts w:hint="eastAsia" w:ascii="仿宋_GB2312" w:hAnsi="仿宋_GB2312" w:eastAsia="仿宋_GB2312" w:cs="仿宋_GB2312"/>
          <w:color w:val="auto"/>
          <w:sz w:val="32"/>
          <w:szCs w:val="32"/>
        </w:rPr>
        <w:t>组0</w:t>
      </w:r>
      <w:r>
        <w:rPr>
          <w:rFonts w:hint="eastAsia" w:eastAsia="仿宋_GB2312" w:cs="仿宋_GB2312"/>
          <w:color w:val="auto"/>
          <w:sz w:val="32"/>
          <w:szCs w:val="32"/>
        </w:rPr>
        <w:t>次，出国（境）</w:t>
      </w:r>
      <w:r>
        <w:rPr>
          <w:rFonts w:hint="eastAsia" w:ascii="仿宋_GB2312" w:hAnsi="仿宋_GB2312" w:eastAsia="仿宋_GB2312" w:cs="仿宋_GB2312"/>
          <w:color w:val="auto"/>
          <w:sz w:val="32"/>
          <w:szCs w:val="32"/>
        </w:rPr>
        <w:t>0人</w:t>
      </w:r>
      <w:r>
        <w:rPr>
          <w:rFonts w:hint="eastAsia" w:eastAsia="仿宋_GB2312" w:cs="仿宋_GB2312"/>
          <w:color w:val="auto"/>
          <w:sz w:val="32"/>
          <w:szCs w:val="32"/>
        </w:rPr>
        <w:t>。因公出国（境）支出决算与2023年持平。</w:t>
      </w:r>
    </w:p>
    <w:p w14:paraId="66982345">
      <w:pPr>
        <w:spacing w:line="600" w:lineRule="exact"/>
        <w:ind w:firstLine="640"/>
        <w:rPr>
          <w:rFonts w:eastAsia="仿宋_GB2312" w:cs="仿宋_GB2312"/>
          <w:color w:val="auto"/>
          <w:sz w:val="32"/>
          <w:szCs w:val="32"/>
        </w:rPr>
      </w:pPr>
      <w:r>
        <w:rPr>
          <w:rFonts w:hint="eastAsia" w:eastAsia="仿宋_GB2312" w:cs="仿宋_GB2312"/>
          <w:b/>
          <w:bCs/>
          <w:color w:val="auto"/>
          <w:sz w:val="32"/>
          <w:szCs w:val="32"/>
        </w:rPr>
        <w:t>2.公务用车购置及运行维护费支出</w:t>
      </w:r>
      <w:r>
        <w:rPr>
          <w:rFonts w:hint="eastAsia" w:ascii="仿宋_GB2312" w:hAnsi="仿宋_GB2312" w:eastAsia="仿宋_GB2312" w:cs="仿宋_GB2312"/>
          <w:b/>
          <w:bCs/>
          <w:color w:val="auto"/>
          <w:sz w:val="32"/>
          <w:szCs w:val="32"/>
        </w:rPr>
        <w:t>0万</w:t>
      </w:r>
      <w:r>
        <w:rPr>
          <w:rFonts w:hint="eastAsia" w:eastAsia="仿宋_GB2312" w:cs="仿宋_GB2312"/>
          <w:b/>
          <w:bCs/>
          <w:color w:val="auto"/>
          <w:sz w:val="32"/>
          <w:szCs w:val="32"/>
        </w:rPr>
        <w:t>元，完成预算0%。</w:t>
      </w:r>
      <w:r>
        <w:rPr>
          <w:rFonts w:hint="eastAsia" w:eastAsia="仿宋_GB2312" w:cs="仿宋_GB2312"/>
          <w:color w:val="auto"/>
          <w:sz w:val="32"/>
          <w:szCs w:val="32"/>
        </w:rPr>
        <w:t>公务用车购置及运行维护费支出决算与2023年持平。</w:t>
      </w:r>
    </w:p>
    <w:p w14:paraId="53BCF224">
      <w:pPr>
        <w:spacing w:line="600" w:lineRule="exact"/>
        <w:ind w:firstLine="640"/>
        <w:rPr>
          <w:rFonts w:eastAsia="仿宋_GB2312" w:cs="仿宋_GB2312"/>
          <w:color w:val="auto"/>
          <w:sz w:val="32"/>
          <w:szCs w:val="32"/>
        </w:rPr>
      </w:pPr>
      <w:r>
        <w:rPr>
          <w:rFonts w:hint="eastAsia" w:eastAsia="仿宋_GB2312" w:cs="仿宋_GB2312"/>
          <w:color w:val="auto"/>
          <w:sz w:val="32"/>
          <w:szCs w:val="32"/>
        </w:rPr>
        <w:t>其中：公务用车购置支</w:t>
      </w:r>
      <w:r>
        <w:rPr>
          <w:rFonts w:hint="eastAsia" w:ascii="仿宋_GB2312" w:hAnsi="仿宋_GB2312" w:eastAsia="仿宋_GB2312" w:cs="仿宋_GB2312"/>
          <w:color w:val="auto"/>
          <w:sz w:val="32"/>
          <w:szCs w:val="32"/>
        </w:rPr>
        <w:t>出0</w:t>
      </w:r>
      <w:r>
        <w:rPr>
          <w:rFonts w:hint="eastAsia" w:eastAsia="仿宋_GB2312" w:cs="仿宋_GB2312"/>
          <w:color w:val="auto"/>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7E8C8AF8">
      <w:pPr>
        <w:spacing w:line="600" w:lineRule="exact"/>
        <w:ind w:left="319" w:leftChars="152" w:firstLine="652" w:firstLineChars="204"/>
        <w:rPr>
          <w:rFonts w:eastAsia="仿宋_GB2312" w:cs="仿宋_GB2312"/>
          <w:color w:val="auto"/>
          <w:sz w:val="32"/>
          <w:szCs w:val="32"/>
        </w:rPr>
      </w:pPr>
      <w:r>
        <w:rPr>
          <w:rFonts w:hint="eastAsia" w:eastAsia="仿宋_GB2312" w:cs="仿宋_GB2312"/>
          <w:color w:val="auto"/>
          <w:sz w:val="32"/>
          <w:szCs w:val="32"/>
        </w:rPr>
        <w:t>公务用车运行维护费支</w:t>
      </w:r>
      <w:r>
        <w:rPr>
          <w:rFonts w:hint="eastAsia" w:ascii="仿宋_GB2312" w:hAnsi="仿宋_GB2312" w:eastAsia="仿宋_GB2312" w:cs="仿宋_GB2312"/>
          <w:color w:val="auto"/>
          <w:sz w:val="32"/>
          <w:szCs w:val="32"/>
        </w:rPr>
        <w:t>出0</w:t>
      </w:r>
      <w:r>
        <w:rPr>
          <w:rFonts w:hint="eastAsia" w:eastAsia="仿宋_GB2312" w:cs="仿宋_GB2312"/>
          <w:color w:val="auto"/>
          <w:sz w:val="32"/>
          <w:szCs w:val="32"/>
        </w:rPr>
        <w:t>万元。我单位未配置公务车。</w:t>
      </w:r>
    </w:p>
    <w:p w14:paraId="7D5282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仿宋_GB2312" w:cs="仿宋_GB2312"/>
          <w:color w:val="auto"/>
          <w:sz w:val="32"/>
          <w:szCs w:val="32"/>
        </w:rPr>
      </w:pPr>
      <w:r>
        <w:rPr>
          <w:rFonts w:hint="eastAsia" w:eastAsia="仿宋_GB2312" w:cs="仿宋_GB2312"/>
          <w:b/>
          <w:bCs/>
          <w:color w:val="auto"/>
          <w:sz w:val="32"/>
          <w:szCs w:val="32"/>
          <w:highlight w:val="none"/>
          <w:lang w:val="en-US" w:eastAsia="zh-CN"/>
        </w:rPr>
        <w:t>3.</w:t>
      </w:r>
      <w:r>
        <w:rPr>
          <w:rFonts w:hint="eastAsia" w:eastAsia="仿宋_GB2312" w:cs="仿宋_GB2312"/>
          <w:b/>
          <w:bCs/>
          <w:color w:val="auto"/>
          <w:sz w:val="32"/>
          <w:szCs w:val="32"/>
          <w:highlight w:val="none"/>
        </w:rPr>
        <w:t>公务接待费支出</w:t>
      </w:r>
      <w:r>
        <w:rPr>
          <w:rFonts w:hint="eastAsia" w:ascii="仿宋_GB2312" w:hAnsi="仿宋_GB2312" w:eastAsia="仿宋_GB2312" w:cs="仿宋_GB2312"/>
          <w:b/>
          <w:bCs/>
          <w:color w:val="auto"/>
          <w:sz w:val="32"/>
          <w:szCs w:val="32"/>
          <w:highlight w:val="none"/>
        </w:rPr>
        <w:t>0.14万</w:t>
      </w:r>
      <w:r>
        <w:rPr>
          <w:rFonts w:hint="eastAsia" w:eastAsia="仿宋_GB2312" w:cs="仿宋_GB2312"/>
          <w:b/>
          <w:bCs/>
          <w:color w:val="auto"/>
          <w:sz w:val="32"/>
          <w:szCs w:val="32"/>
          <w:highlight w:val="none"/>
        </w:rPr>
        <w:t>元，</w:t>
      </w:r>
      <w:r>
        <w:rPr>
          <w:rFonts w:hint="eastAsia" w:eastAsia="仿宋_GB2312" w:cs="仿宋_GB2312"/>
          <w:b/>
          <w:bCs/>
          <w:color w:val="auto"/>
          <w:sz w:val="32"/>
          <w:szCs w:val="32"/>
        </w:rPr>
        <w:t>完成预算100%。</w:t>
      </w:r>
      <w:r>
        <w:rPr>
          <w:rFonts w:hint="eastAsia" w:eastAsia="仿宋_GB2312" w:cs="仿宋_GB2312"/>
          <w:color w:val="auto"/>
          <w:sz w:val="32"/>
          <w:szCs w:val="32"/>
        </w:rPr>
        <w:t>公务接待费支出决算比2023年度增加0.14万元，增长100%。主要原因是接待批次增多，人数增多。其中：</w:t>
      </w:r>
    </w:p>
    <w:p w14:paraId="3D0FAE13">
      <w:pPr>
        <w:spacing w:line="600" w:lineRule="exact"/>
        <w:ind w:firstLine="640"/>
        <w:rPr>
          <w:rFonts w:eastAsia="仿宋_GB2312" w:cs="仿宋_GB2312"/>
          <w:color w:val="auto"/>
          <w:sz w:val="32"/>
          <w:szCs w:val="32"/>
        </w:rPr>
      </w:pPr>
      <w:r>
        <w:rPr>
          <w:rFonts w:hint="eastAsia" w:eastAsia="仿宋_GB2312" w:cs="仿宋_GB2312"/>
          <w:color w:val="auto"/>
          <w:sz w:val="32"/>
          <w:szCs w:val="32"/>
        </w:rPr>
        <w:t>国内公务接待支</w:t>
      </w:r>
      <w:r>
        <w:rPr>
          <w:rFonts w:hint="eastAsia" w:ascii="仿宋_GB2312" w:hAnsi="仿宋_GB2312" w:eastAsia="仿宋_GB2312" w:cs="仿宋_GB2312"/>
          <w:color w:val="auto"/>
          <w:sz w:val="32"/>
          <w:szCs w:val="32"/>
        </w:rPr>
        <w:t>出0.14万</w:t>
      </w:r>
      <w:r>
        <w:rPr>
          <w:rFonts w:hint="eastAsia" w:eastAsia="仿宋_GB2312" w:cs="仿宋_GB2312"/>
          <w:color w:val="auto"/>
          <w:sz w:val="32"/>
          <w:szCs w:val="32"/>
        </w:rPr>
        <w:t>元，主要用于开展业务活动开支用餐费等。国内公务接</w:t>
      </w:r>
      <w:r>
        <w:rPr>
          <w:rFonts w:hint="eastAsia" w:ascii="仿宋_GB2312" w:hAnsi="仿宋_GB2312" w:eastAsia="仿宋_GB2312" w:cs="仿宋_GB2312"/>
          <w:color w:val="auto"/>
          <w:sz w:val="32"/>
          <w:szCs w:val="32"/>
        </w:rPr>
        <w:t>待2批次，20</w:t>
      </w:r>
      <w:r>
        <w:rPr>
          <w:rFonts w:hint="eastAsia" w:eastAsia="仿宋_GB2312" w:cs="仿宋_GB2312"/>
          <w:color w:val="auto"/>
          <w:sz w:val="32"/>
          <w:szCs w:val="32"/>
        </w:rPr>
        <w:t>人次（不包括陪同人员），共计支出0.14万元，具体内容包括：业务活动接待用餐费用，共计支出0.14万元。</w:t>
      </w:r>
    </w:p>
    <w:p w14:paraId="445517A3">
      <w:pPr>
        <w:spacing w:line="600" w:lineRule="exact"/>
        <w:ind w:firstLine="640"/>
        <w:rPr>
          <w:rFonts w:eastAsia="仿宋_GB2312" w:cs="仿宋_GB2312"/>
          <w:color w:val="auto"/>
          <w:sz w:val="32"/>
          <w:szCs w:val="32"/>
        </w:rPr>
      </w:pPr>
      <w:r>
        <w:rPr>
          <w:rFonts w:hint="eastAsia" w:eastAsia="仿宋_GB2312" w:cs="仿宋_GB2312"/>
          <w:color w:val="auto"/>
          <w:sz w:val="32"/>
          <w:szCs w:val="32"/>
        </w:rPr>
        <w:t>外事接待支</w:t>
      </w:r>
      <w:r>
        <w:rPr>
          <w:rFonts w:hint="eastAsia" w:ascii="仿宋_GB2312" w:hAnsi="仿宋_GB2312" w:eastAsia="仿宋_GB2312" w:cs="仿宋_GB2312"/>
          <w:color w:val="auto"/>
          <w:sz w:val="32"/>
          <w:szCs w:val="32"/>
        </w:rPr>
        <w:t>出0万元，外事接待0批次，0人次，共计支出0万</w:t>
      </w:r>
      <w:r>
        <w:rPr>
          <w:rFonts w:hint="eastAsia" w:eastAsia="仿宋_GB2312" w:cs="仿宋_GB2312"/>
          <w:color w:val="auto"/>
          <w:sz w:val="32"/>
          <w:szCs w:val="32"/>
        </w:rPr>
        <w:t>元。</w:t>
      </w:r>
    </w:p>
    <w:p w14:paraId="077BCD7C">
      <w:pPr>
        <w:spacing w:line="600" w:lineRule="exact"/>
        <w:ind w:firstLine="640"/>
        <w:outlineLvl w:val="1"/>
        <w:rPr>
          <w:rStyle w:val="30"/>
          <w:rFonts w:ascii="Times New Roman" w:hAnsi="Times New Roman" w:eastAsia="黑体"/>
          <w:color w:val="auto"/>
        </w:rPr>
      </w:pPr>
      <w:bookmarkStart w:id="40" w:name="_Toc15377218"/>
      <w:bookmarkStart w:id="41" w:name="_Toc15396610"/>
      <w:r>
        <w:rPr>
          <w:rFonts w:hint="eastAsia" w:eastAsia="黑体"/>
          <w:color w:val="auto"/>
          <w:sz w:val="32"/>
          <w:szCs w:val="32"/>
        </w:rPr>
        <w:t>八、</w:t>
      </w:r>
      <w:r>
        <w:rPr>
          <w:rStyle w:val="30"/>
          <w:rFonts w:hint="eastAsia" w:ascii="Times New Roman" w:hAnsi="Times New Roman" w:eastAsia="黑体"/>
          <w:b w:val="0"/>
          <w:color w:val="auto"/>
        </w:rPr>
        <w:t>政府性基金预算支出决算情况说明</w:t>
      </w:r>
      <w:bookmarkEnd w:id="40"/>
      <w:bookmarkEnd w:id="41"/>
    </w:p>
    <w:p w14:paraId="27B94A57">
      <w:pPr>
        <w:spacing w:line="600" w:lineRule="exact"/>
        <w:ind w:firstLine="640"/>
        <w:rPr>
          <w:rFonts w:eastAsia="仿宋_GB2312" w:cs="仿宋_GB2312"/>
          <w:b/>
          <w:bCs/>
          <w:color w:val="auto"/>
          <w:sz w:val="32"/>
          <w:szCs w:val="32"/>
          <w:highlight w:val="none"/>
        </w:rPr>
      </w:pPr>
      <w:r>
        <w:rPr>
          <w:rFonts w:hint="eastAsia" w:ascii="仿宋_GB2312" w:hAnsi="仿宋_GB2312" w:eastAsia="仿宋_GB2312" w:cs="仿宋_GB2312"/>
          <w:color w:val="auto"/>
          <w:sz w:val="32"/>
          <w:szCs w:val="32"/>
        </w:rPr>
        <w:t>2024年度政府性基金预算财政拨款支出100万元，占本年支出合计的10.27%</w:t>
      </w:r>
      <w:r>
        <w:rPr>
          <w:rFonts w:hint="eastAsia" w:eastAsia="仿宋_GB2312" w:cs="仿宋_GB2312"/>
          <w:color w:val="auto"/>
          <w:sz w:val="32"/>
          <w:szCs w:val="32"/>
        </w:rPr>
        <w:t>。与2023年度相比，政府性基金预算财政拨款支出增加100万元，增长100%。</w:t>
      </w:r>
      <w:r>
        <w:rPr>
          <w:rFonts w:hint="eastAsia" w:eastAsia="仿宋_GB2312" w:cs="仿宋_GB2312"/>
          <w:color w:val="auto"/>
          <w:sz w:val="32"/>
          <w:szCs w:val="32"/>
          <w:highlight w:val="none"/>
        </w:rPr>
        <w:t>主要变动原因是学校二期工程费用。</w:t>
      </w:r>
    </w:p>
    <w:p w14:paraId="2AE5F3EE">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69E40B34">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1F68E77A">
      <w:pPr>
        <w:spacing w:line="600" w:lineRule="exact"/>
        <w:ind w:left="630"/>
        <w:outlineLvl w:val="1"/>
        <w:rPr>
          <w:rStyle w:val="30"/>
          <w:rFonts w:ascii="Times New Roman" w:hAnsi="Times New Roman" w:eastAsia="黑体"/>
          <w:b w:val="0"/>
        </w:rPr>
      </w:pPr>
      <w:bookmarkStart w:id="44" w:name="_Toc15377221"/>
      <w:bookmarkStart w:id="45" w:name="_Toc15396612"/>
      <w:r>
        <w:rPr>
          <w:rStyle w:val="30"/>
          <w:rFonts w:hint="eastAsia" w:ascii="Times New Roman" w:hAnsi="Times New Roman" w:eastAsia="黑体"/>
          <w:b w:val="0"/>
        </w:rPr>
        <w:t>十、其他重要事项的情况说明</w:t>
      </w:r>
      <w:bookmarkEnd w:id="44"/>
      <w:bookmarkEnd w:id="45"/>
    </w:p>
    <w:p w14:paraId="0AA5E6AB">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2A2D754E">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w:t>
      </w:r>
      <w:r>
        <w:rPr>
          <w:rFonts w:hint="eastAsia" w:ascii="仿宋_GB2312" w:hAnsi="仿宋_GB2312" w:eastAsia="仿宋_GB2312" w:cs="仿宋_GB2312"/>
          <w:color w:val="auto"/>
          <w:sz w:val="32"/>
          <w:szCs w:val="32"/>
        </w:rPr>
        <w:t>，峨边彝族自治县职业高级中学校（职教中心）机关运行经费支出0万</w:t>
      </w:r>
      <w:r>
        <w:rPr>
          <w:rFonts w:hint="eastAsia" w:eastAsia="仿宋_GB2312" w:cs="仿宋_GB2312"/>
          <w:color w:val="auto"/>
          <w:sz w:val="32"/>
          <w:szCs w:val="32"/>
        </w:rPr>
        <w:t>元，与2023年持平。</w:t>
      </w:r>
    </w:p>
    <w:p w14:paraId="215E6041">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646328A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边彝族自治县职业高级中学校（职教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9A15E74">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327A5EE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截至2024年12月31日，峨边彝族自治县职业高级中学校（职教中心）共有车辆0辆，其中：主要负责人用车0辆、机要通信用车0辆、应急保障用车0辆、其他用车0辆，单价100万元（含）以上设备（不含车辆）0台（套）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74A69D1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99336DF">
      <w:pPr>
        <w:spacing w:line="600" w:lineRule="exact"/>
        <w:ind w:firstLine="640"/>
        <w:rPr>
          <w:rFonts w:eastAsia="仿宋_GB2312" w:cs="仿宋_GB2312"/>
          <w:color w:val="auto"/>
          <w:sz w:val="32"/>
          <w:szCs w:val="32"/>
        </w:rPr>
      </w:pPr>
      <w:r>
        <w:rPr>
          <w:rFonts w:hint="eastAsia" w:eastAsia="仿宋_GB2312" w:cs="仿宋_GB2312"/>
          <w:color w:val="auto"/>
          <w:sz w:val="32"/>
          <w:szCs w:val="32"/>
        </w:rPr>
        <w:t>根据预算绩效管理要求，本单位在2024年度预算编制阶段，组织对中职免学费项目等8个项目开展了预算事前绩效评估，对8个项目编制了绩效目标</w:t>
      </w:r>
      <w:r>
        <w:rPr>
          <w:rFonts w:hint="eastAsia" w:eastAsia="仿宋_GB2312" w:cs="仿宋_GB2312"/>
          <w:color w:val="auto"/>
          <w:sz w:val="32"/>
          <w:szCs w:val="32"/>
          <w:lang w:eastAsia="zh-CN"/>
        </w:rPr>
        <w:t>，在</w:t>
      </w:r>
      <w:r>
        <w:rPr>
          <w:rFonts w:hint="eastAsia" w:eastAsia="仿宋_GB2312" w:cs="仿宋_GB2312"/>
          <w:color w:val="auto"/>
          <w:sz w:val="32"/>
          <w:szCs w:val="32"/>
        </w:rPr>
        <w:t>预算执行过程中，选取8个项目开展绩效监控。组织对8个项目开展绩效自评，绩效自评表详见第四部分附件。</w:t>
      </w:r>
    </w:p>
    <w:p w14:paraId="4AFB5457">
      <w:pPr>
        <w:spacing w:line="600" w:lineRule="exact"/>
        <w:ind w:firstLine="640"/>
        <w:rPr>
          <w:rFonts w:eastAsia="仿宋_GB2312" w:cs="仿宋_GB2312"/>
          <w:sz w:val="32"/>
          <w:szCs w:val="32"/>
        </w:rPr>
      </w:pPr>
    </w:p>
    <w:p w14:paraId="092866B1">
      <w:pPr>
        <w:spacing w:line="600" w:lineRule="exact"/>
        <w:ind w:firstLine="640"/>
        <w:rPr>
          <w:rFonts w:eastAsia="仿宋_GB2312" w:cs="仿宋_GB2312"/>
          <w:sz w:val="32"/>
          <w:szCs w:val="32"/>
        </w:rPr>
      </w:pPr>
    </w:p>
    <w:p w14:paraId="1EA5CA91">
      <w:pPr>
        <w:pStyle w:val="13"/>
        <w:rPr>
          <w:rFonts w:eastAsia="仿宋_GB2312" w:cs="仿宋_GB2312"/>
          <w:sz w:val="32"/>
          <w:szCs w:val="32"/>
        </w:rPr>
      </w:pPr>
    </w:p>
    <w:p w14:paraId="31F9F1D8">
      <w:pPr>
        <w:pStyle w:val="7"/>
        <w:ind w:left="0" w:leftChars="0" w:firstLine="0" w:firstLineChars="0"/>
        <w:rPr>
          <w:rFonts w:ascii="Times New Roman" w:eastAsia="仿宋_GB2312" w:cs="仿宋_GB2312"/>
          <w:sz w:val="32"/>
        </w:rPr>
      </w:pPr>
    </w:p>
    <w:p w14:paraId="285B8060">
      <w:pPr>
        <w:pStyle w:val="7"/>
        <w:ind w:left="0" w:leftChars="0" w:firstLine="0" w:firstLineChars="0"/>
        <w:rPr>
          <w:rFonts w:ascii="Times New Roman" w:eastAsia="仿宋_GB2312" w:cs="仿宋_GB2312"/>
          <w:sz w:val="32"/>
        </w:rPr>
      </w:pPr>
    </w:p>
    <w:p w14:paraId="66276C4A">
      <w:pPr>
        <w:pStyle w:val="7"/>
        <w:ind w:left="0" w:leftChars="0" w:firstLine="0" w:firstLineChars="0"/>
        <w:rPr>
          <w:rFonts w:ascii="Times New Roman" w:eastAsia="仿宋_GB2312" w:cs="仿宋_GB2312"/>
          <w:sz w:val="32"/>
        </w:rPr>
      </w:pPr>
    </w:p>
    <w:p w14:paraId="313F1783">
      <w:pPr>
        <w:pStyle w:val="7"/>
        <w:ind w:left="0" w:leftChars="0" w:firstLine="0" w:firstLineChars="0"/>
        <w:rPr>
          <w:rFonts w:ascii="Times New Roman" w:eastAsia="仿宋_GB2312" w:cs="仿宋_GB2312"/>
          <w:sz w:val="32"/>
        </w:rPr>
      </w:pPr>
    </w:p>
    <w:p w14:paraId="089B08CA">
      <w:pPr>
        <w:spacing w:line="600" w:lineRule="exact"/>
        <w:jc w:val="center"/>
        <w:outlineLvl w:val="0"/>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14:paraId="74830E5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CEE8D87">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CA4F06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468A93B">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412F0E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6737AF9F">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135979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CCD07FF">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BB953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9.教育（类）教育管理事务（款）其他教育管理事务支出（项）：反映其他用于教育管理事务方面的支出。</w:t>
      </w:r>
    </w:p>
    <w:p w14:paraId="5C4706D9">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.教育（类）普通教育（款）小学教育（项）</w:t>
      </w:r>
      <w:r>
        <w:rPr>
          <w:rFonts w:hint="eastAsia" w:ascii="仿宋" w:hAnsi="仿宋" w:eastAsia="仿宋" w:cs="仿宋"/>
          <w:sz w:val="32"/>
          <w:szCs w:val="32"/>
          <w:lang w:eastAsia="zh-CN"/>
        </w:rPr>
        <w:t>：</w:t>
      </w:r>
      <w:r>
        <w:rPr>
          <w:rFonts w:hint="eastAsia" w:ascii="仿宋" w:hAnsi="仿宋" w:eastAsia="仿宋"/>
          <w:color w:val="000000"/>
          <w:sz w:val="32"/>
          <w:szCs w:val="32"/>
        </w:rPr>
        <w:t>指反映各部门举办的小学教育支出。</w:t>
      </w:r>
      <w:r>
        <w:rPr>
          <w:rFonts w:hint="eastAsia" w:ascii="仿宋" w:hAnsi="仿宋" w:eastAsia="仿宋" w:cs="仿宋"/>
          <w:sz w:val="32"/>
          <w:szCs w:val="32"/>
        </w:rPr>
        <w:t xml:space="preserve"> </w:t>
      </w:r>
    </w:p>
    <w:p w14:paraId="385371C7">
      <w:pPr>
        <w:ind w:firstLine="640" w:firstLineChars="200"/>
        <w:rPr>
          <w:rFonts w:ascii="仿宋" w:hAnsi="仿宋" w:eastAsia="仿宋" w:cs="仿宋"/>
          <w:sz w:val="32"/>
          <w:szCs w:val="32"/>
        </w:rPr>
      </w:pPr>
      <w:r>
        <w:rPr>
          <w:rFonts w:hint="eastAsia" w:ascii="仿宋" w:hAnsi="仿宋" w:eastAsia="仿宋" w:cs="仿宋"/>
          <w:sz w:val="32"/>
          <w:szCs w:val="32"/>
        </w:rPr>
        <w:t>11.教育（类）普通教育（款）初中教育（项）</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olor w:val="000000"/>
          <w:sz w:val="32"/>
          <w:szCs w:val="32"/>
        </w:rPr>
        <w:t>指反映各部门举办的初中教育支出。</w:t>
      </w:r>
    </w:p>
    <w:p w14:paraId="69D2CF4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.教育（类）普通</w:t>
      </w:r>
      <w:r>
        <w:rPr>
          <w:rFonts w:ascii="仿宋" w:hAnsi="仿宋" w:eastAsia="仿宋" w:cs="仿宋"/>
          <w:sz w:val="32"/>
          <w:szCs w:val="32"/>
        </w:rPr>
        <w:t>教育</w:t>
      </w:r>
      <w:r>
        <w:rPr>
          <w:rFonts w:hint="eastAsia" w:ascii="仿宋" w:hAnsi="仿宋" w:eastAsia="仿宋" w:cs="仿宋"/>
          <w:sz w:val="32"/>
          <w:szCs w:val="32"/>
        </w:rPr>
        <w:t>（款）其他普通教育支出（项）</w:t>
      </w:r>
      <w:r>
        <w:rPr>
          <w:rFonts w:hint="eastAsia" w:ascii="仿宋" w:hAnsi="仿宋" w:eastAsia="仿宋" w:cs="仿宋"/>
          <w:sz w:val="32"/>
          <w:szCs w:val="32"/>
          <w:lang w:eastAsia="zh-CN"/>
        </w:rPr>
        <w:t>：</w:t>
      </w:r>
      <w:r>
        <w:rPr>
          <w:rFonts w:hint="eastAsia" w:ascii="仿宋" w:hAnsi="仿宋" w:eastAsia="仿宋"/>
          <w:color w:val="000000"/>
          <w:sz w:val="32"/>
          <w:szCs w:val="32"/>
        </w:rPr>
        <w:t>指反映除上述项目以外其他用于普通教育方面的支出。</w:t>
      </w:r>
    </w:p>
    <w:p w14:paraId="0A2715C1">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.教育（类）职业教育（款）中等职业教育支出（项）</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olor w:val="000000"/>
          <w:sz w:val="32"/>
          <w:szCs w:val="32"/>
        </w:rPr>
        <w:t>指反映各部门举办的中等职业教育支出。</w:t>
      </w:r>
    </w:p>
    <w:p w14:paraId="28D252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14.社会保障和就业支出（类）行政事业单位养老支出（款）机关事业单位基本养老保险缴费支出（项）：反映机关事业单位实施养老保险制度由单位缴纳的基本养老保险费支出。</w:t>
      </w:r>
    </w:p>
    <w:p w14:paraId="7A1E46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15.社会保障和就业支出（类）行政事业单位养老支出（款）机关事业单位职业年金缴费支出（项）：反映机关事业单位实施养老保险制度由单位缴纳的职</w:t>
      </w:r>
      <w:r>
        <w:rPr>
          <w:rFonts w:hint="eastAsia" w:ascii="仿宋_GB2312" w:eastAsia="仿宋_GB2312" w:cs="仿宋_GB2312"/>
          <w:b w:val="0"/>
          <w:bCs w:val="0"/>
          <w:i w:val="0"/>
          <w:iCs w:val="0"/>
          <w:caps w:val="0"/>
          <w:color w:val="000000"/>
          <w:spacing w:val="0"/>
          <w:kern w:val="0"/>
          <w:sz w:val="32"/>
          <w:szCs w:val="32"/>
          <w:shd w:val="clear" w:color="auto" w:fill="FFFFFF"/>
          <w:lang w:val="en-US" w:eastAsia="zh-CN" w:bidi="ar"/>
        </w:rPr>
        <w:t>业</w:t>
      </w: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年金支出。</w:t>
      </w:r>
    </w:p>
    <w:p w14:paraId="78ECEB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16.农林水支出（类）巩固脱贫攻坚成果衔接乡村振兴（款）其他巩固脱贫攻坚成果衔接乡村振兴支出（项）：反映用于巩固脱贫攻坚成果衔接乡村振兴其他方面的支出。</w:t>
      </w:r>
    </w:p>
    <w:p w14:paraId="50B9B89D">
      <w:pPr>
        <w:ind w:firstLine="640" w:firstLineChars="200"/>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17.社会保障和就业支出（类）其他社会保障和就业支出（款）其他社会保障和就业支出（项）：反映除上述项目以外其他用于社会保障和就业方面的支出。</w:t>
      </w:r>
    </w:p>
    <w:p w14:paraId="29829EC5">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val="0"/>
          <w:color w:val="000000"/>
          <w:sz w:val="32"/>
          <w:szCs w:val="32"/>
          <w:lang w:val="en-US" w:eastAsia="zh-CN"/>
        </w:rPr>
        <w:t>18</w:t>
      </w:r>
      <w:r>
        <w:rPr>
          <w:rStyle w:val="18"/>
          <w:rFonts w:ascii="仿宋" w:hAnsi="仿宋" w:eastAsia="仿宋"/>
          <w:b w:val="0"/>
          <w:bCs w:val="0"/>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2CB28E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color="auto" w:fill="FFFFFF"/>
          <w:lang w:val="en-US" w:eastAsia="zh-CN" w:bidi="ar"/>
        </w:rPr>
        <w:t>19.住房保障支出（类）住房改革支出（款）住房公积金（项）：反映行政事业单位按人力资源和社会保障部、财政部规定的基本工资和津贴补贴以及规定比例为职工缴纳的住房公积金。</w:t>
      </w:r>
    </w:p>
    <w:p w14:paraId="58222458">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C52AD2D">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4C948CB">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7ADC9D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EB466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06699F">
      <w:pPr>
        <w:spacing w:line="600" w:lineRule="exact"/>
        <w:jc w:val="center"/>
        <w:rPr>
          <w:rFonts w:hint="eastAsia" w:eastAsia="黑体"/>
          <w:sz w:val="44"/>
          <w:szCs w:val="44"/>
        </w:rPr>
      </w:pPr>
      <w:bookmarkStart w:id="51" w:name="_Toc15396614"/>
      <w:bookmarkStart w:id="52" w:name="_Toc15377226"/>
    </w:p>
    <w:p w14:paraId="5EC00E3B">
      <w:pPr>
        <w:spacing w:line="600" w:lineRule="exact"/>
        <w:jc w:val="center"/>
        <w:rPr>
          <w:rStyle w:val="29"/>
          <w:rFonts w:eastAsia="黑体"/>
          <w:b w:val="0"/>
        </w:rPr>
      </w:pPr>
      <w:r>
        <w:rPr>
          <w:rFonts w:hint="eastAsia" w:eastAsia="黑体"/>
          <w:sz w:val="44"/>
          <w:szCs w:val="44"/>
        </w:rPr>
        <w:t>第四部分  附件</w:t>
      </w:r>
      <w:bookmarkEnd w:id="51"/>
    </w:p>
    <w:p w14:paraId="42F27712">
      <w:pPr>
        <w:spacing w:line="572" w:lineRule="exact"/>
        <w:jc w:val="left"/>
        <w:outlineLvl w:val="0"/>
        <w:rPr>
          <w:rFonts w:eastAsia="黑体" w:cs="黑体"/>
          <w:sz w:val="32"/>
          <w:szCs w:val="32"/>
        </w:rPr>
      </w:pPr>
      <w:r>
        <w:drawing>
          <wp:anchor distT="0" distB="0" distL="114300" distR="114300" simplePos="0" relativeHeight="251659264" behindDoc="1" locked="0" layoutInCell="1" allowOverlap="1">
            <wp:simplePos x="0" y="0"/>
            <wp:positionH relativeFrom="column">
              <wp:posOffset>-19050</wp:posOffset>
            </wp:positionH>
            <wp:positionV relativeFrom="paragraph">
              <wp:posOffset>139700</wp:posOffset>
            </wp:positionV>
            <wp:extent cx="5274310" cy="3762375"/>
            <wp:effectExtent l="0" t="0" r="2540" b="9525"/>
            <wp:wrapThrough wrapText="bothSides">
              <wp:wrapPolygon>
                <wp:start x="0" y="0"/>
                <wp:lineTo x="0" y="21545"/>
                <wp:lineTo x="11312" y="21545"/>
                <wp:lineTo x="12248" y="21436"/>
                <wp:lineTo x="21532" y="20998"/>
                <wp:lineTo x="21532" y="19467"/>
                <wp:lineTo x="1170" y="19249"/>
                <wp:lineTo x="21532" y="18702"/>
                <wp:lineTo x="21532" y="18264"/>
                <wp:lineTo x="10532" y="17499"/>
                <wp:lineTo x="21532" y="17171"/>
                <wp:lineTo x="21532" y="16296"/>
                <wp:lineTo x="17788" y="15749"/>
                <wp:lineTo x="21532" y="15639"/>
                <wp:lineTo x="21532" y="14436"/>
                <wp:lineTo x="17788" y="13999"/>
                <wp:lineTo x="21532" y="13671"/>
                <wp:lineTo x="21532" y="12905"/>
                <wp:lineTo x="20596" y="12249"/>
                <wp:lineTo x="21376" y="12249"/>
                <wp:lineTo x="21532" y="11921"/>
                <wp:lineTo x="21532" y="7109"/>
                <wp:lineTo x="4369" y="6999"/>
                <wp:lineTo x="21454" y="5796"/>
                <wp:lineTo x="21532" y="5578"/>
                <wp:lineTo x="21532" y="1859"/>
                <wp:lineTo x="8894" y="1750"/>
                <wp:lineTo x="21532" y="766"/>
                <wp:lineTo x="21532"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3762375"/>
                    </a:xfrm>
                    <a:prstGeom prst="rect">
                      <a:avLst/>
                    </a:prstGeom>
                    <a:noFill/>
                    <a:ln>
                      <a:noFill/>
                    </a:ln>
                  </pic:spPr>
                </pic:pic>
              </a:graphicData>
            </a:graphic>
          </wp:anchor>
        </w:drawing>
      </w:r>
    </w:p>
    <w:p w14:paraId="6CA20FB5">
      <w:pPr>
        <w:pStyle w:val="13"/>
        <w:rPr>
          <w:rFonts w:eastAsia="黑体" w:cs="黑体"/>
          <w:sz w:val="32"/>
          <w:szCs w:val="32"/>
        </w:rPr>
      </w:pPr>
      <w:r>
        <w:drawing>
          <wp:inline distT="0" distB="0" distL="0" distR="0">
            <wp:extent cx="5274310" cy="39528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3952933"/>
                    </a:xfrm>
                    <a:prstGeom prst="rect">
                      <a:avLst/>
                    </a:prstGeom>
                    <a:noFill/>
                    <a:ln>
                      <a:noFill/>
                    </a:ln>
                  </pic:spPr>
                </pic:pic>
              </a:graphicData>
            </a:graphic>
          </wp:inline>
        </w:drawing>
      </w:r>
    </w:p>
    <w:p w14:paraId="6E7D2808">
      <w:pPr>
        <w:pStyle w:val="7"/>
        <w:ind w:left="0" w:leftChars="0" w:firstLine="0" w:firstLineChars="0"/>
        <w:rPr>
          <w:rFonts w:hint="eastAsia" w:ascii="Times New Roman" w:eastAsia="黑体" w:cs="黑体"/>
          <w:sz w:val="32"/>
        </w:rPr>
      </w:pPr>
      <w:r>
        <w:drawing>
          <wp:inline distT="0" distB="0" distL="0" distR="0">
            <wp:extent cx="5274310" cy="38404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3840952"/>
                    </a:xfrm>
                    <a:prstGeom prst="rect">
                      <a:avLst/>
                    </a:prstGeom>
                    <a:noFill/>
                    <a:ln>
                      <a:noFill/>
                    </a:ln>
                  </pic:spPr>
                </pic:pic>
              </a:graphicData>
            </a:graphic>
          </wp:inline>
        </w:drawing>
      </w:r>
    </w:p>
    <w:p w14:paraId="5A058F04">
      <w:pPr>
        <w:pStyle w:val="7"/>
        <w:ind w:left="0" w:leftChars="0" w:firstLine="0" w:firstLineChars="0"/>
        <w:rPr>
          <w:rFonts w:hint="eastAsia" w:ascii="Times New Roman" w:eastAsia="黑体" w:cs="黑体"/>
          <w:sz w:val="32"/>
        </w:rPr>
      </w:pPr>
    </w:p>
    <w:p w14:paraId="442FE33C">
      <w:pPr>
        <w:pStyle w:val="7"/>
        <w:ind w:left="0" w:leftChars="0" w:firstLine="0" w:firstLineChars="0"/>
        <w:rPr>
          <w:rFonts w:hint="eastAsia" w:ascii="Times New Roman" w:eastAsia="黑体" w:cs="黑体"/>
          <w:sz w:val="32"/>
        </w:rPr>
      </w:pPr>
    </w:p>
    <w:p w14:paraId="081887D3">
      <w:pPr>
        <w:pStyle w:val="7"/>
        <w:ind w:left="0" w:leftChars="0" w:firstLine="0" w:firstLineChars="0"/>
        <w:rPr>
          <w:rFonts w:hint="eastAsia" w:ascii="Times New Roman" w:eastAsia="黑体" w:cs="黑体"/>
          <w:sz w:val="32"/>
        </w:rPr>
      </w:pPr>
    </w:p>
    <w:p w14:paraId="4ECEC824">
      <w:pPr>
        <w:pStyle w:val="7"/>
        <w:ind w:left="0" w:leftChars="0" w:firstLine="0" w:firstLineChars="0"/>
        <w:rPr>
          <w:rFonts w:ascii="Times New Roman" w:eastAsia="黑体" w:cs="黑体"/>
          <w:sz w:val="32"/>
        </w:rPr>
      </w:pPr>
      <w:r>
        <w:drawing>
          <wp:inline distT="0" distB="0" distL="0" distR="0">
            <wp:extent cx="5274310" cy="325818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3258650"/>
                    </a:xfrm>
                    <a:prstGeom prst="rect">
                      <a:avLst/>
                    </a:prstGeom>
                    <a:noFill/>
                    <a:ln>
                      <a:noFill/>
                    </a:ln>
                  </pic:spPr>
                </pic:pic>
              </a:graphicData>
            </a:graphic>
          </wp:inline>
        </w:drawing>
      </w:r>
    </w:p>
    <w:p w14:paraId="37ABD25B">
      <w:pPr>
        <w:pStyle w:val="7"/>
        <w:ind w:left="0" w:leftChars="0" w:firstLine="0" w:firstLineChars="0"/>
        <w:rPr>
          <w:rFonts w:hint="eastAsia" w:ascii="Times New Roman" w:eastAsia="黑体" w:cs="黑体"/>
          <w:sz w:val="32"/>
        </w:rPr>
      </w:pPr>
      <w:r>
        <w:drawing>
          <wp:inline distT="0" distB="0" distL="0" distR="0">
            <wp:extent cx="5274310" cy="3706495"/>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3706575"/>
                    </a:xfrm>
                    <a:prstGeom prst="rect">
                      <a:avLst/>
                    </a:prstGeom>
                    <a:noFill/>
                    <a:ln>
                      <a:noFill/>
                    </a:ln>
                  </pic:spPr>
                </pic:pic>
              </a:graphicData>
            </a:graphic>
          </wp:inline>
        </w:drawing>
      </w:r>
    </w:p>
    <w:p w14:paraId="6D81AEDB">
      <w:pPr>
        <w:pStyle w:val="7"/>
        <w:ind w:left="0" w:leftChars="0" w:firstLine="0" w:firstLineChars="0"/>
        <w:rPr>
          <w:rFonts w:hint="eastAsia" w:ascii="Times New Roman" w:eastAsia="黑体" w:cs="黑体"/>
          <w:sz w:val="32"/>
        </w:rPr>
      </w:pPr>
    </w:p>
    <w:p w14:paraId="6758D5B5">
      <w:pPr>
        <w:pStyle w:val="7"/>
        <w:ind w:left="0" w:leftChars="0" w:firstLine="0" w:firstLineChars="0"/>
        <w:rPr>
          <w:rFonts w:hint="eastAsia" w:ascii="Times New Roman" w:eastAsia="黑体" w:cs="黑体"/>
          <w:sz w:val="32"/>
        </w:rPr>
      </w:pPr>
    </w:p>
    <w:p w14:paraId="5EEC6376">
      <w:pPr>
        <w:pStyle w:val="7"/>
        <w:ind w:left="0" w:leftChars="0" w:firstLine="0" w:firstLineChars="0"/>
        <w:rPr>
          <w:rFonts w:ascii="Times New Roman" w:eastAsia="黑体" w:cs="黑体"/>
          <w:sz w:val="32"/>
        </w:rPr>
      </w:pPr>
      <w:r>
        <w:drawing>
          <wp:inline distT="0" distB="0" distL="0" distR="0">
            <wp:extent cx="5274310" cy="379603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3796159"/>
                    </a:xfrm>
                    <a:prstGeom prst="rect">
                      <a:avLst/>
                    </a:prstGeom>
                    <a:noFill/>
                    <a:ln>
                      <a:noFill/>
                    </a:ln>
                  </pic:spPr>
                </pic:pic>
              </a:graphicData>
            </a:graphic>
          </wp:inline>
        </w:drawing>
      </w:r>
    </w:p>
    <w:p w14:paraId="44D7F754">
      <w:pPr>
        <w:pStyle w:val="7"/>
        <w:ind w:left="0" w:leftChars="0" w:firstLine="0" w:firstLineChars="0"/>
        <w:rPr>
          <w:rFonts w:hint="eastAsia" w:ascii="Times New Roman" w:eastAsia="黑体" w:cs="黑体"/>
          <w:sz w:val="32"/>
        </w:rPr>
      </w:pPr>
      <w:r>
        <w:drawing>
          <wp:inline distT="0" distB="0" distL="0" distR="0">
            <wp:extent cx="5274310" cy="325818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3258650"/>
                    </a:xfrm>
                    <a:prstGeom prst="rect">
                      <a:avLst/>
                    </a:prstGeom>
                    <a:noFill/>
                    <a:ln>
                      <a:noFill/>
                    </a:ln>
                  </pic:spPr>
                </pic:pic>
              </a:graphicData>
            </a:graphic>
          </wp:inline>
        </w:drawing>
      </w:r>
    </w:p>
    <w:p w14:paraId="74035030">
      <w:pPr>
        <w:pStyle w:val="7"/>
        <w:ind w:left="0" w:leftChars="0" w:firstLine="0" w:firstLineChars="0"/>
        <w:rPr>
          <w:rFonts w:hint="eastAsia" w:ascii="Times New Roman" w:eastAsia="黑体" w:cs="黑体"/>
          <w:sz w:val="32"/>
        </w:rPr>
      </w:pPr>
    </w:p>
    <w:p w14:paraId="6E2FA662">
      <w:pPr>
        <w:pStyle w:val="7"/>
        <w:ind w:left="0" w:leftChars="0" w:firstLine="0" w:firstLineChars="0"/>
        <w:rPr>
          <w:rFonts w:hint="eastAsia" w:ascii="Times New Roman" w:eastAsia="黑体" w:cs="黑体"/>
          <w:sz w:val="32"/>
        </w:rPr>
      </w:pPr>
    </w:p>
    <w:p w14:paraId="1AE474B8">
      <w:pPr>
        <w:pStyle w:val="7"/>
        <w:ind w:left="0" w:leftChars="0" w:firstLine="0" w:firstLineChars="0"/>
        <w:rPr>
          <w:rFonts w:hint="eastAsia" w:ascii="Times New Roman" w:eastAsia="黑体" w:cs="黑体"/>
          <w:sz w:val="32"/>
        </w:rPr>
      </w:pPr>
    </w:p>
    <w:p w14:paraId="7ACA06AA">
      <w:pPr>
        <w:pStyle w:val="7"/>
        <w:ind w:left="0" w:leftChars="0" w:firstLine="0" w:firstLineChars="0"/>
        <w:rPr>
          <w:rFonts w:eastAsia="方正小标宋简体"/>
          <w:bCs/>
          <w:sz w:val="44"/>
          <w:szCs w:val="44"/>
          <w:shd w:val="clear" w:color="auto" w:fill="FFFFFF"/>
        </w:rPr>
      </w:pPr>
      <w:r>
        <w:drawing>
          <wp:inline distT="0" distB="0" distL="0" distR="0">
            <wp:extent cx="5274310" cy="379603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3796159"/>
                    </a:xfrm>
                    <a:prstGeom prst="rect">
                      <a:avLst/>
                    </a:prstGeom>
                    <a:noFill/>
                    <a:ln>
                      <a:noFill/>
                    </a:ln>
                  </pic:spPr>
                </pic:pic>
              </a:graphicData>
            </a:graphic>
          </wp:inline>
        </w:drawing>
      </w:r>
    </w:p>
    <w:p w14:paraId="00834BC3">
      <w:pPr>
        <w:widowControl/>
        <w:jc w:val="center"/>
        <w:rPr>
          <w:rFonts w:eastAsia="仿宋"/>
        </w:rPr>
      </w:pPr>
      <w:bookmarkStart w:id="53" w:name="_Toc15396618"/>
      <w:r>
        <w:rPr>
          <w:rFonts w:hint="eastAsia" w:eastAsia="黑体"/>
          <w:sz w:val="44"/>
          <w:szCs w:val="44"/>
        </w:rPr>
        <w:t>第</w:t>
      </w:r>
      <w:r>
        <w:rPr>
          <w:rStyle w:val="29"/>
          <w:rFonts w:hint="eastAsia" w:eastAsia="黑体"/>
          <w:b w:val="0"/>
        </w:rPr>
        <w:t>五部分 附表</w:t>
      </w:r>
      <w:bookmarkEnd w:id="52"/>
      <w:bookmarkEnd w:id="53"/>
      <w:bookmarkStart w:id="54" w:name="_Toc15396619"/>
    </w:p>
    <w:p w14:paraId="28075853">
      <w:pPr>
        <w:pStyle w:val="14"/>
        <w:adjustRightInd w:val="0"/>
        <w:snapToGrid w:val="0"/>
        <w:spacing w:line="560" w:lineRule="exact"/>
        <w:jc w:val="left"/>
        <w:rPr>
          <w:rFonts w:eastAsia="仿宋_GB2312" w:cs="仿宋_GB2312"/>
          <w:sz w:val="32"/>
          <w:szCs w:val="32"/>
        </w:rPr>
      </w:pPr>
    </w:p>
    <w:p w14:paraId="28FB964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2FC9E75E">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4199F095">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4B0AE161">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31096FD6">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31432F1B">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2E6D9267">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5C2E3682">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04CFEC27">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6E670811">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35DAB22E">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0ED04A7C">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76CF37F6">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1D0C5E99"/>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EC6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16B7">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B1716B7">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379A88D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815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5912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5912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0FF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C7E10">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59C7E10">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5F4BF1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767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F014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F0F014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F26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87F98"/>
    <w:multiLevelType w:val="singleLevel"/>
    <w:tmpl w:val="31387F9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YTkwZjc3MTFkYWEwOGVlNzQwOGY0Y2RmNDk5ZWUifQ=="/>
  </w:docVars>
  <w:rsids>
    <w:rsidRoot w:val="00F1361C"/>
    <w:rsid w:val="000222C6"/>
    <w:rsid w:val="0002549F"/>
    <w:rsid w:val="000468DB"/>
    <w:rsid w:val="0006487A"/>
    <w:rsid w:val="00065F8F"/>
    <w:rsid w:val="00070A43"/>
    <w:rsid w:val="00072D9A"/>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2A34"/>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2DEB"/>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523E"/>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08ED"/>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2005AC"/>
    <w:rsid w:val="066E0107"/>
    <w:rsid w:val="07996F6E"/>
    <w:rsid w:val="07DFD8BA"/>
    <w:rsid w:val="09867E8F"/>
    <w:rsid w:val="09DA6CC4"/>
    <w:rsid w:val="0A2032A3"/>
    <w:rsid w:val="0BFF38C5"/>
    <w:rsid w:val="0CA8290A"/>
    <w:rsid w:val="0CC25C2D"/>
    <w:rsid w:val="0D35B1ED"/>
    <w:rsid w:val="0D493460"/>
    <w:rsid w:val="0E254B6B"/>
    <w:rsid w:val="0E9F12DC"/>
    <w:rsid w:val="0F98263C"/>
    <w:rsid w:val="101860EC"/>
    <w:rsid w:val="101F47CC"/>
    <w:rsid w:val="10C055FF"/>
    <w:rsid w:val="11694EBD"/>
    <w:rsid w:val="11772AA4"/>
    <w:rsid w:val="118107EC"/>
    <w:rsid w:val="1198375C"/>
    <w:rsid w:val="124A63E0"/>
    <w:rsid w:val="12E24EE2"/>
    <w:rsid w:val="130779E3"/>
    <w:rsid w:val="13D50BC4"/>
    <w:rsid w:val="14B17F78"/>
    <w:rsid w:val="14EA2129"/>
    <w:rsid w:val="15C03212"/>
    <w:rsid w:val="165E0673"/>
    <w:rsid w:val="16B831D5"/>
    <w:rsid w:val="16BB723D"/>
    <w:rsid w:val="17630CED"/>
    <w:rsid w:val="17E50567"/>
    <w:rsid w:val="186504BB"/>
    <w:rsid w:val="19A445FC"/>
    <w:rsid w:val="1A1D5169"/>
    <w:rsid w:val="1AF420A5"/>
    <w:rsid w:val="1BE8440E"/>
    <w:rsid w:val="1D155CEE"/>
    <w:rsid w:val="1D1638FE"/>
    <w:rsid w:val="1D5222BE"/>
    <w:rsid w:val="1E312DEB"/>
    <w:rsid w:val="1E740ACF"/>
    <w:rsid w:val="1FF35744"/>
    <w:rsid w:val="1FF6BC77"/>
    <w:rsid w:val="204752C1"/>
    <w:rsid w:val="2186353C"/>
    <w:rsid w:val="218D6EF0"/>
    <w:rsid w:val="238166D6"/>
    <w:rsid w:val="23860B96"/>
    <w:rsid w:val="240371BF"/>
    <w:rsid w:val="244F3473"/>
    <w:rsid w:val="248536CD"/>
    <w:rsid w:val="249C4BD6"/>
    <w:rsid w:val="24C97D99"/>
    <w:rsid w:val="25A718F0"/>
    <w:rsid w:val="25BB59F6"/>
    <w:rsid w:val="260F557C"/>
    <w:rsid w:val="26970054"/>
    <w:rsid w:val="26B06349"/>
    <w:rsid w:val="27B21631"/>
    <w:rsid w:val="281408E2"/>
    <w:rsid w:val="29FD04D3"/>
    <w:rsid w:val="2A036D27"/>
    <w:rsid w:val="2A877F53"/>
    <w:rsid w:val="2A8E39C4"/>
    <w:rsid w:val="2B874780"/>
    <w:rsid w:val="2BEA72C6"/>
    <w:rsid w:val="2BFF7BC6"/>
    <w:rsid w:val="2C8A61B5"/>
    <w:rsid w:val="2D1934DC"/>
    <w:rsid w:val="2DC61D27"/>
    <w:rsid w:val="2DF04E50"/>
    <w:rsid w:val="2E586DFA"/>
    <w:rsid w:val="2F040D46"/>
    <w:rsid w:val="2F6B035B"/>
    <w:rsid w:val="2FAE5751"/>
    <w:rsid w:val="2FB1A395"/>
    <w:rsid w:val="2FD9A7D8"/>
    <w:rsid w:val="2FDBF714"/>
    <w:rsid w:val="30AB6865"/>
    <w:rsid w:val="319F7F4E"/>
    <w:rsid w:val="32BD1EF1"/>
    <w:rsid w:val="3304709D"/>
    <w:rsid w:val="33A773CB"/>
    <w:rsid w:val="33ED3FB1"/>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A4C63"/>
    <w:rsid w:val="3E300685"/>
    <w:rsid w:val="3E740A63"/>
    <w:rsid w:val="3E78745D"/>
    <w:rsid w:val="3EE17838"/>
    <w:rsid w:val="3F55381A"/>
    <w:rsid w:val="3F7F7599"/>
    <w:rsid w:val="3FEC3E32"/>
    <w:rsid w:val="3FF4CAE0"/>
    <w:rsid w:val="3FF7B227"/>
    <w:rsid w:val="43FF5E5A"/>
    <w:rsid w:val="44012BF5"/>
    <w:rsid w:val="44E268DA"/>
    <w:rsid w:val="450D13D7"/>
    <w:rsid w:val="45506656"/>
    <w:rsid w:val="462E1094"/>
    <w:rsid w:val="47D44777"/>
    <w:rsid w:val="486A6C7A"/>
    <w:rsid w:val="4A627F82"/>
    <w:rsid w:val="4AE42F23"/>
    <w:rsid w:val="4B08477A"/>
    <w:rsid w:val="4B0E749A"/>
    <w:rsid w:val="4B2477C4"/>
    <w:rsid w:val="4B4F25DA"/>
    <w:rsid w:val="4BE068DB"/>
    <w:rsid w:val="4D047DE5"/>
    <w:rsid w:val="4D577224"/>
    <w:rsid w:val="4D5D6FBD"/>
    <w:rsid w:val="4DBF1CEB"/>
    <w:rsid w:val="4DF0007C"/>
    <w:rsid w:val="4EAB630A"/>
    <w:rsid w:val="4ECE2238"/>
    <w:rsid w:val="4F833267"/>
    <w:rsid w:val="4FE9BD67"/>
    <w:rsid w:val="4FFB052F"/>
    <w:rsid w:val="51860A52"/>
    <w:rsid w:val="532D2A2E"/>
    <w:rsid w:val="5370080B"/>
    <w:rsid w:val="537E6D0A"/>
    <w:rsid w:val="53F74C96"/>
    <w:rsid w:val="549D271B"/>
    <w:rsid w:val="55170BA8"/>
    <w:rsid w:val="553218C9"/>
    <w:rsid w:val="567E1AA5"/>
    <w:rsid w:val="56E47B74"/>
    <w:rsid w:val="57175D52"/>
    <w:rsid w:val="57BD3DD4"/>
    <w:rsid w:val="58901103"/>
    <w:rsid w:val="59523308"/>
    <w:rsid w:val="5AF92295"/>
    <w:rsid w:val="5B250254"/>
    <w:rsid w:val="5B4934B0"/>
    <w:rsid w:val="5BDD79E6"/>
    <w:rsid w:val="5BF561CA"/>
    <w:rsid w:val="5BFF5DFC"/>
    <w:rsid w:val="5C527202"/>
    <w:rsid w:val="5CD71FC4"/>
    <w:rsid w:val="5D1F11B5"/>
    <w:rsid w:val="5D695134"/>
    <w:rsid w:val="5DAE1B18"/>
    <w:rsid w:val="5DE7D9E5"/>
    <w:rsid w:val="5E386898"/>
    <w:rsid w:val="5ECEC941"/>
    <w:rsid w:val="5FBF9FF3"/>
    <w:rsid w:val="5FCD4E2C"/>
    <w:rsid w:val="5FEF394A"/>
    <w:rsid w:val="5FF67715"/>
    <w:rsid w:val="60565105"/>
    <w:rsid w:val="61531332"/>
    <w:rsid w:val="61755858"/>
    <w:rsid w:val="62BF3928"/>
    <w:rsid w:val="63304E7D"/>
    <w:rsid w:val="63B3701E"/>
    <w:rsid w:val="647F5392"/>
    <w:rsid w:val="65922EAD"/>
    <w:rsid w:val="65E66580"/>
    <w:rsid w:val="66312EF1"/>
    <w:rsid w:val="664B1D71"/>
    <w:rsid w:val="664B4E8E"/>
    <w:rsid w:val="67277B67"/>
    <w:rsid w:val="67AA3209"/>
    <w:rsid w:val="698D0931"/>
    <w:rsid w:val="6A7FE5F3"/>
    <w:rsid w:val="6A857FD1"/>
    <w:rsid w:val="6B053271"/>
    <w:rsid w:val="6BDD78B3"/>
    <w:rsid w:val="6C4A05C8"/>
    <w:rsid w:val="6C8742B8"/>
    <w:rsid w:val="6DBF5E93"/>
    <w:rsid w:val="6DFF077E"/>
    <w:rsid w:val="6E714EF0"/>
    <w:rsid w:val="6E7E3605"/>
    <w:rsid w:val="6E7FDCC7"/>
    <w:rsid w:val="6ED6A62E"/>
    <w:rsid w:val="6EE00B15"/>
    <w:rsid w:val="6F6FB3EB"/>
    <w:rsid w:val="6F8731EA"/>
    <w:rsid w:val="6FB2689C"/>
    <w:rsid w:val="6FCE6052"/>
    <w:rsid w:val="6FD57C00"/>
    <w:rsid w:val="6FEFFFD8"/>
    <w:rsid w:val="6FF5CC65"/>
    <w:rsid w:val="6FFB47EC"/>
    <w:rsid w:val="6FFF034A"/>
    <w:rsid w:val="70484440"/>
    <w:rsid w:val="712A28F1"/>
    <w:rsid w:val="715C0E4B"/>
    <w:rsid w:val="71992E7C"/>
    <w:rsid w:val="71FD5767"/>
    <w:rsid w:val="72233669"/>
    <w:rsid w:val="72734D90"/>
    <w:rsid w:val="73160E6D"/>
    <w:rsid w:val="7332FE48"/>
    <w:rsid w:val="73AB01C3"/>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D7268E"/>
    <w:rsid w:val="7AFF7572"/>
    <w:rsid w:val="7B6C7DFB"/>
    <w:rsid w:val="7BBFBED0"/>
    <w:rsid w:val="7BC3E394"/>
    <w:rsid w:val="7C1F3737"/>
    <w:rsid w:val="7CBFC87B"/>
    <w:rsid w:val="7CFE0F48"/>
    <w:rsid w:val="7D272ABC"/>
    <w:rsid w:val="7D71242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B90956"/>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10"/>
    <w:pPr>
      <w:widowControl w:val="0"/>
      <w:spacing w:before="240" w:after="60"/>
      <w:jc w:val="center"/>
      <w:outlineLvl w:val="0"/>
    </w:pPr>
    <w:rPr>
      <w:rFonts w:ascii="Arial" w:hAnsi="Arial" w:eastAsia="仿宋_GB2312" w:cs="Arial"/>
      <w:b/>
      <w:bCs/>
      <w:kern w:val="2"/>
      <w:sz w:val="32"/>
      <w:szCs w:val="32"/>
      <w:lang w:val="en-US" w:eastAsia="zh-CN" w:bidi="ar-SA"/>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emf"/><Relationship Id="rId22" Type="http://schemas.openxmlformats.org/officeDocument/2006/relationships/image" Target="media/image7.emf"/><Relationship Id="rId21" Type="http://schemas.openxmlformats.org/officeDocument/2006/relationships/image" Target="media/image6.emf"/><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emf"/><Relationship Id="rId17" Type="http://schemas.openxmlformats.org/officeDocument/2006/relationships/image" Target="media/image2.emf"/><Relationship Id="rId16" Type="http://schemas.openxmlformats.org/officeDocument/2006/relationships/image" Target="media/image1.emf"/><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03527422082629"/>
          <c:y val="0.0871228219294518"/>
          <c:w val="0.890118386083595"/>
          <c:h val="0.847726306842329"/>
        </c:manualLayout>
      </c:layout>
      <c:barChart>
        <c:barDir val="col"/>
        <c:grouping val="clustered"/>
        <c:varyColors val="0"/>
        <c:ser>
          <c:idx val="0"/>
          <c:order val="0"/>
          <c:tx>
            <c:strRef>
              <c:f>Sheet1!$B$1</c:f>
              <c:strCache>
                <c:ptCount val="1"/>
                <c:pt idx="0">
                  <c:v/>
                </c:pt>
              </c:strCache>
            </c:strRef>
          </c:tx>
          <c:spPr>
            <a:solidFill>
              <a:schemeClr val="accent1">
                <a:hueOff val="0"/>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1598.29</c:v>
                </c:pt>
                <c:pt idx="1">
                  <c:v>1596.34</c:v>
                </c:pt>
              </c:numCache>
            </c:numRef>
          </c:val>
        </c:ser>
        <c:ser>
          <c:idx val="1"/>
          <c:order val="1"/>
          <c:tx>
            <c:strRef>
              <c:f>Sheet1!#REF!</c:f>
              <c:strCache>
                <c:ptCount val="1"/>
                <c:pt idx="0">
                  <c:v/>
                </c:pt>
              </c:strCache>
            </c:strRef>
          </c:tx>
          <c:spPr>
            <a:solidFill>
              <a:schemeClr val="accent1">
                <a:hueOff val="3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1">
                <a:hueOff val="6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30"/>
        <c:overlap val="30"/>
        <c:axId val="408771113"/>
        <c:axId val="608427648"/>
      </c:barChart>
      <c:catAx>
        <c:axId val="408771113"/>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8427648"/>
        <c:crosses val="autoZero"/>
        <c:auto val="1"/>
        <c:lblAlgn val="ctr"/>
        <c:lblOffset val="100"/>
        <c:noMultiLvlLbl val="0"/>
      </c:catAx>
      <c:valAx>
        <c:axId val="60842764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08771113"/>
        <c:crosses val="autoZero"/>
        <c:crossBetween val="between"/>
      </c:valAx>
      <c:spPr>
        <a:noFill/>
        <a:ln>
          <a:noFill/>
        </a:ln>
        <a:effectLst/>
      </c:spPr>
    </c:plotArea>
    <c:plotVisOnly val="1"/>
    <c:dispBlanksAs val="gap"/>
    <c:showDLblsOverMax val="0"/>
    <c:extLst>
      <c:ext uri="{0b15fc19-7d7d-44ad-8c2d-2c3a37ce22c3}">
        <chartProps xmlns="https://web.wps.cn/et/2018/main" chartId="{0c8a9154-4e3e-43f7-be4c-711d069a8e0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收入决算结构图（万元）</c:v>
                </c:pt>
              </c:strCache>
            </c:strRef>
          </c:tx>
          <c:spPr>
            <a:gradFill>
              <a:gsLst>
                <a:gs pos="0">
                  <a:schemeClr val="accent1">
                    <a:lumMod val="60000"/>
                    <a:lumOff val="40000"/>
                  </a:schemeClr>
                </a:gs>
                <a:gs pos="100000">
                  <a:schemeClr val="accent1">
                    <a:lumMod val="75000"/>
                  </a:schemeClr>
                </a:gs>
              </a:gsLst>
              <a:lin ang="5400000" scaled="1"/>
            </a:gradFill>
            <a:ln w="25400">
              <a:solidFill>
                <a:schemeClr val="accent1"/>
              </a:solidFill>
            </a:ln>
            <a:effectLst>
              <a:outerShdw blurRad="50800" dist="38100" dir="2700000" algn="tl" rotWithShape="0">
                <a:schemeClr val="accent1">
                  <a:alpha val="40000"/>
                </a:schemeClr>
              </a:outerShdw>
            </a:effectLst>
          </c:spPr>
          <c:explosion val="0"/>
          <c:dPt>
            <c:idx val="0"/>
            <c:bubble3D val="0"/>
            <c:spPr>
              <a:gradFill>
                <a:gsLst>
                  <a:gs pos="0">
                    <a:schemeClr val="accent1">
                      <a:lumMod val="60000"/>
                      <a:lumOff val="40000"/>
                    </a:schemeClr>
                  </a:gs>
                  <a:gs pos="100000">
                    <a:schemeClr val="accent1">
                      <a:lumMod val="75000"/>
                    </a:schemeClr>
                  </a:gs>
                </a:gsLst>
                <a:lin ang="5400000" scaled="1"/>
              </a:gradFill>
              <a:ln w="25400">
                <a:solidFill>
                  <a:schemeClr val="accent1"/>
                </a:solidFill>
              </a:ln>
              <a:effectLst>
                <a:outerShdw blurRad="50800" dist="38100" dir="2700000" algn="tl" rotWithShape="0">
                  <a:schemeClr val="accent1">
                    <a:alpha val="40000"/>
                  </a:schemeClr>
                </a:outerShdw>
              </a:effectLst>
            </c:spPr>
          </c:dPt>
          <c:dPt>
            <c:idx val="1"/>
            <c:bubble3D val="0"/>
            <c:spPr>
              <a:gradFill>
                <a:gsLst>
                  <a:gs pos="0">
                    <a:schemeClr val="accent2">
                      <a:lumMod val="60000"/>
                      <a:lumOff val="40000"/>
                    </a:schemeClr>
                  </a:gs>
                  <a:gs pos="100000">
                    <a:schemeClr val="accent2">
                      <a:lumMod val="75000"/>
                    </a:schemeClr>
                  </a:gs>
                </a:gsLst>
                <a:lin ang="5400000" scaled="1"/>
              </a:gradFill>
              <a:ln w="25400">
                <a:solidFill>
                  <a:schemeClr val="accent2"/>
                </a:solidFill>
              </a:ln>
              <a:effectLst>
                <a:outerShdw blurRad="50800" dist="38100" dir="2700000" algn="tl" rotWithShape="0">
                  <a:schemeClr val="accent2">
                    <a:alpha val="4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873.28</c:v>
                </c:pt>
                <c:pt idx="1">
                  <c:v>100</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cfd404d8-3374-450f-8b9a-4876458ef86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万元</c:v>
                </c:pt>
              </c:strCache>
            </c:strRef>
          </c:tx>
          <c:spPr>
            <a:gradFill>
              <a:gsLst>
                <a:gs pos="0">
                  <a:schemeClr val="accent1">
                    <a:lumMod val="60000"/>
                    <a:lumOff val="40000"/>
                  </a:schemeClr>
                </a:gs>
                <a:gs pos="100000">
                  <a:schemeClr val="accent1">
                    <a:lumMod val="75000"/>
                  </a:schemeClr>
                </a:gs>
              </a:gsLst>
              <a:lin ang="5400000" scaled="1"/>
            </a:gradFill>
            <a:ln w="25400">
              <a:solidFill>
                <a:schemeClr val="accent1"/>
              </a:solidFill>
            </a:ln>
            <a:effectLst>
              <a:outerShdw blurRad="50800" dist="38100" dir="2700000" algn="tl" rotWithShape="0">
                <a:schemeClr val="accent1">
                  <a:alpha val="40000"/>
                </a:schemeClr>
              </a:outerShdw>
            </a:effectLst>
          </c:spPr>
          <c:explosion val="0"/>
          <c:dPt>
            <c:idx val="0"/>
            <c:bubble3D val="0"/>
            <c:spPr>
              <a:gradFill>
                <a:gsLst>
                  <a:gs pos="0">
                    <a:schemeClr val="accent1">
                      <a:lumMod val="60000"/>
                      <a:lumOff val="40000"/>
                    </a:schemeClr>
                  </a:gs>
                  <a:gs pos="100000">
                    <a:schemeClr val="accent1">
                      <a:lumMod val="75000"/>
                    </a:schemeClr>
                  </a:gs>
                </a:gsLst>
                <a:lin ang="5400000" scaled="1"/>
              </a:gradFill>
              <a:ln w="25400">
                <a:solidFill>
                  <a:schemeClr val="accent1"/>
                </a:solidFill>
              </a:ln>
              <a:effectLst>
                <a:outerShdw blurRad="50800" dist="38100" dir="2700000" algn="tl" rotWithShape="0">
                  <a:schemeClr val="accent1">
                    <a:alpha val="40000"/>
                  </a:schemeClr>
                </a:outerShdw>
              </a:effectLst>
            </c:spPr>
          </c:dPt>
          <c:dPt>
            <c:idx val="1"/>
            <c:bubble3D val="0"/>
            <c:spPr>
              <a:gradFill>
                <a:gsLst>
                  <a:gs pos="0">
                    <a:schemeClr val="accent2">
                      <a:lumMod val="60000"/>
                      <a:lumOff val="40000"/>
                    </a:schemeClr>
                  </a:gs>
                  <a:gs pos="100000">
                    <a:schemeClr val="accent2">
                      <a:lumMod val="75000"/>
                    </a:schemeClr>
                  </a:gs>
                </a:gsLst>
                <a:lin ang="5400000" scaled="1"/>
              </a:gradFill>
              <a:ln w="25400">
                <a:solidFill>
                  <a:schemeClr val="accent2"/>
                </a:solidFill>
              </a:ln>
              <a:effectLst>
                <a:outerShdw blurRad="50800" dist="38100" dir="2700000" algn="tl" rotWithShape="0">
                  <a:schemeClr val="accent2">
                    <a:alpha val="4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483.65</c:v>
                </c:pt>
                <c:pt idx="1">
                  <c:v>489.62</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783a3e8-6318-43f3-8a23-f1dbe45e74aa}"/>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03527422082629"/>
          <c:y val="0.0871228219294518"/>
          <c:w val="0.890118386083595"/>
          <c:h val="0.847726306842329"/>
        </c:manualLayout>
      </c:layout>
      <c:barChart>
        <c:barDir val="col"/>
        <c:grouping val="clustered"/>
        <c:varyColors val="0"/>
        <c:ser>
          <c:idx val="0"/>
          <c:order val="0"/>
          <c:tx>
            <c:strRef>
              <c:f>Sheet1!$B$1</c:f>
              <c:strCache>
                <c:ptCount val="1"/>
                <c:pt idx="0">
                  <c:v/>
                </c:pt>
              </c:strCache>
            </c:strRef>
          </c:tx>
          <c:spPr>
            <a:solidFill>
              <a:schemeClr val="accent1">
                <a:hueOff val="0"/>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1598.29</c:v>
                </c:pt>
                <c:pt idx="1">
                  <c:v>1596.34</c:v>
                </c:pt>
              </c:numCache>
            </c:numRef>
          </c:val>
        </c:ser>
        <c:ser>
          <c:idx val="1"/>
          <c:order val="1"/>
          <c:tx>
            <c:strRef>
              <c:f>Sheet1!#REF!</c:f>
              <c:strCache>
                <c:ptCount val="1"/>
                <c:pt idx="0">
                  <c:v/>
                </c:pt>
              </c:strCache>
            </c:strRef>
          </c:tx>
          <c:spPr>
            <a:solidFill>
              <a:schemeClr val="accent1">
                <a:hueOff val="3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1">
                <a:hueOff val="6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30"/>
        <c:overlap val="30"/>
        <c:axId val="408771113"/>
        <c:axId val="608427648"/>
      </c:barChart>
      <c:catAx>
        <c:axId val="408771113"/>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8427648"/>
        <c:crosses val="autoZero"/>
        <c:auto val="1"/>
        <c:lblAlgn val="ctr"/>
        <c:lblOffset val="100"/>
        <c:noMultiLvlLbl val="0"/>
      </c:catAx>
      <c:valAx>
        <c:axId val="60842764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08771113"/>
        <c:crosses val="autoZero"/>
        <c:crossBetween val="between"/>
      </c:valAx>
      <c:spPr>
        <a:noFill/>
        <a:ln>
          <a:noFill/>
        </a:ln>
        <a:effectLst/>
      </c:spPr>
    </c:plotArea>
    <c:plotVisOnly val="1"/>
    <c:dispBlanksAs val="gap"/>
    <c:showDLblsOverMax val="0"/>
    <c:extLst>
      <c:ext uri="{0b15fc19-7d7d-44ad-8c2d-2c3a37ce22c3}">
        <chartProps xmlns="https://web.wps.cn/et/2018/main" chartId="{0c8a9154-4e3e-43f7-be4c-711d069a8e0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03527422082629"/>
          <c:y val="0.0871228219294518"/>
          <c:w val="0.890118386083595"/>
          <c:h val="0.847726306842329"/>
        </c:manualLayout>
      </c:layout>
      <c:barChart>
        <c:barDir val="col"/>
        <c:grouping val="clustered"/>
        <c:varyColors val="0"/>
        <c:ser>
          <c:idx val="0"/>
          <c:order val="0"/>
          <c:tx>
            <c:strRef>
              <c:f>Sheet1!$B$1</c:f>
              <c:strCache>
                <c:ptCount val="1"/>
                <c:pt idx="0">
                  <c:v/>
                </c:pt>
              </c:strCache>
            </c:strRef>
          </c:tx>
          <c:spPr>
            <a:solidFill>
              <a:schemeClr val="accent1">
                <a:hueOff val="0"/>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873.28</c:v>
                </c:pt>
                <c:pt idx="1">
                  <c:v>798.17</c:v>
                </c:pt>
              </c:numCache>
            </c:numRef>
          </c:val>
        </c:ser>
        <c:ser>
          <c:idx val="1"/>
          <c:order val="1"/>
          <c:tx>
            <c:strRef>
              <c:f>Sheet1!#REF!</c:f>
              <c:strCache>
                <c:ptCount val="1"/>
                <c:pt idx="0">
                  <c:v/>
                </c:pt>
              </c:strCache>
            </c:strRef>
          </c:tx>
          <c:spPr>
            <a:solidFill>
              <a:schemeClr val="accent1">
                <a:hueOff val="3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1">
                <a:hueOff val="600000"/>
                <a:alpha val="70000"/>
              </a:schemeClr>
            </a:solidFill>
            <a:ln>
              <a:noFill/>
            </a:ln>
            <a:effectLst/>
          </c:spPr>
          <c:invertIfNegative val="0"/>
          <c:dLbls>
            <c:delete val="1"/>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30"/>
        <c:overlap val="30"/>
        <c:axId val="408771113"/>
        <c:axId val="608427648"/>
      </c:barChart>
      <c:catAx>
        <c:axId val="408771113"/>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8427648"/>
        <c:crosses val="autoZero"/>
        <c:auto val="1"/>
        <c:lblAlgn val="ctr"/>
        <c:lblOffset val="100"/>
        <c:noMultiLvlLbl val="0"/>
      </c:catAx>
      <c:valAx>
        <c:axId val="60842764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08771113"/>
        <c:crosses val="autoZero"/>
        <c:crossBetween val="between"/>
      </c:valAx>
      <c:spPr>
        <a:noFill/>
        <a:ln>
          <a:noFill/>
        </a:ln>
        <a:effectLst/>
      </c:spPr>
    </c:plotArea>
    <c:plotVisOnly val="1"/>
    <c:dispBlanksAs val="gap"/>
    <c:showDLblsOverMax val="0"/>
    <c:extLst>
      <c:ext uri="{0b15fc19-7d7d-44ad-8c2d-2c3a37ce22c3}">
        <chartProps xmlns="https://web.wps.cn/et/2018/main" chartId="{0c8a9154-4e3e-43f7-be4c-711d069a8e0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列2</c:v>
                </c:pt>
              </c:strCache>
            </c:strRef>
          </c:tx>
          <c:spPr>
            <a:ln w="76200" cmpd="thickThin">
              <a:solidFill>
                <a:schemeClr val="bg1"/>
              </a:solidFill>
            </a:ln>
            <a:sp3d contourW="76200"/>
          </c:spPr>
          <c:explosion val="0"/>
          <c:dPt>
            <c:idx val="0"/>
            <c:bubble3D val="0"/>
            <c:spPr>
              <a:solidFill>
                <a:schemeClr val="accent1"/>
              </a:solidFill>
              <a:ln w="76200" cmpd="thickThin">
                <a:solidFill>
                  <a:schemeClr val="bg1"/>
                </a:solidFill>
              </a:ln>
              <a:effectLst/>
              <a:sp3d contourW="76200"/>
            </c:spPr>
          </c:dPt>
          <c:dPt>
            <c:idx val="1"/>
            <c:bubble3D val="0"/>
            <c:spPr>
              <a:solidFill>
                <a:schemeClr val="accent2"/>
              </a:solidFill>
              <a:ln w="76200" cmpd="thickThin">
                <a:solidFill>
                  <a:schemeClr val="bg1"/>
                </a:solidFill>
              </a:ln>
              <a:effectLst/>
              <a:sp3d contourW="76200"/>
            </c:spPr>
          </c:dPt>
          <c:dPt>
            <c:idx val="2"/>
            <c:bubble3D val="0"/>
            <c:spPr>
              <a:solidFill>
                <a:schemeClr val="accent3"/>
              </a:solidFill>
              <a:ln w="76200" cmpd="thickThin">
                <a:solidFill>
                  <a:schemeClr val="bg1"/>
                </a:solidFill>
              </a:ln>
              <a:effectLst/>
              <a:sp3d contourW="76200"/>
            </c:spPr>
          </c:dPt>
          <c:dPt>
            <c:idx val="3"/>
            <c:bubble3D val="0"/>
            <c:spPr>
              <a:solidFill>
                <a:schemeClr val="accent4"/>
              </a:solidFill>
              <a:ln w="76200" cmpd="thickThin">
                <a:solidFill>
                  <a:schemeClr val="bg1"/>
                </a:solidFill>
              </a:ln>
              <a:effectLst/>
              <a:sp3d contourW="76200"/>
            </c:spPr>
          </c:dPt>
          <c:dPt>
            <c:idx val="4"/>
            <c:bubble3D val="0"/>
            <c:spPr>
              <a:solidFill>
                <a:schemeClr val="accent5"/>
              </a:solidFill>
              <a:ln w="76200" cmpd="thickThin">
                <a:solidFill>
                  <a:schemeClr val="bg1"/>
                </a:solidFill>
              </a:ln>
              <a:effectLst/>
              <a:sp3d contourW="76200"/>
            </c:spPr>
          </c:dPt>
          <c:dPt>
            <c:idx val="5"/>
            <c:bubble3D val="0"/>
            <c:spPr>
              <a:solidFill>
                <a:schemeClr val="accent6"/>
              </a:solidFill>
              <a:ln w="76200" cmpd="thickThin">
                <a:solidFill>
                  <a:schemeClr val="bg1"/>
                </a:solidFill>
              </a:ln>
              <a:effectLst/>
              <a:sp3d contourW="762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教育支出</c:v>
                </c:pt>
                <c:pt idx="1">
                  <c:v>社会保障和就业支出</c:v>
                </c:pt>
                <c:pt idx="2">
                  <c:v>卫生健康支出</c:v>
                </c:pt>
                <c:pt idx="3">
                  <c:v>农林水支出</c:v>
                </c:pt>
                <c:pt idx="4">
                  <c:v>住房保障支出</c:v>
                </c:pt>
              </c:strCache>
            </c:strRef>
          </c:cat>
          <c:val>
            <c:numRef>
              <c:f>Sheet1!$B$2:$B$7</c:f>
              <c:numCache>
                <c:formatCode>General</c:formatCode>
                <c:ptCount val="6"/>
                <c:pt idx="0">
                  <c:v>675.65</c:v>
                </c:pt>
                <c:pt idx="1">
                  <c:v>66.84</c:v>
                </c:pt>
                <c:pt idx="2">
                  <c:v>15.56</c:v>
                </c:pt>
                <c:pt idx="3">
                  <c:v>80</c:v>
                </c:pt>
                <c:pt idx="4">
                  <c:v>35.22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9b92b3f-7fc7-4013-93d5-2e05ff663cda}"/>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列2</c:v>
                </c:pt>
              </c:strCache>
            </c:strRef>
          </c:tx>
          <c:spPr>
            <a:ln w="22225">
              <a:solidFill>
                <a:schemeClr val="bg1"/>
              </a:solidFill>
            </a:ln>
            <a:sp3d contourW="22225"/>
          </c:spPr>
          <c:explosion val="0"/>
          <c:dPt>
            <c:idx val="0"/>
            <c:bubble3D val="0"/>
            <c:spPr>
              <a:gradFill>
                <a:gsLst>
                  <a:gs pos="80000">
                    <a:schemeClr val="accent1"/>
                  </a:gs>
                  <a:gs pos="0">
                    <a:schemeClr val="accent1">
                      <a:hueOff val="-1670000"/>
                    </a:schemeClr>
                  </a:gs>
                </a:gsLst>
                <a:lin ang="5400000" scaled="0"/>
              </a:gradFill>
              <a:ln w="22225">
                <a:solidFill>
                  <a:schemeClr val="bg1"/>
                </a:solidFill>
              </a:ln>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c:f>
              <c:strCache>
                <c:ptCount val="1"/>
                <c:pt idx="0">
                  <c:v>公务接待费支出决算</c:v>
                </c:pt>
              </c:strCache>
            </c:strRef>
          </c:cat>
          <c:val>
            <c:numRef>
              <c:f>Sheet1!$B$2</c:f>
              <c:numCache>
                <c:formatCode>General</c:formatCode>
                <c:ptCount val="1"/>
                <c:pt idx="0">
                  <c:v>0.14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0875235-609c-4567-b003-78e2a6d31e5b}"/>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sz="90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6">
    <a:dk1>
      <a:srgbClr val="000000"/>
    </a:dk1>
    <a:lt1>
      <a:srgbClr val="FFFFFF"/>
    </a:lt1>
    <a:dk2>
      <a:srgbClr val="44546A"/>
    </a:dk2>
    <a:lt2>
      <a:srgbClr val="E7E6E6"/>
    </a:lt2>
    <a:accent1>
      <a:srgbClr val="1992FF"/>
    </a:accent1>
    <a:accent2>
      <a:srgbClr val="FDC003"/>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81828dae-6fdc-4d5f-9166-21eb61138a8c</errorID>
      <errorWord>...</errorWord>
      <group>L1_Punc</group>
      <groupName>标点问题</groupName>
      <ability>L2_Punc</ability>
      <abilityName>标点符号检查</abilityName>
      <candidateList>
        <item>……</item>
      </candidateList>
      <explain>省略号错误。</explain>
      <paraID>56577669</paraID>
      <start>22</start>
      <end>25</end>
      <status>ignored</status>
      <modifiedWord/>
      <trackRevisions>false</trackRevisions>
    </reviewItem>
    <reviewItem>
      <errorID>f1717443-3489-42bc-9f04-9aaab2cfcca4</errorID>
      <errorWord>....</errorWord>
      <group>L1_Punc</group>
      <groupName>标点问题</groupName>
      <ability>L2_Punc</ability>
      <abilityName>标点符号检查</abilityName>
      <candidateList>
        <item>……</item>
      </candidateList>
      <explain>省略号错误。</explain>
      <paraID>703D7BEC</paraID>
      <start>22</start>
      <end>26</end>
      <status>ignored</status>
      <modifiedWord/>
      <trackRevisions>false</trackRevisions>
    </reviewItem>
    <reviewItem>
      <errorID>8e704832-8403-4f2f-97a6-23b8f4db2a91</errorID>
      <errorWord>、</errorWord>
      <group>L1_Word</group>
      <groupName>字词问题</groupName>
      <ability>L2_Typo</ability>
      <abilityName>字词错误</abilityName>
      <candidateList>
        <item>、以</item>
      </candidateList>
      <explain/>
      <paraID>4198B876</paraID>
      <start>39</start>
      <end>41</end>
      <status>modified</status>
      <modifiedWord>、以</modifiedWord>
      <trackRevisions>false</trackRevisions>
    </reviewItem>
    <reviewItem>
      <errorID>6744daa6-b171-4871-864a-929438a795c3</errorID>
      <errorWord>、</errorWord>
      <group>L1_Word</group>
      <groupName>字词问题</groupName>
      <ability>L2_Typo</ability>
      <abilityName>字词错误</abilityName>
      <candidateList>
        <item>、以</item>
      </candidateList>
      <explain/>
      <paraID>4198B876</paraID>
      <start>53</start>
      <end>55</end>
      <status>modified</status>
      <modifiedWord>、以</modifiedWord>
      <trackRevisions>false</trackRevisions>
    </reviewItem>
    <reviewItem>
      <errorID>516a7730-07de-4f62-8bb2-2cc3c65af321</errorID>
      <errorWord>、</errorWord>
      <group>L1_Word</group>
      <groupName>字词问题</groupName>
      <ability>L2_Typo</ability>
      <abilityName>字词错误</abilityName>
      <candidateList>
        <item>、以</item>
      </candidateList>
      <explain/>
      <paraID>4198B876</paraID>
      <start>60</start>
      <end>62</end>
      <status>modified</status>
      <modifiedWord>、以</modifiedWord>
      <trackRevisions>false</trackRevisions>
    </reviewItem>
    <reviewItem>
      <errorID>244e2662-3897-4348-b47f-0da12fbe19e0</errorID>
      <errorWord>支出决算结构图支出决算结构图</errorWord>
      <group>L1_Word</group>
      <groupName>字词问题</groupName>
      <ability>L2_Typo</ability>
      <abilityName>字词错误</abilityName>
      <candidateList>
        <item>支出决算结构图</item>
      </candidateList>
      <explain/>
      <paraID>77FC74DF</paraID>
      <start>0</start>
      <end>7</end>
      <status>modified</status>
      <modifiedWord>支出决算结构图</modifiedWord>
      <trackRevisions>false</trackRevisions>
    </reviewItem>
    <reviewItem>
      <errorID>789d9844-d62e-4431-90f2-b2ea23210360</errorID>
      <errorWord>巩固脱贫攻坚成果</errorWord>
      <group>L1_Word</group>
      <groupName>字词问题</groupName>
      <ability>L2_Typo</ability>
      <abilityName>字词错误</abilityName>
      <candidateList>
        <item>巩固拓展脱贫攻坚成果</item>
      </candidateList>
      <explain/>
      <paraID>3B43957C</paraID>
      <start>11</start>
      <end>19</end>
      <status>ignored</status>
      <modifiedWord/>
      <trackRevisions>false</trackRevisions>
    </reviewItem>
    <reviewItem>
      <errorID>43a1ecb1-6e6d-42a0-8b97-938bd6e07ed8</errorID>
      <errorWord>巩固脱贫攻坚成果</errorWord>
      <group>L1_Word</group>
      <groupName>字词问题</groupName>
      <ability>L2_Typo</ability>
      <abilityName>字词错误</abilityName>
      <candidateList>
        <item>巩固拓展脱贫攻坚成果</item>
      </candidateList>
      <explain/>
      <paraID>3B43957C</paraID>
      <start>30</start>
      <end>38</end>
      <status>ignored</status>
      <modifiedWord/>
      <trackRevisions>false</trackRevisions>
    </reviewItem>
    <reviewItem>
      <errorID>3cc3919b-bdcb-4ad7-84b2-d2de4d32435c</errorID>
      <errorWord>巩固脱贫攻坚成果</errorWord>
      <group>L1_Word</group>
      <groupName>字词问题</groupName>
      <ability>L2_Typo</ability>
      <abilityName>字词错误</abilityName>
      <candidateList>
        <item>巩固拓展脱贫攻坚成果</item>
      </candidateList>
      <explain/>
      <paraID>78ECEB31</paraID>
      <start>11</start>
      <end>19</end>
      <status>ignored</status>
      <modifiedWord/>
      <trackRevisions>false</trackRevisions>
    </reviewItem>
    <reviewItem>
      <errorID>487a43d4-1f32-4326-a459-e9384f87741f</errorID>
      <errorWord>巩固脱贫攻坚成果</errorWord>
      <group>L1_Word</group>
      <groupName>字词问题</groupName>
      <ability>L2_Typo</ability>
      <abilityName>字词错误</abilityName>
      <candidateList>
        <item>巩固拓展脱贫攻坚成果</item>
      </candidateList>
      <explain/>
      <paraID>78ECEB31</paraID>
      <start>30</start>
      <end>38</end>
      <status>ignored</status>
      <modifiedWord/>
      <trackRevisions>false</trackRevisions>
    </reviewItem>
    <reviewItem>
      <errorID>02b5e145-4775-49e0-9eb9-9386985b4fa5</errorID>
      <errorWord>巩固脱贫攻坚成果</errorWord>
      <group>L1_Word</group>
      <groupName>字词问题</groupName>
      <ability>L2_Typo</ability>
      <abilityName>字词错误</abilityName>
      <candidateList>
        <item>巩固拓展脱贫攻坚成果</item>
      </candidateList>
      <explain/>
      <paraID>78ECEB31</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928f2-f523-4ffb-9095-a5fe5d4f901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5404</Words>
  <Characters>6961</Characters>
  <Lines>14</Lines>
  <Paragraphs>14</Paragraphs>
  <TotalTime>11</TotalTime>
  <ScaleCrop>false</ScaleCrop>
  <LinksUpToDate>false</LinksUpToDate>
  <CharactersWithSpaces>6990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2025-12-03T09:07:48Z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F5D9958155BC43A8A944E853BD04258E_13</vt:lpwstr>
  </property>
  <property fmtid="{D5CDD505-2E9C-101B-9397-08002B2CF9AE}" pid="4" name="KSOTemplateDocerSaveRecord">
    <vt:lpwstr>eyJoZGlkIjoiNzI2ZGI0OGUzMDAzMzk0YmE1OTYyMDVlZGMwMmYyODYiLCJ1c2VySWQiOiIxMTM5NjM2MTk5In0=</vt:lpwstr>
  </property>
</Properties>
</file>