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1BD0B">
      <w:pPr>
        <w:spacing w:line="600" w:lineRule="exact"/>
        <w:jc w:val="left"/>
        <w:outlineLvl w:val="9"/>
        <w:rPr>
          <w:rFonts w:ascii="方正小标宋简体" w:hAnsi="宋体" w:eastAsia="方正小标宋简体"/>
          <w:szCs w:val="21"/>
        </w:rPr>
      </w:pPr>
      <w:bookmarkStart w:id="0" w:name="_Toc15306267"/>
    </w:p>
    <w:p w14:paraId="0AC9ACE2">
      <w:pPr>
        <w:pStyle w:val="2"/>
        <w:spacing w:before="93"/>
      </w:pPr>
    </w:p>
    <w:p w14:paraId="084C35BB">
      <w:pPr>
        <w:spacing w:line="600" w:lineRule="exact"/>
        <w:jc w:val="center"/>
        <w:outlineLvl w:val="9"/>
        <w:rPr>
          <w:rFonts w:ascii="方正小标宋简体" w:hAnsi="宋体" w:eastAsia="方正小标宋简体"/>
          <w:sz w:val="72"/>
          <w:szCs w:val="72"/>
        </w:rPr>
      </w:pPr>
    </w:p>
    <w:p w14:paraId="7587F474">
      <w:pPr>
        <w:spacing w:line="600" w:lineRule="exact"/>
        <w:jc w:val="center"/>
        <w:outlineLvl w:val="9"/>
        <w:rPr>
          <w:rFonts w:ascii="方正小标宋简体" w:hAnsi="宋体" w:eastAsia="方正小标宋简体"/>
          <w:sz w:val="72"/>
          <w:szCs w:val="72"/>
        </w:rPr>
      </w:pPr>
    </w:p>
    <w:p w14:paraId="07355FE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5396597"/>
      <w:bookmarkStart w:id="4" w:name="_Toc15377425"/>
      <w:bookmarkStart w:id="5" w:name="_Toc15378441"/>
      <w:bookmarkStart w:id="6" w:name="_Toc28459"/>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4B57197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3207"/>
      <w:bookmarkStart w:id="8" w:name="_Toc15377194"/>
      <w:bookmarkStart w:id="9" w:name="_Toc15378442"/>
      <w:bookmarkStart w:id="10" w:name="_Toc15396476"/>
      <w:bookmarkStart w:id="11" w:name="_Toc15377426"/>
      <w:bookmarkStart w:id="12" w:name="_Toc15396598"/>
      <w:bookmarkStart w:id="13" w:name="_Toc15306268"/>
      <w:r>
        <w:rPr>
          <w:rFonts w:hint="eastAsia" w:ascii="方正小标宋简体" w:hAnsi="方正小标宋简体" w:eastAsia="方正小标宋简体" w:cs="方正小标宋简体"/>
          <w:sz w:val="72"/>
          <w:szCs w:val="72"/>
        </w:rPr>
        <w:t>峨边彝族自治县宜坪乡卫生院单位决算</w:t>
      </w:r>
      <w:bookmarkEnd w:id="7"/>
      <w:bookmarkEnd w:id="8"/>
      <w:bookmarkEnd w:id="9"/>
      <w:bookmarkEnd w:id="10"/>
      <w:bookmarkEnd w:id="11"/>
      <w:bookmarkEnd w:id="12"/>
      <w:bookmarkEnd w:id="13"/>
    </w:p>
    <w:p w14:paraId="7D225CCF">
      <w:pPr>
        <w:adjustRightInd w:val="0"/>
        <w:snapToGrid w:val="0"/>
        <w:spacing w:line="360" w:lineRule="auto"/>
        <w:jc w:val="center"/>
        <w:outlineLvl w:val="9"/>
        <w:rPr>
          <w:rFonts w:ascii="方正小标宋简体" w:hAnsi="宋体" w:eastAsia="方正小标宋简体"/>
          <w:sz w:val="52"/>
          <w:szCs w:val="52"/>
        </w:rPr>
      </w:pPr>
    </w:p>
    <w:p w14:paraId="4C99C26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5F6DC3C">
      <w:pPr>
        <w:widowControl/>
        <w:jc w:val="center"/>
        <w:rPr>
          <w:rFonts w:ascii="黑体" w:hAnsi="黑体" w:eastAsia="黑体" w:cstheme="minorBidi"/>
          <w:sz w:val="28"/>
          <w:szCs w:val="28"/>
        </w:rPr>
      </w:pPr>
    </w:p>
    <w:p w14:paraId="38D68814">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56A533E5"/>
    <w:sdt>
      <w:sdtPr>
        <w:rPr>
          <w:rFonts w:ascii="宋体" w:hAnsi="宋体" w:eastAsia="宋体" w:cs="Times New Roman"/>
          <w:kern w:val="2"/>
          <w:sz w:val="21"/>
          <w:szCs w:val="24"/>
          <w:lang w:val="en-US" w:eastAsia="zh-CN" w:bidi="ar-SA"/>
        </w:rPr>
        <w:id w:val="14747100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40A0EE6F">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5325E632">
          <w:pPr>
            <w:pStyle w:val="33"/>
            <w:tabs>
              <w:tab w:val="right" w:leader="dot" w:pos="8306"/>
            </w:tabs>
            <w:rPr>
              <w:b/>
            </w:rPr>
          </w:pPr>
          <w:r>
            <w:rPr>
              <w:b/>
            </w:rPr>
            <w:fldChar w:fldCharType="begin"/>
          </w:r>
          <w:r>
            <w:rPr>
              <w:b/>
            </w:rPr>
            <w:instrText xml:space="preserve"> HYPERLINK \l _Toc22900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_Toc22900 \h </w:instrText>
          </w:r>
          <w:r>
            <w:rPr>
              <w:b/>
            </w:rPr>
            <w:fldChar w:fldCharType="separate"/>
          </w:r>
          <w:r>
            <w:rPr>
              <w:b/>
            </w:rPr>
            <w:t>3</w:t>
          </w:r>
          <w:r>
            <w:rPr>
              <w:b/>
            </w:rPr>
            <w:fldChar w:fldCharType="end"/>
          </w:r>
          <w:r>
            <w:rPr>
              <w:b/>
            </w:rPr>
            <w:fldChar w:fldCharType="end"/>
          </w:r>
        </w:p>
        <w:p w14:paraId="1D62C4C2">
          <w:pPr>
            <w:pStyle w:val="34"/>
            <w:tabs>
              <w:tab w:val="right" w:leader="dot" w:pos="8306"/>
            </w:tabs>
          </w:pPr>
          <w:r>
            <w:fldChar w:fldCharType="begin"/>
          </w:r>
          <w:r>
            <w:instrText xml:space="preserve"> HYPERLINK \l _Toc13660 </w:instrText>
          </w:r>
          <w:r>
            <w:fldChar w:fldCharType="separate"/>
          </w:r>
          <w:r>
            <w:rPr>
              <w:rFonts w:hint="eastAsia" w:ascii="黑体" w:hAnsi="黑体" w:eastAsia="黑体"/>
              <w:bCs w:val="0"/>
            </w:rPr>
            <w:t>一、 主要职责</w:t>
          </w:r>
          <w:r>
            <w:tab/>
          </w:r>
          <w:r>
            <w:fldChar w:fldCharType="begin"/>
          </w:r>
          <w:r>
            <w:instrText xml:space="preserve"> PAGEREF _Toc13660 \h </w:instrText>
          </w:r>
          <w:r>
            <w:fldChar w:fldCharType="separate"/>
          </w:r>
          <w:r>
            <w:t>3</w:t>
          </w:r>
          <w:r>
            <w:fldChar w:fldCharType="end"/>
          </w:r>
          <w:r>
            <w:fldChar w:fldCharType="end"/>
          </w:r>
        </w:p>
        <w:p w14:paraId="3DCE85DF">
          <w:pPr>
            <w:pStyle w:val="34"/>
            <w:tabs>
              <w:tab w:val="right" w:leader="dot" w:pos="8306"/>
            </w:tabs>
          </w:pPr>
          <w:r>
            <w:fldChar w:fldCharType="begin"/>
          </w:r>
          <w:r>
            <w:instrText xml:space="preserve"> HYPERLINK \l _Toc1161 </w:instrText>
          </w:r>
          <w:r>
            <w:fldChar w:fldCharType="separate"/>
          </w:r>
          <w:r>
            <w:rPr>
              <w:rFonts w:hint="eastAsia" w:ascii="黑体" w:hAnsi="黑体" w:eastAsia="黑体"/>
            </w:rPr>
            <w:t>二、机构设置</w:t>
          </w:r>
          <w:r>
            <w:tab/>
          </w:r>
          <w:r>
            <w:fldChar w:fldCharType="begin"/>
          </w:r>
          <w:r>
            <w:instrText xml:space="preserve"> PAGEREF _Toc1161 \h </w:instrText>
          </w:r>
          <w:r>
            <w:fldChar w:fldCharType="separate"/>
          </w:r>
          <w:r>
            <w:t>3</w:t>
          </w:r>
          <w:r>
            <w:fldChar w:fldCharType="end"/>
          </w:r>
          <w:r>
            <w:fldChar w:fldCharType="end"/>
          </w:r>
        </w:p>
        <w:p w14:paraId="29F06567">
          <w:pPr>
            <w:pStyle w:val="33"/>
            <w:tabs>
              <w:tab w:val="right" w:leader="dot" w:pos="8306"/>
            </w:tabs>
            <w:rPr>
              <w:b/>
            </w:rPr>
          </w:pPr>
          <w:r>
            <w:rPr>
              <w:b/>
            </w:rPr>
            <w:fldChar w:fldCharType="begin"/>
          </w:r>
          <w:r>
            <w:rPr>
              <w:b/>
            </w:rPr>
            <w:instrText xml:space="preserve"> HYPERLINK \l _Toc11649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_Toc11649 \h </w:instrText>
          </w:r>
          <w:r>
            <w:rPr>
              <w:b/>
            </w:rPr>
            <w:fldChar w:fldCharType="separate"/>
          </w:r>
          <w:r>
            <w:rPr>
              <w:b/>
            </w:rPr>
            <w:t>4</w:t>
          </w:r>
          <w:r>
            <w:rPr>
              <w:b/>
            </w:rPr>
            <w:fldChar w:fldCharType="end"/>
          </w:r>
          <w:r>
            <w:rPr>
              <w:b/>
            </w:rPr>
            <w:fldChar w:fldCharType="end"/>
          </w:r>
        </w:p>
        <w:p w14:paraId="3846990F">
          <w:pPr>
            <w:pStyle w:val="34"/>
            <w:tabs>
              <w:tab w:val="right" w:leader="dot" w:pos="8306"/>
            </w:tabs>
          </w:pPr>
          <w:r>
            <w:fldChar w:fldCharType="begin"/>
          </w:r>
          <w:r>
            <w:instrText xml:space="preserve"> HYPERLINK \l _Toc29070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_Toc29070 \h </w:instrText>
          </w:r>
          <w:r>
            <w:fldChar w:fldCharType="separate"/>
          </w:r>
          <w:r>
            <w:t>4</w:t>
          </w:r>
          <w:r>
            <w:fldChar w:fldCharType="end"/>
          </w:r>
          <w:r>
            <w:fldChar w:fldCharType="end"/>
          </w:r>
        </w:p>
        <w:p w14:paraId="78BA9902">
          <w:pPr>
            <w:pStyle w:val="34"/>
            <w:tabs>
              <w:tab w:val="right" w:leader="dot" w:pos="8306"/>
            </w:tabs>
          </w:pPr>
          <w:r>
            <w:fldChar w:fldCharType="begin"/>
          </w:r>
          <w:r>
            <w:instrText xml:space="preserve"> HYPERLINK \l _Toc8501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_Toc8501 \h </w:instrText>
          </w:r>
          <w:r>
            <w:fldChar w:fldCharType="separate"/>
          </w:r>
          <w:r>
            <w:t>4</w:t>
          </w:r>
          <w:r>
            <w:fldChar w:fldCharType="end"/>
          </w:r>
          <w:r>
            <w:fldChar w:fldCharType="end"/>
          </w:r>
        </w:p>
        <w:p w14:paraId="4140A709">
          <w:pPr>
            <w:pStyle w:val="34"/>
            <w:tabs>
              <w:tab w:val="right" w:leader="dot" w:pos="8306"/>
            </w:tabs>
          </w:pPr>
          <w:r>
            <w:fldChar w:fldCharType="begin"/>
          </w:r>
          <w:r>
            <w:instrText xml:space="preserve"> HYPERLINK \l _Toc4252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_Toc4252 \h </w:instrText>
          </w:r>
          <w:r>
            <w:fldChar w:fldCharType="separate"/>
          </w:r>
          <w:r>
            <w:t>5</w:t>
          </w:r>
          <w:r>
            <w:fldChar w:fldCharType="end"/>
          </w:r>
          <w:r>
            <w:fldChar w:fldCharType="end"/>
          </w:r>
        </w:p>
        <w:p w14:paraId="43707771">
          <w:pPr>
            <w:pStyle w:val="34"/>
            <w:tabs>
              <w:tab w:val="right" w:leader="dot" w:pos="8306"/>
            </w:tabs>
          </w:pPr>
          <w:r>
            <w:fldChar w:fldCharType="begin"/>
          </w:r>
          <w:r>
            <w:instrText xml:space="preserve"> HYPERLINK \l _Toc7832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_Toc7832 \h </w:instrText>
          </w:r>
          <w:r>
            <w:fldChar w:fldCharType="separate"/>
          </w:r>
          <w:r>
            <w:t>6</w:t>
          </w:r>
          <w:r>
            <w:fldChar w:fldCharType="end"/>
          </w:r>
          <w:r>
            <w:fldChar w:fldCharType="end"/>
          </w:r>
        </w:p>
        <w:p w14:paraId="6A3BDC54">
          <w:pPr>
            <w:pStyle w:val="34"/>
            <w:tabs>
              <w:tab w:val="right" w:leader="dot" w:pos="8306"/>
            </w:tabs>
          </w:pPr>
          <w:r>
            <w:fldChar w:fldCharType="begin"/>
          </w:r>
          <w:r>
            <w:instrText xml:space="preserve"> HYPERLINK \l _Toc28878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_Toc28878 \h </w:instrText>
          </w:r>
          <w:r>
            <w:fldChar w:fldCharType="separate"/>
          </w:r>
          <w:r>
            <w:t>6</w:t>
          </w:r>
          <w:r>
            <w:fldChar w:fldCharType="end"/>
          </w:r>
          <w:r>
            <w:fldChar w:fldCharType="end"/>
          </w:r>
        </w:p>
        <w:p w14:paraId="2326288F">
          <w:pPr>
            <w:pStyle w:val="34"/>
            <w:tabs>
              <w:tab w:val="right" w:leader="dot" w:pos="8306"/>
            </w:tabs>
          </w:pPr>
          <w:r>
            <w:fldChar w:fldCharType="begin"/>
          </w:r>
          <w:r>
            <w:instrText xml:space="preserve"> HYPERLINK \l _Toc6352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_Toc6352 \h </w:instrText>
          </w:r>
          <w:r>
            <w:fldChar w:fldCharType="separate"/>
          </w:r>
          <w:r>
            <w:t>9</w:t>
          </w:r>
          <w:r>
            <w:fldChar w:fldCharType="end"/>
          </w:r>
          <w:r>
            <w:fldChar w:fldCharType="end"/>
          </w:r>
        </w:p>
        <w:p w14:paraId="298D975F">
          <w:pPr>
            <w:pStyle w:val="34"/>
            <w:tabs>
              <w:tab w:val="right" w:leader="dot" w:pos="8306"/>
            </w:tabs>
          </w:pPr>
          <w:r>
            <w:fldChar w:fldCharType="begin"/>
          </w:r>
          <w:r>
            <w:instrText xml:space="preserve"> HYPERLINK \l _Toc22509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_Toc22509 \h </w:instrText>
          </w:r>
          <w:r>
            <w:fldChar w:fldCharType="separate"/>
          </w:r>
          <w:r>
            <w:t>9</w:t>
          </w:r>
          <w:r>
            <w:fldChar w:fldCharType="end"/>
          </w:r>
          <w:r>
            <w:fldChar w:fldCharType="end"/>
          </w:r>
        </w:p>
        <w:p w14:paraId="28D77539">
          <w:pPr>
            <w:pStyle w:val="34"/>
            <w:tabs>
              <w:tab w:val="right" w:leader="dot" w:pos="8306"/>
            </w:tabs>
          </w:pPr>
          <w:r>
            <w:fldChar w:fldCharType="begin"/>
          </w:r>
          <w:r>
            <w:instrText xml:space="preserve"> HYPERLINK \l _Toc10156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_Toc10156 \h </w:instrText>
          </w:r>
          <w:r>
            <w:fldChar w:fldCharType="separate"/>
          </w:r>
          <w:r>
            <w:t>11</w:t>
          </w:r>
          <w:r>
            <w:fldChar w:fldCharType="end"/>
          </w:r>
          <w:r>
            <w:fldChar w:fldCharType="end"/>
          </w:r>
        </w:p>
        <w:p w14:paraId="57040542">
          <w:pPr>
            <w:pStyle w:val="34"/>
            <w:tabs>
              <w:tab w:val="right" w:leader="dot" w:pos="8306"/>
            </w:tabs>
          </w:pPr>
          <w:r>
            <w:fldChar w:fldCharType="begin"/>
          </w:r>
          <w:r>
            <w:instrText xml:space="preserve"> HYPERLINK \l _Toc7519 </w:instrText>
          </w:r>
          <w:r>
            <w:fldChar w:fldCharType="separate"/>
          </w:r>
          <w:r>
            <w:rPr>
              <w:rFonts w:hint="eastAsia" w:ascii="黑体" w:hAnsi="黑体" w:eastAsia="黑体"/>
            </w:rPr>
            <w:t>九、 国有资本经营预算支出决算情况说明</w:t>
          </w:r>
          <w:r>
            <w:tab/>
          </w:r>
          <w:r>
            <w:fldChar w:fldCharType="begin"/>
          </w:r>
          <w:r>
            <w:instrText xml:space="preserve"> PAGEREF _Toc7519 \h </w:instrText>
          </w:r>
          <w:r>
            <w:fldChar w:fldCharType="separate"/>
          </w:r>
          <w:r>
            <w:t>11</w:t>
          </w:r>
          <w:r>
            <w:fldChar w:fldCharType="end"/>
          </w:r>
          <w:r>
            <w:fldChar w:fldCharType="end"/>
          </w:r>
        </w:p>
        <w:p w14:paraId="2365D791">
          <w:pPr>
            <w:pStyle w:val="34"/>
            <w:tabs>
              <w:tab w:val="right" w:leader="dot" w:pos="8306"/>
            </w:tabs>
          </w:pPr>
          <w:r>
            <w:fldChar w:fldCharType="begin"/>
          </w:r>
          <w:r>
            <w:instrText xml:space="preserve"> HYPERLINK \l _Toc10468 </w:instrText>
          </w:r>
          <w:r>
            <w:fldChar w:fldCharType="separate"/>
          </w:r>
          <w:r>
            <w:rPr>
              <w:rFonts w:hint="eastAsia" w:ascii="黑体" w:hAnsi="黑体" w:eastAsia="黑体"/>
            </w:rPr>
            <w:t>十、 其他重要事项的情况说明</w:t>
          </w:r>
          <w:r>
            <w:tab/>
          </w:r>
          <w:r>
            <w:fldChar w:fldCharType="begin"/>
          </w:r>
          <w:r>
            <w:instrText xml:space="preserve"> PAGEREF _Toc10468 \h </w:instrText>
          </w:r>
          <w:r>
            <w:fldChar w:fldCharType="separate"/>
          </w:r>
          <w:r>
            <w:t>11</w:t>
          </w:r>
          <w:r>
            <w:fldChar w:fldCharType="end"/>
          </w:r>
          <w:r>
            <w:fldChar w:fldCharType="end"/>
          </w:r>
        </w:p>
        <w:p w14:paraId="465EBA25">
          <w:pPr>
            <w:pStyle w:val="33"/>
            <w:tabs>
              <w:tab w:val="right" w:leader="dot" w:pos="8306"/>
            </w:tabs>
          </w:pPr>
          <w:r>
            <w:rPr>
              <w:b/>
            </w:rPr>
            <w:fldChar w:fldCharType="begin"/>
          </w:r>
          <w:r>
            <w:rPr>
              <w:b/>
            </w:rPr>
            <w:instrText xml:space="preserve"> HYPERLINK \l _Toc11813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_Toc11813 \h </w:instrText>
          </w:r>
          <w:r>
            <w:rPr>
              <w:b/>
            </w:rPr>
            <w:fldChar w:fldCharType="separate"/>
          </w:r>
          <w:r>
            <w:rPr>
              <w:b/>
            </w:rPr>
            <w:t>13</w:t>
          </w:r>
          <w:r>
            <w:rPr>
              <w:b/>
            </w:rPr>
            <w:fldChar w:fldCharType="end"/>
          </w:r>
          <w:r>
            <w:rPr>
              <w:b/>
            </w:rPr>
            <w:fldChar w:fldCharType="end"/>
          </w:r>
        </w:p>
        <w:p w14:paraId="2D840C9B">
          <w:pPr>
            <w:pStyle w:val="33"/>
            <w:tabs>
              <w:tab w:val="right" w:leader="dot" w:pos="8306"/>
            </w:tabs>
          </w:pPr>
          <w:r>
            <w:rPr>
              <w:b/>
            </w:rPr>
            <w:fldChar w:fldCharType="begin"/>
          </w:r>
          <w:r>
            <w:rPr>
              <w:b/>
            </w:rPr>
            <w:instrText xml:space="preserve"> HYPERLINK \l _Toc11113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_Toc11113 \h </w:instrText>
          </w:r>
          <w:r>
            <w:rPr>
              <w:b/>
            </w:rPr>
            <w:fldChar w:fldCharType="separate"/>
          </w:r>
          <w:r>
            <w:rPr>
              <w:b/>
            </w:rPr>
            <w:t>16</w:t>
          </w:r>
          <w:r>
            <w:rPr>
              <w:b/>
            </w:rPr>
            <w:fldChar w:fldCharType="end"/>
          </w:r>
          <w:r>
            <w:rPr>
              <w:b/>
            </w:rPr>
            <w:fldChar w:fldCharType="end"/>
          </w:r>
        </w:p>
        <w:p w14:paraId="4A7B7757">
          <w:pPr>
            <w:pStyle w:val="33"/>
            <w:tabs>
              <w:tab w:val="right" w:leader="dot" w:pos="8306"/>
            </w:tabs>
            <w:rPr>
              <w:b/>
            </w:rPr>
          </w:pPr>
          <w:r>
            <w:rPr>
              <w:b/>
            </w:rPr>
            <w:fldChar w:fldCharType="begin"/>
          </w:r>
          <w:r>
            <w:rPr>
              <w:b/>
            </w:rPr>
            <w:instrText xml:space="preserve"> HYPERLINK \l _Toc14321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_Toc14321 \h </w:instrText>
          </w:r>
          <w:r>
            <w:rPr>
              <w:b/>
            </w:rPr>
            <w:fldChar w:fldCharType="separate"/>
          </w:r>
          <w:r>
            <w:rPr>
              <w:b/>
            </w:rPr>
            <w:t>17</w:t>
          </w:r>
          <w:r>
            <w:rPr>
              <w:b/>
            </w:rPr>
            <w:fldChar w:fldCharType="end"/>
          </w:r>
          <w:r>
            <w:rPr>
              <w:b/>
            </w:rPr>
            <w:fldChar w:fldCharType="end"/>
          </w:r>
        </w:p>
        <w:p w14:paraId="15EA21EA">
          <w:pPr>
            <w:pStyle w:val="34"/>
            <w:tabs>
              <w:tab w:val="right" w:leader="dot" w:pos="8306"/>
            </w:tabs>
          </w:pPr>
          <w:r>
            <w:fldChar w:fldCharType="begin"/>
          </w:r>
          <w:r>
            <w:instrText xml:space="preserve"> HYPERLINK \l _Toc16299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_Toc16299 \h </w:instrText>
          </w:r>
          <w:r>
            <w:fldChar w:fldCharType="separate"/>
          </w:r>
          <w:r>
            <w:t>17</w:t>
          </w:r>
          <w:r>
            <w:fldChar w:fldCharType="end"/>
          </w:r>
          <w:r>
            <w:fldChar w:fldCharType="end"/>
          </w:r>
        </w:p>
        <w:p w14:paraId="0CEF27AA">
          <w:pPr>
            <w:pStyle w:val="34"/>
            <w:tabs>
              <w:tab w:val="right" w:leader="dot" w:pos="8306"/>
            </w:tabs>
          </w:pPr>
          <w:r>
            <w:fldChar w:fldCharType="begin"/>
          </w:r>
          <w:r>
            <w:instrText xml:space="preserve"> HYPERLINK \l _Toc26554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_Toc26554 \h </w:instrText>
          </w:r>
          <w:r>
            <w:fldChar w:fldCharType="separate"/>
          </w:r>
          <w:r>
            <w:t>17</w:t>
          </w:r>
          <w:r>
            <w:fldChar w:fldCharType="end"/>
          </w:r>
          <w:r>
            <w:fldChar w:fldCharType="end"/>
          </w:r>
        </w:p>
        <w:p w14:paraId="15421B3A">
          <w:pPr>
            <w:pStyle w:val="34"/>
            <w:tabs>
              <w:tab w:val="right" w:leader="dot" w:pos="8306"/>
            </w:tabs>
          </w:pPr>
          <w:r>
            <w:fldChar w:fldCharType="begin"/>
          </w:r>
          <w:r>
            <w:instrText xml:space="preserve"> HYPERLINK \l _Toc25412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_Toc25412 \h </w:instrText>
          </w:r>
          <w:r>
            <w:fldChar w:fldCharType="separate"/>
          </w:r>
          <w:r>
            <w:t>17</w:t>
          </w:r>
          <w:r>
            <w:fldChar w:fldCharType="end"/>
          </w:r>
          <w:r>
            <w:fldChar w:fldCharType="end"/>
          </w:r>
        </w:p>
        <w:p w14:paraId="119217D1">
          <w:pPr>
            <w:pStyle w:val="34"/>
            <w:tabs>
              <w:tab w:val="right" w:leader="dot" w:pos="8306"/>
            </w:tabs>
          </w:pPr>
          <w:r>
            <w:fldChar w:fldCharType="begin"/>
          </w:r>
          <w:r>
            <w:instrText xml:space="preserve"> HYPERLINK \l _Toc16690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_Toc16690 \h </w:instrText>
          </w:r>
          <w:r>
            <w:fldChar w:fldCharType="separate"/>
          </w:r>
          <w:r>
            <w:t>17</w:t>
          </w:r>
          <w:r>
            <w:fldChar w:fldCharType="end"/>
          </w:r>
          <w:r>
            <w:fldChar w:fldCharType="end"/>
          </w:r>
        </w:p>
        <w:p w14:paraId="3FAEC2C7">
          <w:pPr>
            <w:pStyle w:val="34"/>
            <w:tabs>
              <w:tab w:val="right" w:leader="dot" w:pos="8306"/>
            </w:tabs>
          </w:pPr>
          <w:r>
            <w:fldChar w:fldCharType="begin"/>
          </w:r>
          <w:r>
            <w:instrText xml:space="preserve"> HYPERLINK \l _Toc29367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_Toc29367 \h </w:instrText>
          </w:r>
          <w:r>
            <w:fldChar w:fldCharType="separate"/>
          </w:r>
          <w:r>
            <w:t>17</w:t>
          </w:r>
          <w:r>
            <w:fldChar w:fldCharType="end"/>
          </w:r>
          <w:r>
            <w:fldChar w:fldCharType="end"/>
          </w:r>
        </w:p>
        <w:p w14:paraId="6F021FC2">
          <w:pPr>
            <w:pStyle w:val="34"/>
            <w:tabs>
              <w:tab w:val="right" w:leader="dot" w:pos="8306"/>
            </w:tabs>
          </w:pPr>
          <w:r>
            <w:fldChar w:fldCharType="begin"/>
          </w:r>
          <w:r>
            <w:instrText xml:space="preserve"> HYPERLINK \l _Toc1383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_Toc1383 \h </w:instrText>
          </w:r>
          <w:r>
            <w:fldChar w:fldCharType="separate"/>
          </w:r>
          <w:r>
            <w:t>17</w:t>
          </w:r>
          <w:r>
            <w:fldChar w:fldCharType="end"/>
          </w:r>
          <w:r>
            <w:fldChar w:fldCharType="end"/>
          </w:r>
        </w:p>
        <w:p w14:paraId="5FE85C6E">
          <w:pPr>
            <w:pStyle w:val="34"/>
            <w:tabs>
              <w:tab w:val="right" w:leader="dot" w:pos="8306"/>
            </w:tabs>
          </w:pPr>
          <w:r>
            <w:fldChar w:fldCharType="begin"/>
          </w:r>
          <w:r>
            <w:instrText xml:space="preserve"> HYPERLINK \l _Toc31755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_Toc31755 \h </w:instrText>
          </w:r>
          <w:r>
            <w:fldChar w:fldCharType="separate"/>
          </w:r>
          <w:r>
            <w:t>17</w:t>
          </w:r>
          <w:r>
            <w:fldChar w:fldCharType="end"/>
          </w:r>
          <w:r>
            <w:fldChar w:fldCharType="end"/>
          </w:r>
        </w:p>
        <w:p w14:paraId="7FE6F070">
          <w:pPr>
            <w:pStyle w:val="34"/>
            <w:tabs>
              <w:tab w:val="right" w:leader="dot" w:pos="8306"/>
            </w:tabs>
          </w:pPr>
          <w:r>
            <w:fldChar w:fldCharType="begin"/>
          </w:r>
          <w:r>
            <w:instrText xml:space="preserve"> HYPERLINK \l _Toc24241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_Toc24241 \h </w:instrText>
          </w:r>
          <w:r>
            <w:fldChar w:fldCharType="separate"/>
          </w:r>
          <w:r>
            <w:t>17</w:t>
          </w:r>
          <w:r>
            <w:fldChar w:fldCharType="end"/>
          </w:r>
          <w:r>
            <w:fldChar w:fldCharType="end"/>
          </w:r>
        </w:p>
        <w:p w14:paraId="07799AFD">
          <w:pPr>
            <w:pStyle w:val="34"/>
            <w:tabs>
              <w:tab w:val="right" w:leader="dot" w:pos="8306"/>
            </w:tabs>
          </w:pPr>
          <w:r>
            <w:fldChar w:fldCharType="begin"/>
          </w:r>
          <w:r>
            <w:instrText xml:space="preserve"> HYPERLINK \l _Toc11003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_Toc11003 \h </w:instrText>
          </w:r>
          <w:r>
            <w:fldChar w:fldCharType="separate"/>
          </w:r>
          <w:r>
            <w:t>17</w:t>
          </w:r>
          <w:r>
            <w:fldChar w:fldCharType="end"/>
          </w:r>
          <w:r>
            <w:fldChar w:fldCharType="end"/>
          </w:r>
        </w:p>
        <w:p w14:paraId="3E949A3E">
          <w:pPr>
            <w:pStyle w:val="34"/>
            <w:tabs>
              <w:tab w:val="right" w:leader="dot" w:pos="8306"/>
            </w:tabs>
          </w:pPr>
          <w:r>
            <w:fldChar w:fldCharType="begin"/>
          </w:r>
          <w:r>
            <w:instrText xml:space="preserve"> HYPERLINK \l _Toc20891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_Toc20891 \h </w:instrText>
          </w:r>
          <w:r>
            <w:fldChar w:fldCharType="separate"/>
          </w:r>
          <w:r>
            <w:t>17</w:t>
          </w:r>
          <w:r>
            <w:fldChar w:fldCharType="end"/>
          </w:r>
          <w:r>
            <w:fldChar w:fldCharType="end"/>
          </w:r>
        </w:p>
        <w:p w14:paraId="3CC8C326">
          <w:pPr>
            <w:pStyle w:val="34"/>
            <w:tabs>
              <w:tab w:val="right" w:leader="dot" w:pos="8306"/>
            </w:tabs>
          </w:pPr>
          <w:r>
            <w:fldChar w:fldCharType="begin"/>
          </w:r>
          <w:r>
            <w:instrText xml:space="preserve"> HYPERLINK \l _Toc17081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_Toc17081 \h </w:instrText>
          </w:r>
          <w:r>
            <w:fldChar w:fldCharType="separate"/>
          </w:r>
          <w:r>
            <w:t>17</w:t>
          </w:r>
          <w:r>
            <w:fldChar w:fldCharType="end"/>
          </w:r>
          <w:r>
            <w:fldChar w:fldCharType="end"/>
          </w:r>
        </w:p>
        <w:p w14:paraId="1CBF3264">
          <w:pPr>
            <w:pStyle w:val="34"/>
            <w:tabs>
              <w:tab w:val="right" w:leader="dot" w:pos="8306"/>
            </w:tabs>
          </w:pPr>
          <w:r>
            <w:fldChar w:fldCharType="begin"/>
          </w:r>
          <w:r>
            <w:instrText xml:space="preserve"> HYPERLINK \l _Toc27153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_Toc27153 \h </w:instrText>
          </w:r>
          <w:r>
            <w:fldChar w:fldCharType="separate"/>
          </w:r>
          <w:r>
            <w:t>17</w:t>
          </w:r>
          <w:r>
            <w:fldChar w:fldCharType="end"/>
          </w:r>
          <w:r>
            <w:fldChar w:fldCharType="end"/>
          </w:r>
        </w:p>
        <w:p w14:paraId="0551689B">
          <w:pPr>
            <w:pStyle w:val="34"/>
            <w:tabs>
              <w:tab w:val="right" w:leader="dot" w:pos="8306"/>
            </w:tabs>
          </w:pPr>
          <w:r>
            <w:fldChar w:fldCharType="begin"/>
          </w:r>
          <w:r>
            <w:instrText xml:space="preserve"> HYPERLINK \l _Toc18142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_Toc18142 \h </w:instrText>
          </w:r>
          <w:r>
            <w:fldChar w:fldCharType="separate"/>
          </w:r>
          <w:r>
            <w:t>17</w:t>
          </w:r>
          <w:r>
            <w:fldChar w:fldCharType="end"/>
          </w:r>
          <w:r>
            <w:fldChar w:fldCharType="end"/>
          </w:r>
        </w:p>
        <w:p w14:paraId="0E5EA380">
          <w:pPr>
            <w:rPr>
              <w:b/>
            </w:rPr>
          </w:pPr>
          <w:r>
            <w:rPr>
              <w:b/>
            </w:rPr>
            <w:fldChar w:fldCharType="end"/>
          </w:r>
        </w:p>
      </w:sdtContent>
    </w:sdt>
    <w:p w14:paraId="5783D570">
      <w:pPr>
        <w:rPr>
          <w:b/>
        </w:rPr>
      </w:pPr>
    </w:p>
    <w:p w14:paraId="3A72B4DD">
      <w:pPr>
        <w:widowControl/>
        <w:adjustRightInd w:val="0"/>
        <w:snapToGrid w:val="0"/>
        <w:spacing w:line="440" w:lineRule="exact"/>
        <w:ind w:firstLine="1320" w:firstLineChars="550"/>
        <w:jc w:val="left"/>
        <w:rPr>
          <w:rFonts w:ascii="仿宋" w:hAnsi="仿宋" w:eastAsia="仿宋"/>
          <w:sz w:val="24"/>
        </w:rPr>
      </w:pPr>
    </w:p>
    <w:p w14:paraId="14C30B05">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14:paraId="69FB3CF7">
      <w:pPr>
        <w:pStyle w:val="3"/>
        <w:jc w:val="center"/>
        <w:rPr>
          <w:rStyle w:val="27"/>
          <w:rFonts w:ascii="黑体" w:hAnsi="黑体" w:eastAsia="黑体"/>
          <w:b/>
          <w:bCs w:val="0"/>
        </w:rPr>
      </w:pPr>
      <w:bookmarkStart w:id="16" w:name="_Toc22900"/>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0169CE9E">
      <w:pPr>
        <w:widowControl/>
        <w:jc w:val="left"/>
        <w:rPr>
          <w:rFonts w:ascii="黑体" w:eastAsia="黑体"/>
          <w:sz w:val="32"/>
          <w:szCs w:val="32"/>
        </w:rPr>
      </w:pPr>
    </w:p>
    <w:p w14:paraId="2E03C8A5">
      <w:pPr>
        <w:pStyle w:val="4"/>
        <w:numPr>
          <w:ilvl w:val="0"/>
          <w:numId w:val="1"/>
        </w:numPr>
        <w:rPr>
          <w:rStyle w:val="28"/>
          <w:rFonts w:ascii="黑体" w:hAnsi="黑体" w:eastAsia="黑体"/>
          <w:b w:val="0"/>
          <w:bCs w:val="0"/>
        </w:rPr>
      </w:pPr>
      <w:bookmarkStart w:id="17" w:name="_Toc13660"/>
      <w:bookmarkStart w:id="18" w:name="_Toc15377197"/>
      <w:bookmarkStart w:id="19" w:name="_Toc15396600"/>
      <w:r>
        <w:rPr>
          <w:rStyle w:val="28"/>
          <w:rFonts w:hint="eastAsia" w:ascii="黑体" w:hAnsi="黑体" w:eastAsia="黑体"/>
          <w:b w:val="0"/>
          <w:bCs w:val="0"/>
        </w:rPr>
        <w:t>主要职责</w:t>
      </w:r>
      <w:bookmarkEnd w:id="17"/>
    </w:p>
    <w:p w14:paraId="04364AA7">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450AEA06">
      <w:pPr>
        <w:pStyle w:val="4"/>
        <w:rPr>
          <w:rFonts w:ascii="黑体" w:hAnsi="黑体" w:eastAsia="黑体"/>
          <w:b w:val="0"/>
        </w:rPr>
      </w:pPr>
      <w:bookmarkStart w:id="20" w:name="_Toc1161"/>
      <w:r>
        <w:rPr>
          <w:rFonts w:hint="eastAsia" w:ascii="黑体" w:hAnsi="黑体" w:eastAsia="黑体"/>
          <w:b w:val="0"/>
        </w:rPr>
        <w:t>二、机构设置</w:t>
      </w:r>
      <w:bookmarkEnd w:id="20"/>
    </w:p>
    <w:bookmarkEnd w:id="18"/>
    <w:bookmarkEnd w:id="19"/>
    <w:p w14:paraId="32E6FA08">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峨边彝族自治县宜坪乡卫生院是峨边卫生健康局下属二级预算单位，属于公益一类事业单位。</w:t>
      </w:r>
      <w:r>
        <w:rPr>
          <w:rFonts w:ascii="仿宋" w:hAnsi="仿宋" w:eastAsia="仿宋"/>
          <w:sz w:val="32"/>
          <w:szCs w:val="32"/>
        </w:rPr>
        <w:br w:type="page"/>
      </w:r>
    </w:p>
    <w:p w14:paraId="2D72B7E7">
      <w:pPr>
        <w:pStyle w:val="3"/>
        <w:ind w:right="440"/>
        <w:jc w:val="center"/>
        <w:rPr>
          <w:rStyle w:val="27"/>
          <w:rFonts w:ascii="黑体" w:hAnsi="黑体" w:eastAsia="黑体"/>
          <w:b w:val="0"/>
          <w:bCs/>
        </w:rPr>
      </w:pPr>
      <w:bookmarkStart w:id="21" w:name="_Toc15377204"/>
      <w:bookmarkStart w:id="22" w:name="_Toc15396602"/>
      <w:bookmarkStart w:id="23" w:name="_Toc11649"/>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52779F5B"/>
    <w:p w14:paraId="700E6871">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15377205"/>
      <w:bookmarkStart w:id="26" w:name="_Toc29070"/>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0CEF2DE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332.56</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69.15</w:t>
      </w:r>
      <w:r>
        <w:rPr>
          <w:rFonts w:hint="eastAsia" w:ascii="仿宋" w:hAnsi="仿宋" w:eastAsia="仿宋"/>
          <w:sz w:val="32"/>
          <w:szCs w:val="32"/>
        </w:rPr>
        <w:t>万元，增长</w:t>
      </w:r>
      <w:r>
        <w:rPr>
          <w:rFonts w:hint="eastAsia" w:ascii="仿宋" w:hAnsi="仿宋" w:eastAsia="仿宋"/>
          <w:sz w:val="32"/>
          <w:szCs w:val="32"/>
          <w:lang w:val="en-US" w:eastAsia="zh-CN"/>
        </w:rPr>
        <w:t>26.25</w:t>
      </w:r>
      <w:r>
        <w:rPr>
          <w:rFonts w:ascii="仿宋" w:hAnsi="仿宋" w:eastAsia="仿宋"/>
          <w:sz w:val="32"/>
          <w:szCs w:val="32"/>
        </w:rPr>
        <w:t>%</w:t>
      </w:r>
      <w:r>
        <w:rPr>
          <w:rFonts w:hint="eastAsia" w:ascii="仿宋" w:hAnsi="仿宋" w:eastAsia="仿宋"/>
          <w:sz w:val="32"/>
          <w:szCs w:val="32"/>
        </w:rPr>
        <w:t>。主要变动原因是2023年经费预算调增，事业</w:t>
      </w:r>
      <w:r>
        <w:rPr>
          <w:rFonts w:hint="eastAsia" w:ascii="仿宋" w:hAnsi="仿宋" w:eastAsia="仿宋"/>
          <w:sz w:val="32"/>
          <w:szCs w:val="32"/>
          <w:lang w:val="en-US" w:eastAsia="zh-CN"/>
        </w:rPr>
        <w:t>收入</w:t>
      </w:r>
      <w:r>
        <w:rPr>
          <w:rFonts w:hint="eastAsia" w:ascii="仿宋" w:hAnsi="仿宋" w:eastAsia="仿宋"/>
          <w:sz w:val="32"/>
          <w:szCs w:val="32"/>
        </w:rPr>
        <w:t>支出增加。</w:t>
      </w:r>
    </w:p>
    <w:p w14:paraId="4E340121">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4852EDBD">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D0106FE">
      <w:pPr>
        <w:spacing w:line="600" w:lineRule="exact"/>
        <w:ind w:firstLine="640" w:firstLineChars="200"/>
        <w:jc w:val="left"/>
        <w:rPr>
          <w:rFonts w:ascii="仿宋_GB2312" w:eastAsia="仿宋_GB2312"/>
          <w:sz w:val="32"/>
          <w:szCs w:val="32"/>
        </w:rPr>
      </w:pPr>
    </w:p>
    <w:p w14:paraId="08A77674">
      <w:pPr>
        <w:pStyle w:val="26"/>
        <w:numPr>
          <w:ilvl w:val="0"/>
          <w:numId w:val="2"/>
        </w:numPr>
        <w:spacing w:line="600" w:lineRule="exact"/>
        <w:ind w:firstLineChars="0"/>
        <w:outlineLvl w:val="1"/>
        <w:rPr>
          <w:rStyle w:val="28"/>
          <w:rFonts w:ascii="黑体" w:hAnsi="黑体" w:eastAsia="黑体"/>
          <w:b w:val="0"/>
        </w:rPr>
      </w:pPr>
      <w:bookmarkStart w:id="27" w:name="_Toc15377206"/>
      <w:bookmarkStart w:id="28" w:name="_Toc15396604"/>
      <w:bookmarkStart w:id="29" w:name="_Toc8501"/>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52BB24E2">
      <w:pPr>
        <w:spacing w:line="600" w:lineRule="exact"/>
        <w:ind w:firstLine="640" w:firstLineChars="200"/>
        <w:outlineLvl w:val="1"/>
        <w:rPr>
          <w:rFonts w:hint="eastAsia" w:ascii="仿宋" w:hAnsi="仿宋" w:eastAsia="仿宋"/>
          <w:sz w:val="32"/>
          <w:szCs w:val="32"/>
          <w:lang w:eastAsia="zh-CN"/>
        </w:rPr>
      </w:pPr>
      <w:bookmarkStart w:id="30" w:name="_Toc13515"/>
      <w:r>
        <w:rPr>
          <w:rFonts w:hint="eastAsia" w:ascii="仿宋" w:hAnsi="仿宋" w:eastAsia="仿宋"/>
          <w:sz w:val="32"/>
          <w:szCs w:val="32"/>
        </w:rPr>
        <w:t>2023年度本年收入合计</w:t>
      </w:r>
      <w:r>
        <w:rPr>
          <w:rFonts w:ascii="仿宋" w:hAnsi="仿宋" w:eastAsia="仿宋"/>
          <w:b/>
          <w:sz w:val="32"/>
          <w:szCs w:val="32"/>
        </w:rPr>
        <w:t>332.56</w:t>
      </w:r>
      <w:r>
        <w:rPr>
          <w:rFonts w:hint="eastAsia" w:ascii="仿宋" w:hAnsi="仿宋" w:eastAsia="仿宋"/>
          <w:sz w:val="32"/>
          <w:szCs w:val="32"/>
        </w:rPr>
        <w:t>万元，其中：一般公共预算财政拨款收入</w:t>
      </w:r>
      <w:r>
        <w:rPr>
          <w:rFonts w:ascii="仿宋" w:hAnsi="仿宋" w:eastAsia="仿宋"/>
          <w:b/>
          <w:sz w:val="32"/>
          <w:szCs w:val="32"/>
        </w:rPr>
        <w:t>246.75</w:t>
      </w:r>
      <w:r>
        <w:rPr>
          <w:rFonts w:hint="eastAsia" w:ascii="仿宋" w:hAnsi="仿宋" w:eastAsia="仿宋"/>
          <w:sz w:val="32"/>
          <w:szCs w:val="32"/>
        </w:rPr>
        <w:t>万元，占</w:t>
      </w:r>
      <w:r>
        <w:rPr>
          <w:rFonts w:ascii="仿宋" w:hAnsi="仿宋" w:eastAsia="仿宋"/>
          <w:b/>
          <w:sz w:val="32"/>
          <w:szCs w:val="32"/>
        </w:rPr>
        <w:t>74.</w:t>
      </w:r>
      <w:r>
        <w:rPr>
          <w:rFonts w:hint="eastAsia" w:ascii="仿宋" w:hAnsi="仿宋" w:eastAsia="仿宋"/>
          <w:b/>
          <w:sz w:val="32"/>
          <w:szCs w:val="32"/>
          <w:lang w:val="en-US" w:eastAsia="zh-CN"/>
        </w:rPr>
        <w:t>2</w:t>
      </w:r>
      <w:r>
        <w:rPr>
          <w:rFonts w:ascii="仿宋" w:hAnsi="仿宋" w:eastAsia="仿宋"/>
          <w:b/>
          <w:sz w:val="32"/>
          <w:szCs w:val="32"/>
        </w:rPr>
        <w:t>%</w:t>
      </w:r>
      <w:r>
        <w:rPr>
          <w:rFonts w:hint="eastAsia" w:ascii="仿宋" w:hAnsi="仿宋" w:eastAsia="仿宋"/>
          <w:sz w:val="32"/>
          <w:szCs w:val="32"/>
        </w:rPr>
        <w:t>；事业收入</w:t>
      </w:r>
      <w:r>
        <w:rPr>
          <w:rFonts w:ascii="仿宋" w:hAnsi="仿宋" w:eastAsia="仿宋"/>
          <w:b/>
          <w:sz w:val="32"/>
          <w:szCs w:val="32"/>
        </w:rPr>
        <w:t>85.81</w:t>
      </w:r>
      <w:r>
        <w:rPr>
          <w:rFonts w:hint="eastAsia" w:ascii="仿宋" w:hAnsi="仿宋" w:eastAsia="仿宋"/>
          <w:sz w:val="32"/>
          <w:szCs w:val="32"/>
        </w:rPr>
        <w:t>万元，占</w:t>
      </w:r>
      <w:r>
        <w:rPr>
          <w:rFonts w:ascii="仿宋" w:hAnsi="仿宋" w:eastAsia="仿宋"/>
          <w:b/>
          <w:sz w:val="32"/>
          <w:szCs w:val="32"/>
        </w:rPr>
        <w:t>25.8</w:t>
      </w:r>
      <w:r>
        <w:rPr>
          <w:rFonts w:ascii="仿宋" w:hAnsi="仿宋" w:eastAsia="仿宋"/>
          <w:sz w:val="32"/>
          <w:szCs w:val="32"/>
        </w:rPr>
        <w:t>%</w:t>
      </w:r>
      <w:r>
        <w:rPr>
          <w:rFonts w:hint="eastAsia" w:ascii="仿宋" w:hAnsi="仿宋" w:eastAsia="仿宋"/>
          <w:sz w:val="32"/>
          <w:szCs w:val="32"/>
          <w:lang w:eastAsia="zh-CN"/>
        </w:rPr>
        <w:t>。</w:t>
      </w:r>
      <w:bookmarkEnd w:id="30"/>
    </w:p>
    <w:p w14:paraId="04DAC804">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38777D78">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6F61C266">
      <w:pPr>
        <w:spacing w:line="600" w:lineRule="exact"/>
        <w:ind w:firstLine="640" w:firstLineChars="200"/>
        <w:rPr>
          <w:rFonts w:ascii="仿宋_GB2312" w:eastAsia="仿宋_GB2312"/>
          <w:sz w:val="32"/>
          <w:szCs w:val="32"/>
        </w:rPr>
      </w:pPr>
    </w:p>
    <w:p w14:paraId="201DF46E">
      <w:pPr>
        <w:pStyle w:val="26"/>
        <w:numPr>
          <w:ilvl w:val="0"/>
          <w:numId w:val="2"/>
        </w:numPr>
        <w:spacing w:line="600" w:lineRule="exact"/>
        <w:ind w:firstLineChars="0"/>
        <w:outlineLvl w:val="1"/>
        <w:rPr>
          <w:rStyle w:val="28"/>
          <w:rFonts w:ascii="黑体" w:hAnsi="黑体" w:eastAsia="黑体"/>
          <w:b w:val="0"/>
        </w:rPr>
      </w:pPr>
      <w:bookmarkStart w:id="31" w:name="_Toc15377207"/>
      <w:bookmarkStart w:id="32" w:name="_Toc15396605"/>
      <w:bookmarkStart w:id="33" w:name="_Toc4252"/>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3E80566E">
      <w:pPr>
        <w:spacing w:line="600" w:lineRule="exact"/>
        <w:ind w:firstLine="640" w:firstLineChars="200"/>
        <w:outlineLvl w:val="1"/>
        <w:rPr>
          <w:rFonts w:ascii="仿宋" w:hAnsi="仿宋" w:eastAsia="仿宋"/>
          <w:sz w:val="32"/>
          <w:szCs w:val="32"/>
        </w:rPr>
      </w:pPr>
      <w:bookmarkStart w:id="34" w:name="_Toc32481"/>
      <w:r>
        <w:rPr>
          <w:rFonts w:hint="eastAsia" w:ascii="仿宋" w:hAnsi="仿宋" w:eastAsia="仿宋"/>
          <w:sz w:val="32"/>
          <w:szCs w:val="32"/>
        </w:rPr>
        <w:t>2023年度本年支出合计</w:t>
      </w:r>
      <w:r>
        <w:rPr>
          <w:rFonts w:ascii="仿宋" w:hAnsi="仿宋" w:eastAsia="仿宋"/>
          <w:b/>
          <w:sz w:val="32"/>
          <w:szCs w:val="32"/>
        </w:rPr>
        <w:t>332.56</w:t>
      </w:r>
      <w:r>
        <w:rPr>
          <w:rFonts w:hint="eastAsia" w:ascii="仿宋" w:hAnsi="仿宋" w:eastAsia="仿宋"/>
          <w:sz w:val="32"/>
          <w:szCs w:val="32"/>
        </w:rPr>
        <w:t>万元，其中：基本支出</w:t>
      </w:r>
      <w:r>
        <w:rPr>
          <w:rFonts w:ascii="仿宋" w:hAnsi="仿宋" w:eastAsia="仿宋"/>
          <w:b/>
          <w:sz w:val="32"/>
          <w:szCs w:val="32"/>
        </w:rPr>
        <w:t>263.23</w:t>
      </w:r>
      <w:r>
        <w:rPr>
          <w:rFonts w:hint="eastAsia" w:ascii="仿宋" w:hAnsi="仿宋" w:eastAsia="仿宋"/>
          <w:sz w:val="32"/>
          <w:szCs w:val="32"/>
        </w:rPr>
        <w:t>万元，占</w:t>
      </w:r>
      <w:r>
        <w:rPr>
          <w:rFonts w:ascii="仿宋" w:hAnsi="仿宋" w:eastAsia="仿宋"/>
          <w:b/>
          <w:sz w:val="32"/>
          <w:szCs w:val="32"/>
        </w:rPr>
        <w:t>79.15</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69.33</w:t>
      </w:r>
      <w:r>
        <w:rPr>
          <w:rFonts w:hint="eastAsia" w:ascii="仿宋" w:hAnsi="仿宋" w:eastAsia="仿宋"/>
          <w:sz w:val="32"/>
          <w:szCs w:val="32"/>
        </w:rPr>
        <w:t>万元，占</w:t>
      </w:r>
      <w:r>
        <w:rPr>
          <w:rFonts w:ascii="仿宋" w:hAnsi="仿宋" w:eastAsia="仿宋"/>
          <w:b/>
          <w:sz w:val="32"/>
          <w:szCs w:val="32"/>
        </w:rPr>
        <w:t>20.8</w:t>
      </w:r>
      <w:r>
        <w:rPr>
          <w:rFonts w:hint="eastAsia" w:ascii="仿宋" w:hAnsi="仿宋" w:eastAsia="仿宋"/>
          <w:b/>
          <w:sz w:val="32"/>
          <w:szCs w:val="32"/>
          <w:lang w:val="en-US" w:eastAsia="zh-CN"/>
        </w:rPr>
        <w:t>5</w:t>
      </w:r>
      <w:r>
        <w:rPr>
          <w:rFonts w:ascii="仿宋" w:hAnsi="仿宋" w:eastAsia="仿宋"/>
          <w:sz w:val="32"/>
          <w:szCs w:val="32"/>
        </w:rPr>
        <w:t>%</w:t>
      </w:r>
      <w:r>
        <w:rPr>
          <w:rFonts w:hint="eastAsia" w:ascii="仿宋" w:hAnsi="仿宋" w:eastAsia="仿宋"/>
          <w:sz w:val="32"/>
          <w:szCs w:val="32"/>
        </w:rPr>
        <w:t>。</w:t>
      </w:r>
      <w:bookmarkEnd w:id="34"/>
    </w:p>
    <w:p w14:paraId="6A66DFD5">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1200D5CC">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16D00B00">
      <w:pPr>
        <w:spacing w:line="600" w:lineRule="exact"/>
        <w:ind w:firstLine="640" w:firstLineChars="200"/>
        <w:rPr>
          <w:rFonts w:ascii="仿宋_GB2312" w:eastAsia="仿宋_GB2312"/>
          <w:sz w:val="32"/>
          <w:szCs w:val="32"/>
        </w:rPr>
      </w:pPr>
    </w:p>
    <w:p w14:paraId="48104CE3">
      <w:pPr>
        <w:spacing w:line="600" w:lineRule="exact"/>
        <w:ind w:firstLine="640" w:firstLineChars="200"/>
        <w:outlineLvl w:val="1"/>
        <w:rPr>
          <w:rStyle w:val="28"/>
          <w:rFonts w:ascii="黑体" w:hAnsi="黑体" w:eastAsia="黑体"/>
          <w:b w:val="0"/>
        </w:rPr>
      </w:pPr>
      <w:bookmarkStart w:id="35" w:name="_Toc15377208"/>
      <w:bookmarkStart w:id="36" w:name="_Toc7832"/>
      <w:bookmarkStart w:id="37"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0DE08D5E">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246.75</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55.44</w:t>
      </w:r>
      <w:r>
        <w:rPr>
          <w:rFonts w:hint="eastAsia" w:ascii="仿宋" w:hAnsi="仿宋" w:eastAsia="仿宋"/>
          <w:sz w:val="32"/>
          <w:szCs w:val="32"/>
        </w:rPr>
        <w:t>万元，增长</w:t>
      </w:r>
      <w:r>
        <w:rPr>
          <w:rFonts w:hint="eastAsia" w:ascii="仿宋" w:hAnsi="仿宋" w:eastAsia="仿宋"/>
          <w:sz w:val="32"/>
          <w:szCs w:val="32"/>
          <w:lang w:val="en-US" w:eastAsia="zh-CN"/>
        </w:rPr>
        <w:t>28.98</w:t>
      </w:r>
      <w:r>
        <w:rPr>
          <w:rFonts w:ascii="仿宋" w:hAnsi="仿宋" w:eastAsia="仿宋"/>
          <w:sz w:val="32"/>
          <w:szCs w:val="32"/>
        </w:rPr>
        <w:t>%</w:t>
      </w:r>
      <w:r>
        <w:rPr>
          <w:rFonts w:hint="eastAsia" w:ascii="仿宋" w:hAnsi="仿宋" w:eastAsia="仿宋"/>
          <w:sz w:val="32"/>
          <w:szCs w:val="32"/>
        </w:rPr>
        <w:t>。主要变动原因是2023年经费预算调增</w:t>
      </w:r>
      <w:r>
        <w:rPr>
          <w:rFonts w:hint="eastAsia" w:ascii="仿宋" w:hAnsi="仿宋" w:eastAsia="仿宋"/>
          <w:sz w:val="32"/>
          <w:szCs w:val="32"/>
          <w:lang w:eastAsia="zh-CN"/>
        </w:rPr>
        <w:t>。</w:t>
      </w:r>
    </w:p>
    <w:p w14:paraId="65A4AAD5">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0A9BC989">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0CF73DCD">
      <w:pPr>
        <w:spacing w:line="600" w:lineRule="exact"/>
        <w:ind w:firstLine="640"/>
        <w:rPr>
          <w:rFonts w:ascii="仿宋" w:hAnsi="仿宋" w:eastAsia="仿宋"/>
          <w:b/>
          <w:sz w:val="32"/>
          <w:szCs w:val="32"/>
        </w:rPr>
      </w:pPr>
    </w:p>
    <w:p w14:paraId="49B5A053">
      <w:pPr>
        <w:spacing w:line="600" w:lineRule="exact"/>
        <w:ind w:firstLine="640" w:firstLineChars="200"/>
        <w:outlineLvl w:val="1"/>
        <w:rPr>
          <w:rStyle w:val="28"/>
          <w:rFonts w:ascii="黑体" w:hAnsi="黑体" w:eastAsia="黑体"/>
          <w:b w:val="0"/>
        </w:rPr>
      </w:pPr>
      <w:bookmarkStart w:id="38" w:name="_Toc15377209"/>
      <w:bookmarkStart w:id="39" w:name="_Toc15396607"/>
      <w:bookmarkStart w:id="40" w:name="_Toc28878"/>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26539261">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5847C946">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246.75</w:t>
      </w:r>
      <w:r>
        <w:rPr>
          <w:rFonts w:hint="eastAsia" w:ascii="仿宋" w:hAnsi="仿宋" w:eastAsia="仿宋"/>
          <w:sz w:val="32"/>
          <w:szCs w:val="32"/>
        </w:rPr>
        <w:t>万元，占本年支出合计的</w:t>
      </w:r>
      <w:r>
        <w:rPr>
          <w:rFonts w:ascii="仿宋" w:hAnsi="仿宋" w:eastAsia="仿宋"/>
          <w:b/>
          <w:sz w:val="32"/>
          <w:szCs w:val="32"/>
        </w:rPr>
        <w:t>74.19</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55.44</w:t>
      </w:r>
      <w:r>
        <w:rPr>
          <w:rFonts w:hint="eastAsia" w:ascii="仿宋" w:hAnsi="仿宋" w:eastAsia="仿宋"/>
          <w:sz w:val="32"/>
          <w:szCs w:val="32"/>
        </w:rPr>
        <w:t>万元，增长</w:t>
      </w:r>
      <w:r>
        <w:rPr>
          <w:rFonts w:hint="eastAsia" w:ascii="仿宋" w:hAnsi="仿宋" w:eastAsia="仿宋"/>
          <w:sz w:val="32"/>
          <w:szCs w:val="32"/>
          <w:lang w:val="en-US" w:eastAsia="zh-CN"/>
        </w:rPr>
        <w:t>28.98</w:t>
      </w:r>
      <w:r>
        <w:rPr>
          <w:rFonts w:ascii="仿宋" w:hAnsi="仿宋" w:eastAsia="仿宋"/>
          <w:sz w:val="32"/>
          <w:szCs w:val="32"/>
        </w:rPr>
        <w:t>%</w:t>
      </w:r>
      <w:r>
        <w:rPr>
          <w:rFonts w:hint="eastAsia" w:ascii="仿宋" w:hAnsi="仿宋" w:eastAsia="仿宋"/>
          <w:sz w:val="32"/>
          <w:szCs w:val="32"/>
        </w:rPr>
        <w:t>。主要变动原因是2023年经费预算调增</w:t>
      </w:r>
      <w:r>
        <w:rPr>
          <w:rFonts w:hint="eastAsia" w:ascii="仿宋" w:hAnsi="仿宋" w:eastAsia="仿宋"/>
          <w:sz w:val="32"/>
          <w:szCs w:val="32"/>
          <w:lang w:eastAsia="zh-CN"/>
        </w:rPr>
        <w:t>。</w:t>
      </w:r>
    </w:p>
    <w:p w14:paraId="5FC3596D">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03B127D2">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33E74BE1">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0DCBB677">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246.75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22.94</w:t>
      </w:r>
      <w:r>
        <w:rPr>
          <w:rFonts w:hint="eastAsia" w:ascii="仿宋" w:hAnsi="仿宋" w:eastAsia="仿宋"/>
          <w:sz w:val="32"/>
          <w:szCs w:val="32"/>
        </w:rPr>
        <w:t>万元，占</w:t>
      </w:r>
      <w:r>
        <w:rPr>
          <w:rFonts w:hint="eastAsia" w:ascii="仿宋" w:hAnsi="仿宋" w:eastAsia="仿宋"/>
          <w:sz w:val="32"/>
          <w:szCs w:val="32"/>
          <w:lang w:val="en-US" w:eastAsia="zh-CN"/>
        </w:rPr>
        <w:t>9.30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207.52</w:t>
      </w:r>
      <w:r>
        <w:rPr>
          <w:rFonts w:hint="eastAsia" w:ascii="仿宋" w:hAnsi="仿宋" w:eastAsia="仿宋"/>
          <w:sz w:val="32"/>
          <w:szCs w:val="32"/>
        </w:rPr>
        <w:t>万元，占</w:t>
      </w:r>
      <w:r>
        <w:rPr>
          <w:rFonts w:hint="eastAsia" w:ascii="仿宋" w:hAnsi="仿宋" w:eastAsia="仿宋"/>
          <w:sz w:val="32"/>
          <w:szCs w:val="32"/>
          <w:lang w:val="en-US" w:eastAsia="zh-CN"/>
        </w:rPr>
        <w:t>84.10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16.29</w:t>
      </w:r>
      <w:r>
        <w:rPr>
          <w:rFonts w:hint="eastAsia" w:ascii="仿宋" w:hAnsi="仿宋" w:eastAsia="仿宋"/>
          <w:sz w:val="32"/>
          <w:szCs w:val="32"/>
        </w:rPr>
        <w:t>万元，占</w:t>
      </w:r>
      <w:r>
        <w:rPr>
          <w:rFonts w:hint="eastAsia" w:ascii="仿宋" w:hAnsi="仿宋" w:eastAsia="仿宋"/>
          <w:sz w:val="32"/>
          <w:szCs w:val="32"/>
          <w:lang w:val="en-US" w:eastAsia="zh-CN"/>
        </w:rPr>
        <w:t>6.60</w:t>
      </w:r>
      <w:r>
        <w:rPr>
          <w:rFonts w:ascii="仿宋" w:hAnsi="仿宋" w:eastAsia="仿宋"/>
          <w:sz w:val="32"/>
          <w:szCs w:val="32"/>
        </w:rPr>
        <w:t>%</w:t>
      </w:r>
      <w:r>
        <w:rPr>
          <w:rFonts w:hint="eastAsia" w:ascii="仿宋" w:hAnsi="仿宋" w:eastAsia="仿宋"/>
          <w:sz w:val="32"/>
          <w:szCs w:val="32"/>
        </w:rPr>
        <w:t>。</w:t>
      </w:r>
    </w:p>
    <w:p w14:paraId="532DA8E9">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7FD810CB">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D6E497A">
      <w:pPr>
        <w:spacing w:line="600" w:lineRule="exact"/>
        <w:ind w:firstLine="640" w:firstLineChars="200"/>
        <w:rPr>
          <w:rFonts w:ascii="仿宋" w:hAnsi="仿宋" w:eastAsia="仿宋"/>
          <w:sz w:val="32"/>
          <w:szCs w:val="32"/>
        </w:rPr>
      </w:pPr>
    </w:p>
    <w:p w14:paraId="41E4330A">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1959D5A0">
      <w:pPr>
        <w:spacing w:line="600" w:lineRule="exact"/>
        <w:ind w:firstLine="643" w:firstLineChars="200"/>
        <w:outlineLvl w:val="1"/>
        <w:rPr>
          <w:rFonts w:ascii="仿宋" w:hAnsi="仿宋" w:eastAsia="仿宋"/>
          <w:sz w:val="32"/>
          <w:szCs w:val="32"/>
        </w:rPr>
      </w:pPr>
      <w:bookmarkStart w:id="44" w:name="_Toc15377444"/>
      <w:bookmarkStart w:id="45" w:name="_Toc15377213"/>
      <w:bookmarkStart w:id="46" w:name="_Toc21327"/>
      <w:bookmarkStart w:id="47" w:name="_Toc15378460"/>
      <w:r>
        <w:rPr>
          <w:rFonts w:hint="eastAsia" w:ascii="仿宋" w:hAnsi="仿宋" w:eastAsia="仿宋"/>
          <w:b/>
          <w:sz w:val="32"/>
          <w:szCs w:val="32"/>
        </w:rPr>
        <w:t>2023年度一般公共预算支出决算数为</w:t>
      </w:r>
      <w:r>
        <w:rPr>
          <w:rFonts w:ascii="仿宋" w:hAnsi="仿宋" w:eastAsia="仿宋"/>
          <w:b/>
          <w:sz w:val="32"/>
          <w:szCs w:val="32"/>
        </w:rPr>
        <w:t>246.75</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3BAB6927">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3.77</w:t>
      </w:r>
      <w:r>
        <w:rPr>
          <w:rFonts w:hint="eastAsia" w:ascii="仿宋_GB2312" w:hAnsi="仿宋_GB2312" w:eastAsia="仿宋_GB2312"/>
          <w:color w:val="000000"/>
          <w:kern w:val="2"/>
          <w:sz w:val="32"/>
          <w:szCs w:val="24"/>
          <w:lang w:val="en-US"/>
        </w:rPr>
        <w:t>万元，完成预算100%，决算数与预算数持平。</w:t>
      </w:r>
    </w:p>
    <w:p w14:paraId="64EB180C">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6.88</w:t>
      </w:r>
      <w:r>
        <w:rPr>
          <w:rFonts w:hint="eastAsia" w:ascii="仿宋_GB2312" w:hAnsi="仿宋_GB2312" w:eastAsia="仿宋_GB2312"/>
          <w:color w:val="000000"/>
          <w:kern w:val="2"/>
          <w:sz w:val="32"/>
          <w:szCs w:val="24"/>
          <w:lang w:val="en-US"/>
        </w:rPr>
        <w:t>万元，完成预算100%，决算数与预算数持平。</w:t>
      </w:r>
    </w:p>
    <w:p w14:paraId="43525B1F">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 xml:space="preserve">3.社会保障和就业（类）其他社会保障和就业支出（款）其他社会保障和就业支出（项）: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2.28</w:t>
      </w:r>
      <w:r>
        <w:rPr>
          <w:rFonts w:hint="eastAsia" w:ascii="仿宋_GB2312" w:hAnsi="仿宋_GB2312" w:eastAsia="仿宋_GB2312"/>
          <w:color w:val="000000"/>
          <w:kern w:val="2"/>
          <w:sz w:val="32"/>
          <w:szCs w:val="24"/>
          <w:lang w:val="en-US"/>
        </w:rPr>
        <w:t>万元，完成预算100%，决算数与预算数持平。</w:t>
      </w:r>
    </w:p>
    <w:p w14:paraId="38B40899">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136.63</w:t>
      </w:r>
      <w:r>
        <w:rPr>
          <w:rFonts w:hint="eastAsia" w:ascii="仿宋_GB2312" w:hAnsi="仿宋_GB2312" w:eastAsia="仿宋_GB2312"/>
          <w:color w:val="000000"/>
          <w:kern w:val="2"/>
          <w:sz w:val="32"/>
          <w:szCs w:val="24"/>
          <w:lang w:val="en-US"/>
        </w:rPr>
        <w:t>万元，完成预算100%，决算数与预算数持平。</w:t>
      </w:r>
    </w:p>
    <w:p w14:paraId="4E4F447A">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22.94</w:t>
      </w:r>
      <w:r>
        <w:rPr>
          <w:rFonts w:hint="eastAsia" w:ascii="仿宋_GB2312" w:hAnsi="仿宋_GB2312" w:eastAsia="仿宋_GB2312"/>
          <w:color w:val="000000"/>
          <w:kern w:val="2"/>
          <w:sz w:val="32"/>
          <w:szCs w:val="24"/>
          <w:lang w:val="en-US"/>
        </w:rPr>
        <w:t>万元，完成预算100%，决算数与预算数持平。</w:t>
      </w:r>
    </w:p>
    <w:p w14:paraId="11434A71">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41.06</w:t>
      </w:r>
      <w:r>
        <w:rPr>
          <w:rFonts w:hint="eastAsia" w:ascii="仿宋_GB2312" w:hAnsi="仿宋_GB2312" w:eastAsia="仿宋_GB2312"/>
          <w:color w:val="000000"/>
          <w:kern w:val="2"/>
          <w:sz w:val="32"/>
          <w:szCs w:val="24"/>
          <w:lang w:val="en-US"/>
        </w:rPr>
        <w:t>万元，完成预算100%，决算数与预算数持平。</w:t>
      </w:r>
    </w:p>
    <w:p w14:paraId="740B8F5A">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7.卫生健康（类）行政事业单位医疗（款）事业单位医疗（项）: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6.04</w:t>
      </w:r>
      <w:r>
        <w:rPr>
          <w:rFonts w:hint="eastAsia" w:ascii="仿宋_GB2312" w:hAnsi="仿宋_GB2312" w:eastAsia="仿宋_GB2312"/>
          <w:color w:val="000000"/>
          <w:kern w:val="2"/>
          <w:sz w:val="32"/>
          <w:szCs w:val="24"/>
          <w:lang w:val="en-US"/>
        </w:rPr>
        <w:t>万元，完成预算100%，决算数与预算数持平。</w:t>
      </w:r>
    </w:p>
    <w:p w14:paraId="3FA7E8A4">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0.84</w:t>
      </w:r>
      <w:r>
        <w:rPr>
          <w:rFonts w:hint="eastAsia" w:ascii="仿宋_GB2312" w:hAnsi="仿宋_GB2312" w:eastAsia="仿宋_GB2312"/>
          <w:color w:val="000000"/>
          <w:kern w:val="2"/>
          <w:sz w:val="32"/>
          <w:szCs w:val="24"/>
          <w:lang w:val="en-US"/>
        </w:rPr>
        <w:t>万元，完成预算100%，决算数与预算数持平。</w:t>
      </w:r>
    </w:p>
    <w:p w14:paraId="13271A2C">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16.29</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36E07B51">
      <w:pPr>
        <w:spacing w:line="600" w:lineRule="exact"/>
        <w:ind w:firstLine="640"/>
        <w:rPr>
          <w:rFonts w:ascii="仿宋" w:hAnsi="仿宋" w:eastAsia="仿宋"/>
          <w:b/>
          <w:sz w:val="32"/>
          <w:szCs w:val="32"/>
        </w:rPr>
      </w:pPr>
    </w:p>
    <w:p w14:paraId="4D8E4EF3">
      <w:pPr>
        <w:tabs>
          <w:tab w:val="right" w:pos="8306"/>
        </w:tabs>
        <w:spacing w:line="600" w:lineRule="exact"/>
        <w:ind w:firstLine="640"/>
        <w:outlineLvl w:val="1"/>
        <w:rPr>
          <w:rStyle w:val="28"/>
        </w:rPr>
      </w:pPr>
      <w:bookmarkStart w:id="48" w:name="_Toc15396608"/>
      <w:bookmarkStart w:id="49" w:name="_Toc15377214"/>
      <w:bookmarkStart w:id="50" w:name="_Toc635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3BA9854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177.42</w:t>
      </w:r>
      <w:r>
        <w:rPr>
          <w:rFonts w:hint="eastAsia" w:ascii="仿宋" w:hAnsi="仿宋" w:eastAsia="仿宋"/>
          <w:sz w:val="32"/>
          <w:szCs w:val="32"/>
        </w:rPr>
        <w:t>万元，其中：</w:t>
      </w:r>
    </w:p>
    <w:p w14:paraId="44183FE6">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174.6</w:t>
      </w:r>
      <w:r>
        <w:rPr>
          <w:rFonts w:hint="eastAsia" w:ascii="仿宋" w:hAnsi="仿宋" w:eastAsia="仿宋"/>
          <w:b/>
          <w:sz w:val="32"/>
          <w:szCs w:val="32"/>
          <w:lang w:val="en-US" w:eastAsia="zh-CN"/>
        </w:rPr>
        <w:t>4</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w:t>
      </w:r>
      <w:r>
        <w:rPr>
          <w:rFonts w:hint="eastAsia" w:ascii="仿宋" w:hAnsi="仿宋" w:eastAsia="仿宋"/>
          <w:sz w:val="32"/>
          <w:szCs w:val="32"/>
          <w:lang w:eastAsia="zh-CN"/>
        </w:rPr>
        <w:t>、</w:t>
      </w:r>
      <w:r>
        <w:rPr>
          <w:rFonts w:hint="eastAsia" w:ascii="仿宋" w:hAnsi="仿宋" w:eastAsia="仿宋"/>
          <w:sz w:val="32"/>
          <w:szCs w:val="32"/>
          <w:lang w:val="en-US" w:eastAsia="zh-CN"/>
        </w:rPr>
        <w:t>生活补助等</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2.78</w:t>
      </w:r>
      <w:r>
        <w:rPr>
          <w:rFonts w:hint="eastAsia" w:ascii="仿宋" w:hAnsi="仿宋" w:eastAsia="仿宋"/>
          <w:sz w:val="32"/>
          <w:szCs w:val="32"/>
        </w:rPr>
        <w:t>万元，主要包括：工会经费、福利费等。</w:t>
      </w:r>
    </w:p>
    <w:p w14:paraId="0CF1CACE">
      <w:pPr>
        <w:spacing w:line="600" w:lineRule="exact"/>
        <w:ind w:firstLine="640"/>
        <w:rPr>
          <w:rFonts w:ascii="仿宋" w:hAnsi="仿宋" w:eastAsia="仿宋"/>
          <w:b/>
          <w:sz w:val="32"/>
          <w:szCs w:val="32"/>
        </w:rPr>
      </w:pPr>
    </w:p>
    <w:p w14:paraId="78E6A2B8">
      <w:pPr>
        <w:spacing w:line="600" w:lineRule="exact"/>
        <w:ind w:firstLine="640"/>
        <w:outlineLvl w:val="1"/>
        <w:rPr>
          <w:rStyle w:val="28"/>
          <w:rFonts w:ascii="黑体" w:hAnsi="黑体" w:eastAsia="黑体"/>
          <w:b w:val="0"/>
        </w:rPr>
      </w:pPr>
      <w:bookmarkStart w:id="51" w:name="_Toc15377215"/>
      <w:bookmarkStart w:id="52" w:name="_Toc22509"/>
      <w:bookmarkStart w:id="53"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43A6C646">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130C194B">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2023年无三公经费预算</w:t>
      </w:r>
      <w:r>
        <w:rPr>
          <w:rFonts w:hint="eastAsia" w:ascii="仿宋" w:hAnsi="仿宋" w:eastAsia="仿宋"/>
          <w:sz w:val="32"/>
          <w:szCs w:val="32"/>
        </w:rPr>
        <w:t>。</w:t>
      </w:r>
    </w:p>
    <w:p w14:paraId="3C136789">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529673B3">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00A263CC">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78BD0041">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525FBB0">
      <w:pPr>
        <w:spacing w:line="600" w:lineRule="exact"/>
        <w:ind w:firstLine="640"/>
        <w:rPr>
          <w:rFonts w:ascii="仿宋_GB2312" w:eastAsia="仿宋_GB2312"/>
          <w:sz w:val="32"/>
          <w:szCs w:val="32"/>
        </w:rPr>
      </w:pPr>
      <w:bookmarkStart w:id="56" w:name="_Toc15396610"/>
      <w:bookmarkStart w:id="5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BD9CFCF">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D7D8168">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033121BE">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医疗业务工作</w:t>
      </w:r>
      <w:r>
        <w:rPr>
          <w:rFonts w:hint="eastAsia" w:ascii="仿宋_GB2312" w:eastAsia="仿宋_GB2312"/>
          <w:sz w:val="32"/>
          <w:szCs w:val="32"/>
        </w:rPr>
        <w:t>等所需的公务用车燃料费、维修费、过路过桥费、保险费等支出。</w:t>
      </w:r>
    </w:p>
    <w:p w14:paraId="4A75CC67">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2DFB9C94">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49D3908">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7E7B965">
      <w:pPr>
        <w:spacing w:line="600" w:lineRule="exact"/>
        <w:ind w:firstLine="640"/>
        <w:outlineLvl w:val="9"/>
        <w:rPr>
          <w:rFonts w:ascii="黑体" w:eastAsia="黑体"/>
          <w:sz w:val="32"/>
          <w:szCs w:val="32"/>
        </w:rPr>
      </w:pPr>
    </w:p>
    <w:p w14:paraId="3A7E7BE9">
      <w:pPr>
        <w:spacing w:line="600" w:lineRule="exact"/>
        <w:ind w:firstLine="640"/>
        <w:outlineLvl w:val="1"/>
        <w:rPr>
          <w:rStyle w:val="28"/>
          <w:rFonts w:ascii="黑体" w:hAnsi="黑体" w:eastAsia="黑体"/>
        </w:rPr>
      </w:pPr>
      <w:bookmarkStart w:id="58" w:name="_Toc10156"/>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483EA4FE">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01A6CD5">
      <w:pPr>
        <w:spacing w:line="600" w:lineRule="exact"/>
        <w:ind w:firstLine="640"/>
        <w:rPr>
          <w:rFonts w:ascii="仿宋_GB2312" w:eastAsia="仿宋_GB2312"/>
          <w:sz w:val="32"/>
          <w:szCs w:val="32"/>
        </w:rPr>
      </w:pPr>
    </w:p>
    <w:p w14:paraId="79BEC161">
      <w:pPr>
        <w:numPr>
          <w:ilvl w:val="0"/>
          <w:numId w:val="3"/>
        </w:numPr>
        <w:spacing w:line="600" w:lineRule="exact"/>
        <w:ind w:firstLine="640"/>
        <w:outlineLvl w:val="1"/>
        <w:rPr>
          <w:rStyle w:val="28"/>
          <w:rFonts w:ascii="黑体" w:hAnsi="黑体" w:eastAsia="黑体"/>
          <w:b w:val="0"/>
        </w:rPr>
      </w:pPr>
      <w:bookmarkStart w:id="59" w:name="_Toc7519"/>
      <w:bookmarkStart w:id="60" w:name="_Toc15396611"/>
      <w:bookmarkStart w:id="61" w:name="_Toc15377219"/>
      <w:r>
        <w:rPr>
          <w:rStyle w:val="28"/>
          <w:rFonts w:hint="eastAsia" w:ascii="黑体" w:hAnsi="黑体" w:eastAsia="黑体"/>
          <w:b w:val="0"/>
        </w:rPr>
        <w:t>国有资本经营预算支出决算情况说明</w:t>
      </w:r>
      <w:bookmarkEnd w:id="59"/>
      <w:bookmarkEnd w:id="60"/>
      <w:bookmarkEnd w:id="61"/>
    </w:p>
    <w:p w14:paraId="3F7F530E">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3208CCD">
      <w:pPr>
        <w:spacing w:line="580" w:lineRule="exact"/>
        <w:jc w:val="center"/>
        <w:rPr>
          <w:rFonts w:ascii="方正小标宋简体" w:hAnsi="方正小标宋简体" w:eastAsia="方正小标宋简体" w:cs="方正小标宋简体"/>
          <w:sz w:val="44"/>
          <w:szCs w:val="44"/>
        </w:rPr>
      </w:pPr>
    </w:p>
    <w:p w14:paraId="406E4181">
      <w:pPr>
        <w:numPr>
          <w:ilvl w:val="0"/>
          <w:numId w:val="3"/>
        </w:numPr>
        <w:spacing w:line="600" w:lineRule="exact"/>
        <w:ind w:firstLine="640"/>
        <w:outlineLvl w:val="1"/>
        <w:rPr>
          <w:rStyle w:val="28"/>
          <w:rFonts w:ascii="黑体" w:hAnsi="黑体" w:eastAsia="黑体"/>
          <w:b w:val="0"/>
        </w:rPr>
      </w:pPr>
      <w:bookmarkStart w:id="62" w:name="_Toc15396612"/>
      <w:bookmarkStart w:id="63" w:name="_Toc15377221"/>
      <w:bookmarkStart w:id="64" w:name="_Toc10468"/>
      <w:r>
        <w:rPr>
          <w:rStyle w:val="28"/>
          <w:rFonts w:hint="eastAsia" w:ascii="黑体" w:hAnsi="黑体" w:eastAsia="黑体"/>
          <w:b w:val="0"/>
        </w:rPr>
        <w:t>其他重要事项的情况说明</w:t>
      </w:r>
      <w:bookmarkEnd w:id="62"/>
      <w:bookmarkEnd w:id="63"/>
      <w:bookmarkEnd w:id="64"/>
    </w:p>
    <w:p w14:paraId="5DB280F3">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33A5F239">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峨边彝族自治县宜坪乡卫生院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11DEC720">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5A6C1691">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峨边彝族自治县宜坪乡卫生院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84E1B31">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2DB6AD04">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峨边彝族自治县宜坪乡卫生院</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0480A6D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5C5D1C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6B5185D1">
      <w:pPr>
        <w:pStyle w:val="2"/>
        <w:ind w:left="0" w:leftChars="0" w:firstLine="639" w:firstLineChars="213"/>
      </w:pPr>
      <w:r>
        <w:rPr>
          <w:rFonts w:hint="eastAsia"/>
        </w:rPr>
        <w:t>本单位项目主要为基层医疗机构基药补助、基本公共卫生服务补助资金，由主管部门统一进行预算绩效管理。</w:t>
      </w:r>
    </w:p>
    <w:p w14:paraId="3C7C8E52">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2AEAC7F8">
      <w:pPr>
        <w:numPr>
          <w:ilvl w:val="0"/>
          <w:numId w:val="4"/>
        </w:numPr>
        <w:spacing w:line="600" w:lineRule="exact"/>
        <w:ind w:firstLine="660" w:firstLineChars="150"/>
        <w:jc w:val="center"/>
        <w:outlineLvl w:val="0"/>
        <w:rPr>
          <w:rStyle w:val="27"/>
          <w:rFonts w:ascii="黑体" w:hAnsi="黑体" w:eastAsia="黑体"/>
          <w:b w:val="0"/>
        </w:rPr>
      </w:pPr>
      <w:bookmarkStart w:id="68" w:name="_Toc15396613"/>
      <w:bookmarkStart w:id="69" w:name="_Toc15377225"/>
      <w:bookmarkStart w:id="70" w:name="_Toc11813"/>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7E72A861">
      <w:pPr>
        <w:spacing w:line="600" w:lineRule="exact"/>
        <w:jc w:val="left"/>
        <w:rPr>
          <w:rFonts w:ascii="宋体"/>
          <w:b/>
          <w:sz w:val="44"/>
          <w:szCs w:val="44"/>
        </w:rPr>
      </w:pPr>
    </w:p>
    <w:p w14:paraId="331C5299">
      <w:pPr>
        <w:spacing w:beforeLines="0" w:afterLines="0" w:line="576" w:lineRule="exact"/>
        <w:ind w:firstLine="640"/>
        <w:outlineLvl w:val="1"/>
        <w:rPr>
          <w:rFonts w:hint="eastAsia" w:ascii="仿宋_GB2312" w:hAnsi="仿宋_GB2312" w:eastAsia="仿宋_GB2312"/>
          <w:color w:val="000000"/>
          <w:sz w:val="32"/>
          <w:szCs w:val="24"/>
          <w:lang w:val="en-US"/>
        </w:rPr>
      </w:pPr>
      <w:bookmarkStart w:id="71" w:name="_Toc7648"/>
      <w:r>
        <w:rPr>
          <w:rFonts w:hint="eastAsia" w:ascii="仿宋_GB2312" w:hAnsi="仿宋_GB2312" w:eastAsia="仿宋_GB2312"/>
          <w:color w:val="000000"/>
          <w:sz w:val="32"/>
          <w:szCs w:val="24"/>
          <w:lang w:val="en-US"/>
        </w:rPr>
        <w:t>1.财政拨款收入：指单位从同级财政部门取得的财政预算资金。</w:t>
      </w:r>
      <w:bookmarkEnd w:id="71"/>
    </w:p>
    <w:p w14:paraId="1B888D66">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2.事业收入：指事业单位开展专业业务活动及辅助活动取得的收入。如卫生院医疗收入等。 </w:t>
      </w:r>
    </w:p>
    <w:p w14:paraId="08FDD919">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05AAECB">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4.年初结转和结余：指以前年度尚未完成、结转到本年按有关规定继续使用的资金。 </w:t>
      </w:r>
    </w:p>
    <w:p w14:paraId="16894050">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5.结余分配：指事业单位按照事业单位会计制度的规定从非财政补助结余中分配的事业基金和职工福利基金等。</w:t>
      </w:r>
    </w:p>
    <w:p w14:paraId="7EFD738C">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6、年末结转和结余：指单位按有关规定结转到下年或以后年度继续使用的资金。</w:t>
      </w:r>
    </w:p>
    <w:p w14:paraId="4358A152">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7.社会保障和就业支出（类）行政事业单位养老支出（款） 机关事业单位基本养老保险缴费支出（项）：指反映机关事业单位实施养老保险制度由单位缴纳的基本养老保险费支出。</w:t>
      </w:r>
    </w:p>
    <w:p w14:paraId="3A4E7C4A">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8.社会保障和就业支出（类）行政事业单位养老支出（款）机关事业单位职业年金缴费支出（项）：指反映机关事业单位实施养老保险制度由单位实际缴纳的职业年金支出。</w:t>
      </w:r>
    </w:p>
    <w:p w14:paraId="3CEDC3C4">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9.社会保障和就业支出（类）其他社会保障和就业支出</w:t>
      </w:r>
      <w:bookmarkStart w:id="104" w:name="_GoBack"/>
      <w:bookmarkEnd w:id="104"/>
      <w:r>
        <w:rPr>
          <w:rFonts w:hint="eastAsia" w:ascii="仿宋_GB2312" w:hAnsi="仿宋_GB2312" w:eastAsia="仿宋_GB2312"/>
          <w:color w:val="000000"/>
          <w:sz w:val="32"/>
          <w:szCs w:val="24"/>
          <w:lang w:val="en-US"/>
        </w:rPr>
        <w:t>（款）其他社会保障和就业支出（项）：指反映除上述项目以外用于社会保障和就业方面的支出。</w:t>
      </w:r>
    </w:p>
    <w:p w14:paraId="4CC26814">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10.卫生健康支出（类）卫生健康管理事务（款）其他卫生健康管理事务支出（项）：指反映除上述项目外</w:t>
      </w:r>
      <w:r>
        <w:rPr>
          <w:rFonts w:hint="eastAsia" w:ascii="仿宋_GB2312" w:hAnsi="仿宋_GB2312" w:eastAsia="仿宋_GB2312"/>
          <w:color w:val="000000"/>
          <w:sz w:val="32"/>
          <w:szCs w:val="24"/>
          <w:lang w:val="en-US" w:eastAsia="zh-CN"/>
        </w:rPr>
        <w:t>其他</w:t>
      </w:r>
      <w:r>
        <w:rPr>
          <w:rFonts w:hint="eastAsia" w:ascii="仿宋_GB2312" w:hAnsi="仿宋_GB2312" w:eastAsia="仿宋_GB2312"/>
          <w:color w:val="000000"/>
          <w:sz w:val="32"/>
          <w:szCs w:val="24"/>
          <w:lang w:val="en-US"/>
        </w:rPr>
        <w:t>健康卫生管理事务方面的支出。</w:t>
      </w:r>
    </w:p>
    <w:p w14:paraId="73BB8330">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11.卫生健康支出（类）基层医疗卫生机构（款）乡镇卫生院（项）：指反映乡镇卫生院的支出。</w:t>
      </w:r>
    </w:p>
    <w:p w14:paraId="4F02E956">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12.卫生健康支出（类）行政事业单位医疗（款）事业单位医疗（项）：指反映财政部门安排的事业单位基本医疗保险缴费经费，未参加医疗保险的事业单位的公费医疗经费，按国家规定享受离休人员待遇的医疗经费。</w:t>
      </w:r>
    </w:p>
    <w:p w14:paraId="1910FD9A">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13.卫生健康支出（类）行政事业单位医疗（款）公务员医疗补助（项）：反映财政部门安排的公务员医疗补助经费。</w:t>
      </w:r>
    </w:p>
    <w:p w14:paraId="4902B2C6">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14.住房保障支出（类）住房改革支出（款）住房公积金（项）：指反映行政事业单位按人力资源和社会保障部、财政部规定的基本工资和津贴补贴以及规定比例为职工缴纳的住房公积金。</w:t>
      </w:r>
    </w:p>
    <w:p w14:paraId="6E90E48B">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15.基本支出：指为保障机构正常运转、完成日常工作任务而发生的人员支出和公用支出。</w:t>
      </w:r>
    </w:p>
    <w:p w14:paraId="2585DCAC">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16.项目支出：指在基本支出之外为完成特定行政任务和事业发展目标所发生的支出。 </w:t>
      </w:r>
    </w:p>
    <w:p w14:paraId="12303037">
      <w:pPr>
        <w:pStyle w:val="25"/>
        <w:spacing w:line="560" w:lineRule="exact"/>
        <w:ind w:firstLine="640" w:firstLineChars="200"/>
        <w:rPr>
          <w:rFonts w:ascii="仿宋_GB2312" w:eastAsia="仿宋_GB2312"/>
          <w:color w:val="auto"/>
          <w:sz w:val="32"/>
          <w:szCs w:val="32"/>
        </w:rPr>
      </w:pPr>
      <w:r>
        <w:rPr>
          <w:rFonts w:hint="eastAsia" w:ascii="仿宋_GB2312" w:hAnsi="仿宋_GB2312" w:eastAsia="仿宋_GB2312"/>
          <w:color w:val="000000"/>
          <w:sz w:val="32"/>
          <w:szCs w:val="24"/>
          <w:lang w:val="en-US"/>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75E0746C">
      <w:pPr>
        <w:pStyle w:val="25"/>
        <w:spacing w:line="560" w:lineRule="exact"/>
        <w:ind w:firstLine="640" w:firstLineChars="200"/>
        <w:rPr>
          <w:rFonts w:ascii="仿宋_GB2312" w:eastAsia="仿宋_GB2312" w:cs="黑体"/>
          <w:color w:val="auto"/>
          <w:sz w:val="32"/>
          <w:szCs w:val="32"/>
        </w:rPr>
      </w:pPr>
    </w:p>
    <w:p w14:paraId="7B57CDB3">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5396614"/>
      <w:bookmarkStart w:id="74" w:name="_Toc11113"/>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2EFBCD49">
      <w:pPr>
        <w:spacing w:line="572" w:lineRule="exact"/>
        <w:jc w:val="left"/>
        <w:outlineLvl w:val="9"/>
        <w:rPr>
          <w:rFonts w:ascii="仿宋_GB2312" w:hAnsi="仿宋_GB2312" w:eastAsia="仿宋_GB2312" w:cs="仿宋_GB2312"/>
          <w:sz w:val="32"/>
          <w:szCs w:val="32"/>
        </w:rPr>
      </w:pPr>
    </w:p>
    <w:p w14:paraId="1259A70A">
      <w:pPr>
        <w:spacing w:line="600" w:lineRule="exact"/>
        <w:jc w:val="center"/>
        <w:outlineLvl w:val="1"/>
        <w:rPr>
          <w:rFonts w:ascii="黑体" w:hAnsi="黑体" w:eastAsia="黑体"/>
          <w:color w:val="FF0000"/>
          <w:sz w:val="44"/>
          <w:szCs w:val="44"/>
        </w:rPr>
      </w:pPr>
      <w:bookmarkStart w:id="75" w:name="_Toc6932"/>
      <w:bookmarkStart w:id="76" w:name="_Toc15396618"/>
      <w:r>
        <w:rPr>
          <w:rFonts w:hint="eastAsia"/>
          <w:sz w:val="32"/>
          <w:szCs w:val="32"/>
        </w:rPr>
        <w:t>部门预算项目支出绩效自评表（2023年度）</w:t>
      </w:r>
      <w:bookmarkEnd w:id="75"/>
    </w:p>
    <w:p w14:paraId="6CCB5AD2">
      <w:pPr>
        <w:pStyle w:val="13"/>
        <w:spacing w:line="560" w:lineRule="exact"/>
        <w:ind w:left="0" w:leftChars="0" w:firstLine="640"/>
        <w:rPr>
          <w:sz w:val="32"/>
        </w:rPr>
      </w:pPr>
    </w:p>
    <w:p w14:paraId="7D11212C">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64D50EC4">
      <w:pPr>
        <w:pStyle w:val="2"/>
        <w:spacing w:before="93"/>
        <w:rPr>
          <w:rFonts w:hAnsi="Calibri" w:cs="仿宋"/>
          <w:sz w:val="32"/>
          <w:szCs w:val="32"/>
        </w:rPr>
      </w:pPr>
    </w:p>
    <w:p w14:paraId="270B4792">
      <w:pPr>
        <w:pStyle w:val="2"/>
        <w:spacing w:before="93"/>
        <w:rPr>
          <w:rFonts w:hAnsi="Calibri" w:cs="仿宋"/>
          <w:sz w:val="32"/>
          <w:szCs w:val="32"/>
        </w:rPr>
      </w:pPr>
    </w:p>
    <w:p w14:paraId="59BCBD88">
      <w:pPr>
        <w:pStyle w:val="2"/>
        <w:spacing w:before="93"/>
        <w:rPr>
          <w:rFonts w:hAnsi="Calibri" w:cs="仿宋"/>
          <w:sz w:val="32"/>
          <w:szCs w:val="32"/>
        </w:rPr>
      </w:pPr>
    </w:p>
    <w:p w14:paraId="38A1D3A8">
      <w:pPr>
        <w:pStyle w:val="2"/>
        <w:spacing w:before="93"/>
        <w:rPr>
          <w:rFonts w:hAnsi="Calibri" w:cs="仿宋"/>
          <w:sz w:val="32"/>
          <w:szCs w:val="32"/>
        </w:rPr>
      </w:pPr>
    </w:p>
    <w:p w14:paraId="293EE0EA">
      <w:pPr>
        <w:pStyle w:val="2"/>
        <w:spacing w:before="93"/>
        <w:rPr>
          <w:rFonts w:hAnsi="Calibri" w:cs="仿宋"/>
          <w:sz w:val="32"/>
          <w:szCs w:val="32"/>
        </w:rPr>
      </w:pPr>
    </w:p>
    <w:p w14:paraId="3B4B2074">
      <w:pPr>
        <w:pStyle w:val="2"/>
        <w:spacing w:before="93"/>
        <w:rPr>
          <w:rFonts w:hAnsi="Calibri" w:cs="仿宋"/>
          <w:sz w:val="32"/>
          <w:szCs w:val="32"/>
        </w:rPr>
      </w:pPr>
    </w:p>
    <w:p w14:paraId="2A283715">
      <w:pPr>
        <w:pStyle w:val="2"/>
        <w:spacing w:before="93"/>
        <w:rPr>
          <w:rFonts w:hAnsi="Calibri" w:cs="仿宋"/>
          <w:sz w:val="32"/>
          <w:szCs w:val="32"/>
        </w:rPr>
      </w:pPr>
    </w:p>
    <w:p w14:paraId="06405404">
      <w:pPr>
        <w:pStyle w:val="2"/>
        <w:spacing w:before="93"/>
        <w:rPr>
          <w:rFonts w:hAnsi="Calibri" w:cs="仿宋"/>
          <w:sz w:val="32"/>
          <w:szCs w:val="32"/>
        </w:rPr>
      </w:pPr>
    </w:p>
    <w:p w14:paraId="6A6FF6B7">
      <w:pPr>
        <w:pStyle w:val="2"/>
        <w:spacing w:before="93"/>
        <w:rPr>
          <w:rFonts w:hAnsi="Calibri" w:cs="仿宋"/>
          <w:sz w:val="32"/>
          <w:szCs w:val="32"/>
        </w:rPr>
      </w:pPr>
    </w:p>
    <w:p w14:paraId="77C0C9C3">
      <w:pPr>
        <w:pStyle w:val="2"/>
        <w:spacing w:before="93"/>
        <w:rPr>
          <w:rFonts w:hAnsi="Calibri" w:cs="仿宋"/>
          <w:sz w:val="32"/>
          <w:szCs w:val="32"/>
        </w:rPr>
      </w:pPr>
    </w:p>
    <w:p w14:paraId="13AA9E04">
      <w:pPr>
        <w:pStyle w:val="2"/>
        <w:spacing w:before="93"/>
        <w:rPr>
          <w:rFonts w:hAnsi="Calibri" w:cs="仿宋"/>
          <w:sz w:val="32"/>
          <w:szCs w:val="32"/>
        </w:rPr>
      </w:pPr>
    </w:p>
    <w:p w14:paraId="691A90F0">
      <w:pPr>
        <w:pStyle w:val="2"/>
        <w:spacing w:before="93"/>
        <w:rPr>
          <w:rFonts w:hAnsi="Calibri" w:cs="仿宋"/>
          <w:sz w:val="32"/>
          <w:szCs w:val="32"/>
        </w:rPr>
      </w:pPr>
    </w:p>
    <w:p w14:paraId="0D565F9E">
      <w:pPr>
        <w:pStyle w:val="2"/>
        <w:spacing w:before="93"/>
        <w:rPr>
          <w:rFonts w:hAnsi="Calibri" w:cs="仿宋"/>
          <w:sz w:val="32"/>
          <w:szCs w:val="32"/>
        </w:rPr>
      </w:pPr>
    </w:p>
    <w:p w14:paraId="7A300A18">
      <w:pPr>
        <w:spacing w:line="600" w:lineRule="exact"/>
        <w:jc w:val="center"/>
        <w:outlineLvl w:val="0"/>
        <w:rPr>
          <w:rFonts w:ascii="仿宋" w:hAnsi="仿宋" w:eastAsia="仿宋"/>
        </w:rPr>
      </w:pPr>
      <w:bookmarkStart w:id="77" w:name="_Toc14321"/>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6B97587B">
      <w:pPr>
        <w:pStyle w:val="4"/>
        <w:rPr>
          <w:rFonts w:ascii="仿宋" w:hAnsi="仿宋" w:eastAsia="仿宋"/>
        </w:rPr>
      </w:pPr>
      <w:bookmarkStart w:id="79" w:name="_Toc16299"/>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22AFBA0C">
      <w:pPr>
        <w:pStyle w:val="4"/>
        <w:rPr>
          <w:rFonts w:ascii="仿宋" w:hAnsi="仿宋" w:eastAsia="仿宋"/>
        </w:rPr>
      </w:pPr>
      <w:bookmarkStart w:id="80" w:name="_Toc26554"/>
      <w:bookmarkStart w:id="81" w:name="_Toc15396620"/>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2B5388EB">
      <w:pPr>
        <w:pStyle w:val="4"/>
        <w:rPr>
          <w:rFonts w:ascii="仿宋" w:hAnsi="仿宋" w:eastAsia="仿宋"/>
        </w:rPr>
      </w:pPr>
      <w:bookmarkStart w:id="82" w:name="_Toc15396621"/>
      <w:bookmarkStart w:id="83" w:name="_Toc25412"/>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0DFD3AAA">
      <w:pPr>
        <w:pStyle w:val="4"/>
        <w:rPr>
          <w:rFonts w:ascii="仿宋" w:hAnsi="仿宋" w:eastAsia="仿宋"/>
          <w:b w:val="0"/>
        </w:rPr>
      </w:pPr>
      <w:bookmarkStart w:id="84" w:name="_Toc16690"/>
      <w:bookmarkStart w:id="8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0AA681D0">
      <w:pPr>
        <w:pStyle w:val="4"/>
        <w:rPr>
          <w:rStyle w:val="28"/>
          <w:rFonts w:ascii="仿宋" w:hAnsi="仿宋" w:eastAsia="仿宋"/>
          <w:b w:val="0"/>
          <w:bCs w:val="0"/>
        </w:rPr>
      </w:pPr>
      <w:bookmarkStart w:id="86" w:name="_Toc29367"/>
      <w:bookmarkStart w:id="87"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66A34D85">
      <w:pPr>
        <w:pStyle w:val="4"/>
        <w:rPr>
          <w:rFonts w:ascii="仿宋" w:hAnsi="仿宋" w:eastAsia="仿宋"/>
        </w:rPr>
      </w:pPr>
      <w:bookmarkStart w:id="89" w:name="_Toc1383"/>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4B08758A">
      <w:pPr>
        <w:pStyle w:val="4"/>
        <w:rPr>
          <w:rFonts w:ascii="仿宋" w:hAnsi="仿宋" w:eastAsia="仿宋"/>
        </w:rPr>
      </w:pPr>
      <w:bookmarkStart w:id="90" w:name="_Toc31755"/>
      <w:bookmarkStart w:id="91"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56592975">
      <w:pPr>
        <w:pStyle w:val="4"/>
        <w:rPr>
          <w:rFonts w:ascii="仿宋" w:hAnsi="仿宋" w:eastAsia="仿宋"/>
        </w:rPr>
      </w:pPr>
      <w:bookmarkStart w:id="92" w:name="_Toc15396626"/>
      <w:bookmarkStart w:id="93" w:name="_Toc24241"/>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69DA5DD0">
      <w:pPr>
        <w:pStyle w:val="4"/>
        <w:rPr>
          <w:rFonts w:ascii="仿宋" w:hAnsi="仿宋" w:eastAsia="仿宋"/>
        </w:rPr>
      </w:pPr>
      <w:bookmarkStart w:id="94" w:name="_Toc11003"/>
      <w:bookmarkStart w:id="9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147F59DC">
      <w:pPr>
        <w:pStyle w:val="4"/>
        <w:rPr>
          <w:rFonts w:ascii="仿宋" w:hAnsi="仿宋" w:eastAsia="仿宋"/>
        </w:rPr>
      </w:pPr>
      <w:bookmarkStart w:id="96" w:name="_Toc15396628"/>
      <w:bookmarkStart w:id="97" w:name="_Toc20891"/>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6C7C622D">
      <w:pPr>
        <w:pStyle w:val="4"/>
        <w:rPr>
          <w:rFonts w:ascii="仿宋" w:hAnsi="仿宋" w:eastAsia="仿宋"/>
        </w:rPr>
      </w:pPr>
      <w:bookmarkStart w:id="98" w:name="_Toc15396629"/>
      <w:bookmarkStart w:id="99" w:name="_Toc17081"/>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73BA803D">
      <w:pPr>
        <w:pStyle w:val="4"/>
        <w:rPr>
          <w:rFonts w:ascii="仿宋" w:hAnsi="仿宋" w:eastAsia="仿宋"/>
        </w:rPr>
      </w:pPr>
      <w:bookmarkStart w:id="100" w:name="_Toc15396630"/>
      <w:bookmarkStart w:id="101" w:name="_Toc27153"/>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51ACABC9">
      <w:pPr>
        <w:pStyle w:val="4"/>
        <w:rPr>
          <w:rFonts w:eastAsia="仿宋"/>
        </w:rPr>
      </w:pPr>
      <w:bookmarkStart w:id="102" w:name="_Toc15396631"/>
      <w:bookmarkStart w:id="103" w:name="_Toc18142"/>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3BBA51C">
        <w:pPr>
          <w:pStyle w:val="9"/>
          <w:jc w:val="center"/>
        </w:pPr>
        <w:r>
          <w:fldChar w:fldCharType="begin"/>
        </w:r>
        <w:r>
          <w:instrText xml:space="preserve">PAGE   \* MERGEFORMAT</w:instrText>
        </w:r>
        <w:r>
          <w:fldChar w:fldCharType="separate"/>
        </w:r>
        <w:r>
          <w:rPr>
            <w:lang w:val="zh-CN"/>
          </w:rPr>
          <w:t>15</w:t>
        </w:r>
        <w:r>
          <w:fldChar w:fldCharType="end"/>
        </w:r>
      </w:p>
    </w:sdtContent>
  </w:sdt>
  <w:p w14:paraId="7007CB5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4E2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4F77909"/>
    <w:rsid w:val="25711CC6"/>
    <w:rsid w:val="25C741E6"/>
    <w:rsid w:val="276F80C0"/>
    <w:rsid w:val="27842671"/>
    <w:rsid w:val="29FD04D3"/>
    <w:rsid w:val="2ABE7A3E"/>
    <w:rsid w:val="2AFF09B6"/>
    <w:rsid w:val="2CA234A8"/>
    <w:rsid w:val="2EFA178C"/>
    <w:rsid w:val="2EFDF86C"/>
    <w:rsid w:val="2F9D17E1"/>
    <w:rsid w:val="30B46D73"/>
    <w:rsid w:val="319F7F4E"/>
    <w:rsid w:val="32004ED1"/>
    <w:rsid w:val="332E4439"/>
    <w:rsid w:val="356A28F1"/>
    <w:rsid w:val="357C035A"/>
    <w:rsid w:val="368E000D"/>
    <w:rsid w:val="383D272C"/>
    <w:rsid w:val="39AE70AB"/>
    <w:rsid w:val="3A4DCE41"/>
    <w:rsid w:val="3B677E47"/>
    <w:rsid w:val="3BCB56FA"/>
    <w:rsid w:val="3C0C0783"/>
    <w:rsid w:val="3EE7C2F4"/>
    <w:rsid w:val="3F371B56"/>
    <w:rsid w:val="3F792ED8"/>
    <w:rsid w:val="3F9F3A96"/>
    <w:rsid w:val="3FECA4B2"/>
    <w:rsid w:val="3FF58C48"/>
    <w:rsid w:val="42CD60D4"/>
    <w:rsid w:val="42FF6694"/>
    <w:rsid w:val="48976976"/>
    <w:rsid w:val="48BF60AB"/>
    <w:rsid w:val="493C27E9"/>
    <w:rsid w:val="496F39ED"/>
    <w:rsid w:val="49FF41D3"/>
    <w:rsid w:val="4BE068DB"/>
    <w:rsid w:val="4BF6002B"/>
    <w:rsid w:val="4BFFC6BE"/>
    <w:rsid w:val="4ECE2238"/>
    <w:rsid w:val="51C953C2"/>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8DD7DAE"/>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uiPriority w:val="0"/>
    <w:pPr>
      <w:ind w:leftChars="0"/>
    </w:pPr>
    <w:rPr>
      <w:rFonts w:asciiTheme="minorHAnsi" w:hAnsiTheme="minorHAnsi" w:eastAsiaTheme="minorEastAsia" w:cstheme="minorBidi"/>
      <w:sz w:val="20"/>
      <w:szCs w:val="20"/>
    </w:rPr>
  </w:style>
  <w:style w:type="paragraph" w:customStyle="1" w:styleId="34">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4725</Words>
  <Characters>5106</Characters>
  <Lines>54</Lines>
  <Paragraphs>15</Paragraphs>
  <TotalTime>3</TotalTime>
  <ScaleCrop>false</ScaleCrop>
  <LinksUpToDate>false</LinksUpToDate>
  <CharactersWithSpaces>5222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2024-10-24T03:45:14Z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E358018961264AF0A3D02734DA34CDC6_12</vt:lpwstr>
  </property>
</Properties>
</file>