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DAB94">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425"/>
      <w:bookmarkStart w:id="2" w:name="_Toc15306267"/>
      <w:bookmarkStart w:id="3" w:name="_Toc15378441"/>
      <w:bookmarkStart w:id="4" w:name="_Toc15377193"/>
      <w:bookmarkStart w:id="5" w:name="_Toc15396597"/>
    </w:p>
    <w:p w14:paraId="22B05E89">
      <w:pPr>
        <w:pStyle w:val="5"/>
        <w:rPr>
          <w:rFonts w:hint="eastAsia" w:ascii="Times New Roman" w:hAnsi="Times New Roman" w:eastAsia="方正小标宋简体" w:cs="Times New Roman"/>
          <w:color w:val="auto"/>
          <w:kern w:val="2"/>
          <w:sz w:val="72"/>
          <w:szCs w:val="72"/>
          <w:highlight w:val="none"/>
          <w:lang w:val="en-US" w:eastAsia="zh-CN" w:bidi="ar-SA"/>
        </w:rPr>
      </w:pPr>
    </w:p>
    <w:p w14:paraId="7DF506C6">
      <w:pPr>
        <w:pStyle w:val="5"/>
        <w:rPr>
          <w:rFonts w:hint="eastAsia" w:ascii="Times New Roman" w:hAnsi="Times New Roman" w:eastAsia="方正小标宋简体" w:cs="Times New Roman"/>
          <w:color w:val="auto"/>
          <w:kern w:val="2"/>
          <w:sz w:val="72"/>
          <w:szCs w:val="72"/>
          <w:highlight w:val="none"/>
          <w:lang w:val="en-US" w:eastAsia="zh-CN" w:bidi="ar-SA"/>
        </w:rPr>
      </w:pPr>
    </w:p>
    <w:p w14:paraId="33ADF87E">
      <w:pPr>
        <w:pStyle w:val="5"/>
        <w:rPr>
          <w:rFonts w:hint="eastAsia" w:ascii="Times New Roman" w:hAnsi="Times New Roman" w:eastAsia="方正小标宋简体" w:cs="Times New Roman"/>
          <w:color w:val="auto"/>
          <w:kern w:val="2"/>
          <w:sz w:val="72"/>
          <w:szCs w:val="72"/>
          <w:highlight w:val="none"/>
          <w:lang w:val="en-US" w:eastAsia="zh-CN" w:bidi="ar-SA"/>
        </w:rPr>
      </w:pPr>
    </w:p>
    <w:p w14:paraId="43C6D36B">
      <w:pPr>
        <w:pStyle w:val="5"/>
        <w:rPr>
          <w:rFonts w:hint="eastAsia" w:ascii="Times New Roman" w:hAnsi="Times New Roman" w:eastAsia="方正小标宋简体" w:cs="Times New Roman"/>
          <w:color w:val="auto"/>
          <w:kern w:val="2"/>
          <w:sz w:val="44"/>
          <w:szCs w:val="44"/>
          <w:highlight w:val="none"/>
          <w:lang w:val="en-US" w:eastAsia="zh-CN" w:bidi="ar-SA"/>
        </w:rPr>
      </w:pPr>
    </w:p>
    <w:p w14:paraId="0C36E5E6">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p>
    <w:p w14:paraId="49C39E2D">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四川省峨边彝族自治县杨河乡中心小学</w:t>
      </w:r>
    </w:p>
    <w:p w14:paraId="2829007E">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w:t>
      </w:r>
    </w:p>
    <w:p w14:paraId="481E0809">
      <w:pPr>
        <w:spacing w:line="600" w:lineRule="exact"/>
        <w:jc w:val="center"/>
        <w:outlineLvl w:val="0"/>
        <w:rPr>
          <w:rFonts w:ascii="Times New Roman" w:hAnsi="Times New Roman" w:eastAsia="方正小标宋简体"/>
          <w:color w:val="auto"/>
          <w:sz w:val="72"/>
          <w:szCs w:val="72"/>
          <w:highlight w:val="none"/>
        </w:rPr>
      </w:pPr>
    </w:p>
    <w:p w14:paraId="25788924">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28CD2132">
      <w:pPr>
        <w:rPr>
          <w:rFonts w:ascii="Times New Roman" w:hAnsi="Times New Roman"/>
        </w:rPr>
      </w:pPr>
    </w:p>
    <w:bookmarkEnd w:id="0"/>
    <w:bookmarkEnd w:id="1"/>
    <w:bookmarkEnd w:id="2"/>
    <w:bookmarkEnd w:id="3"/>
    <w:bookmarkEnd w:id="4"/>
    <w:bookmarkEnd w:id="5"/>
    <w:p w14:paraId="56B93F92">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14:paraId="1FB63767">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6CDFF114">
      <w:pPr>
        <w:rPr>
          <w:rFonts w:ascii="Times New Roman" w:hAnsi="Times New Roman"/>
          <w:color w:val="auto"/>
          <w:highlight w:val="none"/>
        </w:rPr>
      </w:pPr>
    </w:p>
    <w:p w14:paraId="62CB2C77">
      <w:pPr>
        <w:pStyle w:val="12"/>
        <w:keepNext w:val="0"/>
        <w:keepLines w:val="0"/>
        <w:pageBreakBefore w:val="0"/>
        <w:tabs>
          <w:tab w:val="left" w:leader="middleDot" w:pos="9450"/>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4E48824E">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 xml:space="preserve">4 </w:t>
      </w:r>
    </w:p>
    <w:p w14:paraId="6444EA32">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14BAF7B4">
      <w:pPr>
        <w:pStyle w:val="12"/>
        <w:keepNext w:val="0"/>
        <w:keepLines w:val="0"/>
        <w:pageBreakBefore w:val="0"/>
        <w:tabs>
          <w:tab w:val="left" w:leader="middleDot" w:pos="9450"/>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57A3803D">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5AB27A32">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50B49504">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7D837AAB">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685F8441">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3D2BDF72">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4AEEFBC9">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27480AFF">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371A5600">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6E335C42">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2305DBDC">
      <w:pPr>
        <w:pStyle w:val="12"/>
        <w:keepNext w:val="0"/>
        <w:keepLines w:val="0"/>
        <w:pageBreakBefore w:val="0"/>
        <w:tabs>
          <w:tab w:val="left" w:leader="middleDot" w:pos="9450"/>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15</w:t>
      </w:r>
    </w:p>
    <w:p w14:paraId="49EDCB36">
      <w:pPr>
        <w:pStyle w:val="12"/>
        <w:keepNext w:val="0"/>
        <w:keepLines w:val="0"/>
        <w:pageBreakBefore w:val="0"/>
        <w:tabs>
          <w:tab w:val="left" w:leader="middleDot" w:pos="945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18</w:t>
      </w:r>
    </w:p>
    <w:p w14:paraId="52029A1F">
      <w:pPr>
        <w:pStyle w:val="12"/>
        <w:keepNext w:val="0"/>
        <w:keepLines w:val="0"/>
        <w:pageBreakBefore w:val="0"/>
        <w:tabs>
          <w:tab w:val="left" w:leader="middleDot" w:pos="945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22</w:t>
      </w:r>
    </w:p>
    <w:p w14:paraId="077DA579">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074566A7">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0A31A50E">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642D7E3F">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0A788E35">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1C63324C">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6D437F45">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2733A7FB">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698454F0">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12AE26A6">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0C3FCD97">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60F31CEF">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3E9631AB">
      <w:pPr>
        <w:pStyle w:val="14"/>
        <w:keepNext w:val="0"/>
        <w:keepLines w:val="0"/>
        <w:pageBreakBefore w:val="0"/>
        <w:widowControl w:val="0"/>
        <w:tabs>
          <w:tab w:val="left" w:leader="middleDot" w:pos="945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22</w:t>
      </w:r>
    </w:p>
    <w:p w14:paraId="2446F47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5A329B00">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1483ABAD">
      <w:pPr>
        <w:pStyle w:val="2"/>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22E0984C">
      <w:pPr>
        <w:pStyle w:val="3"/>
        <w:keepNext/>
        <w:keepLines/>
        <w:pageBreakBefore w:val="0"/>
        <w:widowControl w:val="0"/>
        <w:numPr>
          <w:ilvl w:val="0"/>
          <w:numId w:val="1"/>
        </w:numPr>
        <w:kinsoku/>
        <w:wordWrap/>
        <w:overflowPunct/>
        <w:topLinePunct w:val="0"/>
        <w:autoSpaceDE/>
        <w:autoSpaceDN/>
        <w:bidi w:val="0"/>
        <w:adjustRightInd/>
        <w:snapToGrid/>
        <w:spacing w:line="416" w:lineRule="auto"/>
        <w:ind w:firstLine="640" w:firstLineChars="200"/>
        <w:textAlignment w:val="auto"/>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68197B3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宣传贯彻执行党和国家教育方针、政策和</w:t>
      </w:r>
      <w:r>
        <w:rPr>
          <w:rFonts w:hint="eastAsia" w:ascii="仿宋" w:hAnsi="仿宋" w:eastAsia="仿宋" w:cs="仿宋"/>
          <w:sz w:val="32"/>
          <w:szCs w:val="32"/>
          <w:lang w:eastAsia="zh-CN"/>
        </w:rPr>
        <w:t>法律法规</w:t>
      </w:r>
      <w:r>
        <w:rPr>
          <w:rFonts w:hint="eastAsia" w:ascii="仿宋" w:hAnsi="仿宋" w:eastAsia="仿宋" w:cs="仿宋"/>
          <w:sz w:val="32"/>
          <w:szCs w:val="32"/>
        </w:rPr>
        <w:t>，坚持依法治校，贯彻执行县教育局的行政规章制度。</w:t>
      </w:r>
    </w:p>
    <w:p w14:paraId="3A90097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配合县、乡人民政府制定符合党的教育方针和国家教育分类法规以及本校实际的教育发展规划和学校布局调整规划，并落地落实。</w:t>
      </w:r>
    </w:p>
    <w:p w14:paraId="14B5C53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配合各级人民政府依法动员、组织适龄儿童入学，严格控辍保学，推进普及义务教育。</w:t>
      </w:r>
    </w:p>
    <w:p w14:paraId="761DE44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组织开展本校的教育教学科研和教育教学改革，坚持科研兴教。</w:t>
      </w:r>
      <w:r>
        <w:rPr>
          <w:rFonts w:hint="eastAsia" w:ascii="仿宋" w:hAnsi="仿宋" w:eastAsia="仿宋" w:cs="仿宋"/>
          <w:sz w:val="32"/>
          <w:szCs w:val="32"/>
          <w:lang w:eastAsia="zh-CN"/>
        </w:rPr>
        <w:t>负责</w:t>
      </w:r>
      <w:r>
        <w:rPr>
          <w:rFonts w:hint="eastAsia" w:ascii="仿宋" w:hAnsi="仿宋" w:eastAsia="仿宋" w:cs="仿宋"/>
          <w:sz w:val="32"/>
          <w:szCs w:val="32"/>
        </w:rPr>
        <w:t>本校的教育教学管理，按照义务教育课程计划，开足、开齐课程，全面推进素质教育。</w:t>
      </w:r>
    </w:p>
    <w:p w14:paraId="40AFC63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按照干部、教师管理权限和规定，负责本校教师人事管理、继续教育、培养培训、职称评聘、考核考评等工作。</w:t>
      </w:r>
    </w:p>
    <w:p w14:paraId="76838C8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负责本校财务和基建管理工作，改善办学条件等工作；负责全体教职工五险基数申报和工资发放。</w:t>
      </w:r>
    </w:p>
    <w:p w14:paraId="78EC9EA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立德树人、质量兴校，负责“移风易俗、小手拉大手”宣传教育工作。</w:t>
      </w:r>
    </w:p>
    <w:p w14:paraId="5C26B4C2">
      <w:pPr>
        <w:spacing w:line="360" w:lineRule="auto"/>
        <w:ind w:firstLine="640" w:firstLineChars="200"/>
        <w:rPr>
          <w:rFonts w:hint="eastAsia"/>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承办县、乡镇部门交办的其他事项。</w:t>
      </w:r>
    </w:p>
    <w:p w14:paraId="718C43D9">
      <w:pPr>
        <w:pStyle w:val="3"/>
        <w:keepNext/>
        <w:keepLines/>
        <w:pageBreakBefore w:val="0"/>
        <w:widowControl w:val="0"/>
        <w:kinsoku/>
        <w:wordWrap/>
        <w:overflowPunct/>
        <w:topLinePunct w:val="0"/>
        <w:autoSpaceDE/>
        <w:autoSpaceDN/>
        <w:bidi w:val="0"/>
        <w:adjustRightInd/>
        <w:snapToGrid/>
        <w:spacing w:line="416" w:lineRule="auto"/>
        <w:ind w:firstLine="640" w:firstLineChars="200"/>
        <w:textAlignment w:val="auto"/>
        <w:rPr>
          <w:rStyle w:val="29"/>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8"/>
      <w:bookmarkEnd w:id="9"/>
    </w:p>
    <w:p w14:paraId="77E8F2F4">
      <w:pPr>
        <w:pStyle w:val="3"/>
        <w:numPr>
          <w:ilvl w:val="0"/>
          <w:numId w:val="0"/>
        </w:num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峨边彝族自治县杨河乡中心小学下属二级</w:t>
      </w:r>
      <w:r>
        <w:rPr>
          <w:rFonts w:hint="eastAsia" w:ascii="仿宋" w:hAnsi="仿宋" w:eastAsia="仿宋" w:cs="仿宋"/>
          <w:b w:val="0"/>
          <w:bCs w:val="0"/>
          <w:color w:val="auto"/>
          <w:sz w:val="32"/>
          <w:szCs w:val="32"/>
          <w:highlight w:val="none"/>
          <w:lang w:eastAsia="zh-CN"/>
        </w:rPr>
        <w:t>预算</w:t>
      </w:r>
      <w:r>
        <w:rPr>
          <w:rFonts w:hint="eastAsia" w:ascii="仿宋" w:hAnsi="仿宋" w:eastAsia="仿宋" w:cs="仿宋"/>
          <w:b w:val="0"/>
          <w:bCs w:val="0"/>
          <w:color w:val="auto"/>
          <w:sz w:val="32"/>
          <w:szCs w:val="32"/>
          <w:highlight w:val="none"/>
        </w:rPr>
        <w:t>单位</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个，</w:t>
      </w:r>
      <w:r>
        <w:rPr>
          <w:rFonts w:hint="eastAsia" w:ascii="仿宋" w:hAnsi="仿宋" w:eastAsia="仿宋" w:cs="仿宋"/>
          <w:b w:val="0"/>
          <w:bCs w:val="0"/>
          <w:kern w:val="2"/>
          <w:sz w:val="32"/>
          <w:szCs w:val="32"/>
          <w:lang w:val="en-US" w:eastAsia="zh-CN" w:bidi="ar-SA"/>
        </w:rPr>
        <w:t>核定内设机构为：校长办、教务处、少队、安全办、德育处5个部门，</w:t>
      </w:r>
      <w:r>
        <w:rPr>
          <w:rFonts w:hint="eastAsia" w:ascii="仿宋" w:hAnsi="仿宋" w:eastAsia="仿宋" w:cs="仿宋"/>
          <w:b w:val="0"/>
          <w:bCs w:val="0"/>
          <w:sz w:val="32"/>
          <w:szCs w:val="32"/>
          <w:lang w:val="en-US" w:eastAsia="zh-CN"/>
        </w:rPr>
        <w:t>还</w:t>
      </w:r>
      <w:r>
        <w:rPr>
          <w:rFonts w:hint="eastAsia" w:ascii="仿宋" w:hAnsi="仿宋" w:eastAsia="仿宋" w:cs="仿宋"/>
          <w:b w:val="0"/>
          <w:bCs w:val="0"/>
          <w:sz w:val="32"/>
          <w:szCs w:val="32"/>
        </w:rPr>
        <w:t>含一村一幼</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个</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6个教学班</w:t>
      </w:r>
      <w:r>
        <w:rPr>
          <w:rFonts w:hint="eastAsia" w:ascii="仿宋" w:hAnsi="仿宋" w:eastAsia="仿宋" w:cs="仿宋"/>
          <w:b w:val="0"/>
          <w:bCs w:val="0"/>
          <w:sz w:val="32"/>
          <w:szCs w:val="32"/>
          <w:lang w:eastAsia="zh-CN"/>
        </w:rPr>
        <w:t>）</w:t>
      </w:r>
      <w:r>
        <w:rPr>
          <w:rFonts w:hint="eastAsia" w:ascii="仿宋" w:hAnsi="仿宋" w:eastAsia="仿宋" w:cs="仿宋"/>
          <w:b w:val="0"/>
          <w:bCs w:val="0"/>
          <w:color w:val="auto"/>
          <w:sz w:val="32"/>
          <w:szCs w:val="32"/>
          <w:highlight w:val="none"/>
        </w:rPr>
        <w:t>。</w:t>
      </w:r>
    </w:p>
    <w:p w14:paraId="57394E10">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8738D26">
      <w:pPr>
        <w:pStyle w:val="2"/>
        <w:jc w:val="center"/>
        <w:rPr>
          <w:rFonts w:ascii="Times New Roman" w:hAnsi="Times New Roman"/>
          <w:color w:val="auto"/>
          <w:highlight w:val="none"/>
        </w:rPr>
      </w:pPr>
      <w:bookmarkStart w:id="10" w:name="_Toc15377204"/>
      <w:bookmarkStart w:id="1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5647AFB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2"/>
      <w:bookmarkEnd w:id="13"/>
    </w:p>
    <w:p w14:paraId="7D5C46D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606.03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26.16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4.13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学生人数减少。</w:t>
      </w:r>
    </w:p>
    <w:p w14:paraId="1C241B9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77206"/>
      <w:bookmarkStart w:id="15" w:name="_Toc15396604"/>
      <w:r>
        <w:rPr>
          <w:rFonts w:hint="eastAsia" w:ascii="Times New Roman" w:hAnsi="Times New Roman" w:eastAsia="黑体"/>
          <w:color w:val="auto"/>
          <w:sz w:val="32"/>
          <w:szCs w:val="32"/>
          <w:highlight w:val="none"/>
          <w:lang w:eastAsia="zh-CN"/>
        </w:rPr>
        <w:drawing>
          <wp:anchor distT="0" distB="0" distL="114300" distR="114300" simplePos="0" relativeHeight="251663360" behindDoc="1" locked="0" layoutInCell="1" allowOverlap="1">
            <wp:simplePos x="0" y="0"/>
            <wp:positionH relativeFrom="column">
              <wp:posOffset>472440</wp:posOffset>
            </wp:positionH>
            <wp:positionV relativeFrom="paragraph">
              <wp:posOffset>12065</wp:posOffset>
            </wp:positionV>
            <wp:extent cx="5256530" cy="2988310"/>
            <wp:effectExtent l="5080" t="4445" r="11430" b="952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FA5323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27957E7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66B94D6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3AECE28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508A57C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6BE1CC8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0741CAA9">
      <w:pPr>
        <w:spacing w:line="600" w:lineRule="exact"/>
        <w:jc w:val="center"/>
        <w:rPr>
          <w:rFonts w:hint="eastAsia" w:ascii="仿宋" w:hAnsi="仿宋" w:eastAsia="仿宋"/>
          <w:color w:val="auto"/>
          <w:sz w:val="32"/>
          <w:szCs w:val="32"/>
          <w:highlight w:val="none"/>
        </w:rPr>
      </w:pPr>
    </w:p>
    <w:p w14:paraId="357564D8">
      <w:pPr>
        <w:spacing w:line="600" w:lineRule="exact"/>
        <w:jc w:val="center"/>
        <w:rPr>
          <w:rFonts w:hint="eastAsia" w:ascii="Times New Roman" w:hAnsi="Times New Roman" w:eastAsia="黑体"/>
          <w:color w:val="auto"/>
          <w:sz w:val="32"/>
          <w:szCs w:val="32"/>
          <w:highlight w:val="none"/>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2134B10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2DF06B9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14"/>
      <w:bookmarkEnd w:id="15"/>
    </w:p>
    <w:p w14:paraId="0CDED68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490.2万元，其中：一般公共预算财政拨款收入477.28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97.36</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12.92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w:t>
      </w:r>
    </w:p>
    <w:p w14:paraId="1D7BFF7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46D13C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A6FE5C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29F4E1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357505</wp:posOffset>
            </wp:positionH>
            <wp:positionV relativeFrom="paragraph">
              <wp:posOffset>-291465</wp:posOffset>
            </wp:positionV>
            <wp:extent cx="3954145" cy="2153920"/>
            <wp:effectExtent l="4445" t="4445" r="22860" b="1333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9988B7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6A32E2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E366B7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p>
    <w:p w14:paraId="358AE9C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Times New Roman" w:hAnsi="Times New Roman" w:eastAsia="仿宋_GB2312" w:cs="仿宋_GB2312"/>
          <w:color w:val="auto"/>
          <w:sz w:val="32"/>
          <w:szCs w:val="32"/>
          <w:highlight w:val="none"/>
          <w:lang w:eastAsia="zh-CN"/>
        </w:rPr>
      </w:pPr>
    </w:p>
    <w:p w14:paraId="2F4D2CD4">
      <w:pPr>
        <w:jc w:val="center"/>
        <w:rPr>
          <w:rFonts w:hint="eastAsia" w:ascii="Times New Roman" w:hAnsi="Times New Roman" w:eastAsia="黑体"/>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bookmarkStart w:id="16" w:name="_Toc15377207"/>
      <w:bookmarkStart w:id="17" w:name="_Toc15396605"/>
    </w:p>
    <w:p w14:paraId="0289B8A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6"/>
      <w:bookmarkEnd w:id="17"/>
    </w:p>
    <w:p w14:paraId="26DE60B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490.2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327.05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66.7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163.15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33.28</w:t>
      </w:r>
      <w:r>
        <w:rPr>
          <w:rFonts w:hint="eastAsia" w:ascii="仿宋_GB2312" w:hAnsi="仿宋_GB2312" w:eastAsia="仿宋_GB2312" w:cs="仿宋_GB2312"/>
          <w:color w:val="auto"/>
          <w:sz w:val="32"/>
          <w:szCs w:val="32"/>
          <w:highlight w:val="none"/>
          <w:lang w:eastAsia="zh-CN"/>
        </w:rPr>
        <w:t>%。</w:t>
      </w:r>
    </w:p>
    <w:p w14:paraId="6C872C1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60960</wp:posOffset>
            </wp:positionH>
            <wp:positionV relativeFrom="paragraph">
              <wp:posOffset>73025</wp:posOffset>
            </wp:positionV>
            <wp:extent cx="5256530" cy="2553970"/>
            <wp:effectExtent l="4445" t="4445" r="12065" b="1714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E554AE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74DA37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7ED7E9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626EAB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1BB5A3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72DA861">
      <w:pPr>
        <w:rPr>
          <w:rFonts w:hint="eastAsia" w:ascii="Times New Roman" w:hAnsi="Times New Roman" w:eastAsia="仿宋_GB2312" w:cs="仿宋_GB2312"/>
          <w:color w:val="auto"/>
          <w:sz w:val="32"/>
          <w:szCs w:val="32"/>
          <w:highlight w:val="none"/>
          <w:lang w:eastAsia="zh-CN"/>
        </w:rPr>
      </w:pPr>
    </w:p>
    <w:p w14:paraId="42567285">
      <w:pPr>
        <w:ind w:firstLine="2080" w:firstLineChars="650"/>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sz w:val="32"/>
          <w:szCs w:val="32"/>
          <w:highlight w:val="none"/>
          <w:lang w:eastAsia="zh-CN"/>
        </w:rPr>
        <w:t>（图3：支出决算结构图）</w:t>
      </w:r>
      <w:bookmarkStart w:id="18" w:name="_Toc15377208"/>
      <w:bookmarkStart w:id="19" w:name="_Toc15396606"/>
    </w:p>
    <w:p w14:paraId="0FF57F4C">
      <w:pPr>
        <w:spacing w:line="600" w:lineRule="exact"/>
        <w:ind w:firstLine="640" w:firstLineChars="20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8"/>
      <w:bookmarkEnd w:id="19"/>
    </w:p>
    <w:p w14:paraId="1ADA6DB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593.11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25.64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4.14</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学生人数减少。</w:t>
      </w:r>
    </w:p>
    <w:p w14:paraId="1ACF06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0E4C6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EB16CAE">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2336" behindDoc="1" locked="0" layoutInCell="1" allowOverlap="1">
            <wp:simplePos x="0" y="0"/>
            <wp:positionH relativeFrom="column">
              <wp:posOffset>-6350</wp:posOffset>
            </wp:positionH>
            <wp:positionV relativeFrom="paragraph">
              <wp:posOffset>-34290</wp:posOffset>
            </wp:positionV>
            <wp:extent cx="5256530" cy="2988310"/>
            <wp:effectExtent l="5080" t="4445" r="11430" b="952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D0FB2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3B07E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FE88B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8D758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2179792">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0AB8E5F">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D221FE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1F95ABC4">
      <w:pPr>
        <w:spacing w:line="600" w:lineRule="exact"/>
        <w:ind w:firstLine="640" w:firstLineChars="200"/>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bookmarkStart w:id="20" w:name="_Toc15377209"/>
      <w:bookmarkStart w:id="21" w:name="_Toc15396607"/>
    </w:p>
    <w:p w14:paraId="2F4B845F">
      <w:pPr>
        <w:spacing w:line="600" w:lineRule="exact"/>
        <w:ind w:firstLine="640" w:firstLineChars="20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0"/>
      <w:bookmarkEnd w:id="21"/>
    </w:p>
    <w:p w14:paraId="0CD2ED7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1F7BAE2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477.28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97.36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%。与2023年度相比，一般公共预算财政拨款支出减少25.64万元，下降5.10%。主要变动原因是学生人数减少。</w:t>
      </w:r>
    </w:p>
    <w:p w14:paraId="0568F24D">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5398C4C">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1312" behindDoc="1" locked="0" layoutInCell="1" allowOverlap="1">
            <wp:simplePos x="0" y="0"/>
            <wp:positionH relativeFrom="column">
              <wp:posOffset>274320</wp:posOffset>
            </wp:positionH>
            <wp:positionV relativeFrom="paragraph">
              <wp:posOffset>156845</wp:posOffset>
            </wp:positionV>
            <wp:extent cx="5256530" cy="3407410"/>
            <wp:effectExtent l="4445" t="4445" r="12065" b="1714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9C722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C1568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F4CC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CC577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0CFB7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4BE3D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8848BE9">
      <w:pPr>
        <w:spacing w:line="600" w:lineRule="exact"/>
        <w:ind w:firstLine="640"/>
        <w:rPr>
          <w:rFonts w:hint="eastAsia" w:ascii="Times New Roman" w:hAnsi="Times New Roman" w:eastAsia="楷体_GB2312" w:cs="楷体_GB2312"/>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bookmarkStart w:id="23" w:name="_Toc15377211"/>
    </w:p>
    <w:p w14:paraId="5FA98CF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401665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477.28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403.56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84.55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43.27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9.07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8.81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1.85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21.64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4.53</w:t>
      </w:r>
      <w:r>
        <w:rPr>
          <w:rFonts w:hint="eastAsia" w:ascii="Times New Roman" w:hAnsi="Times New Roman" w:eastAsia="仿宋_GB2312" w:cs="仿宋_GB2312"/>
          <w:color w:val="auto"/>
          <w:kern w:val="2"/>
          <w:sz w:val="32"/>
          <w:szCs w:val="32"/>
          <w:highlight w:val="none"/>
          <w:lang w:val="en-US" w:eastAsia="zh-CN" w:bidi="ar-SA"/>
        </w:rPr>
        <w:t>%；</w:t>
      </w:r>
    </w:p>
    <w:p w14:paraId="0C7385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723900</wp:posOffset>
            </wp:positionH>
            <wp:positionV relativeFrom="paragraph">
              <wp:posOffset>30480</wp:posOffset>
            </wp:positionV>
            <wp:extent cx="3727450" cy="2638425"/>
            <wp:effectExtent l="4445" t="4445" r="17145" b="889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A47F5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8B44E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7265C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6CE4A7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549A7B60">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42328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40710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4E56793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08760A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8460"/>
      <w:bookmarkStart w:id="26" w:name="_Toc15377444"/>
      <w:bookmarkStart w:id="2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477.28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54EEA5A5">
      <w:pPr>
        <w:spacing w:line="600" w:lineRule="exact"/>
        <w:ind w:firstLine="643" w:firstLineChars="200"/>
        <w:outlineLvl w:val="2"/>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1.</w:t>
      </w:r>
      <w:r>
        <w:rPr>
          <w:rStyle w:val="17"/>
          <w:rFonts w:hint="eastAsia" w:ascii="仿宋" w:hAnsi="仿宋" w:eastAsia="仿宋"/>
          <w:bCs/>
          <w:color w:val="000000"/>
          <w:sz w:val="32"/>
          <w:szCs w:val="32"/>
        </w:rPr>
        <w:t>教育</w:t>
      </w:r>
      <w:r>
        <w:rPr>
          <w:rStyle w:val="17"/>
          <w:rFonts w:hint="eastAsia" w:ascii="仿宋" w:hAnsi="仿宋" w:eastAsia="仿宋"/>
          <w:bCs/>
          <w:color w:val="000000"/>
          <w:sz w:val="32"/>
          <w:szCs w:val="32"/>
          <w:lang w:val="en-US" w:eastAsia="zh-CN"/>
        </w:rPr>
        <w:t>支出</w:t>
      </w:r>
      <w:r>
        <w:rPr>
          <w:rStyle w:val="17"/>
          <w:rFonts w:hint="eastAsia" w:ascii="仿宋" w:hAnsi="仿宋" w:eastAsia="仿宋"/>
          <w:bCs/>
          <w:color w:val="000000"/>
          <w:sz w:val="32"/>
          <w:szCs w:val="32"/>
        </w:rPr>
        <w:t>（类）普通教育（款）学前教育（项）</w:t>
      </w:r>
      <w:r>
        <w:rPr>
          <w:rStyle w:val="17"/>
          <w:rFonts w:hint="eastAsia" w:ascii="仿宋" w:hAnsi="仿宋" w:eastAsia="仿宋"/>
          <w:bCs/>
          <w:color w:val="000000"/>
          <w:sz w:val="32"/>
          <w:szCs w:val="32"/>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76.93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29F7F231">
      <w:pPr>
        <w:numPr>
          <w:ilvl w:val="0"/>
          <w:numId w:val="0"/>
        </w:numPr>
        <w:spacing w:line="600" w:lineRule="exact"/>
        <w:ind w:firstLine="643" w:firstLineChars="200"/>
        <w:rPr>
          <w:rStyle w:val="17"/>
          <w:rFonts w:hint="eastAsia" w:ascii="仿宋" w:hAnsi="仿宋" w:eastAsia="仿宋"/>
          <w:b w:val="0"/>
          <w:bCs/>
          <w:color w:val="000000"/>
          <w:sz w:val="32"/>
          <w:szCs w:val="32"/>
          <w:lang w:val="en-US" w:eastAsia="zh-CN"/>
        </w:rPr>
      </w:pPr>
      <w:r>
        <w:rPr>
          <w:rStyle w:val="17"/>
          <w:rFonts w:hint="eastAsia" w:ascii="仿宋" w:hAnsi="仿宋" w:eastAsia="仿宋"/>
          <w:bCs/>
          <w:color w:val="000000"/>
          <w:sz w:val="32"/>
          <w:szCs w:val="32"/>
          <w:lang w:val="en-US" w:eastAsia="zh-CN"/>
        </w:rPr>
        <w:t>2.</w:t>
      </w:r>
      <w:r>
        <w:rPr>
          <w:rStyle w:val="17"/>
          <w:rFonts w:hint="eastAsia" w:ascii="仿宋" w:hAnsi="仿宋" w:eastAsia="仿宋"/>
          <w:bCs/>
          <w:color w:val="000000"/>
          <w:sz w:val="32"/>
          <w:szCs w:val="32"/>
        </w:rPr>
        <w:t>教育</w:t>
      </w:r>
      <w:r>
        <w:rPr>
          <w:rStyle w:val="17"/>
          <w:rFonts w:hint="eastAsia" w:ascii="仿宋" w:hAnsi="仿宋" w:eastAsia="仿宋"/>
          <w:bCs/>
          <w:color w:val="000000"/>
          <w:sz w:val="32"/>
          <w:szCs w:val="32"/>
          <w:lang w:val="en-US" w:eastAsia="zh-CN"/>
        </w:rPr>
        <w:t>支出</w:t>
      </w:r>
      <w:r>
        <w:rPr>
          <w:rStyle w:val="17"/>
          <w:rFonts w:hint="eastAsia" w:ascii="仿宋" w:hAnsi="仿宋" w:eastAsia="仿宋"/>
          <w:bCs/>
          <w:color w:val="000000"/>
          <w:sz w:val="32"/>
          <w:szCs w:val="32"/>
        </w:rPr>
        <w:t>（类）普通教育（款）小学教育（项）</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326.63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000000"/>
          <w:sz w:val="32"/>
          <w:szCs w:val="32"/>
          <w:lang w:val="en-US" w:eastAsia="zh-CN"/>
        </w:rPr>
        <w:t>。</w:t>
      </w:r>
    </w:p>
    <w:p w14:paraId="5A33B5BB">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3.</w:t>
      </w:r>
      <w:r>
        <w:rPr>
          <w:rStyle w:val="17"/>
          <w:rFonts w:hint="eastAsia" w:ascii="仿宋" w:hAnsi="仿宋" w:eastAsia="仿宋"/>
          <w:bCs/>
          <w:color w:val="000000"/>
          <w:sz w:val="32"/>
          <w:szCs w:val="32"/>
        </w:rPr>
        <w:t>社会保障和就业</w:t>
      </w:r>
      <w:r>
        <w:rPr>
          <w:rStyle w:val="17"/>
          <w:rFonts w:hint="eastAsia" w:ascii="仿宋" w:hAnsi="仿宋" w:eastAsia="仿宋"/>
          <w:bCs/>
          <w:color w:val="000000"/>
          <w:sz w:val="32"/>
          <w:szCs w:val="32"/>
          <w:lang w:val="en-US" w:eastAsia="zh-CN"/>
        </w:rPr>
        <w:t>支出</w:t>
      </w:r>
      <w:r>
        <w:rPr>
          <w:rStyle w:val="17"/>
          <w:rFonts w:hint="eastAsia" w:ascii="仿宋" w:hAnsi="仿宋" w:eastAsia="仿宋"/>
          <w:bCs/>
          <w:color w:val="000000"/>
          <w:sz w:val="32"/>
          <w:szCs w:val="32"/>
        </w:rPr>
        <w:t>（类）行政事业单位养老支出（款）机关事业单位基本养老保险缴费支出（项）</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22.45</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41D2AD21">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4</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w:t>
      </w:r>
      <w:r>
        <w:rPr>
          <w:rStyle w:val="17"/>
          <w:rFonts w:hint="eastAsia" w:ascii="仿宋" w:hAnsi="仿宋" w:eastAsia="仿宋"/>
          <w:bCs/>
          <w:color w:val="000000"/>
          <w:sz w:val="32"/>
          <w:szCs w:val="32"/>
          <w:lang w:val="en-US" w:eastAsia="zh-CN"/>
        </w:rPr>
        <w:t>支出</w:t>
      </w:r>
      <w:r>
        <w:rPr>
          <w:rStyle w:val="17"/>
          <w:rFonts w:hint="eastAsia" w:ascii="仿宋" w:hAnsi="仿宋" w:eastAsia="仿宋"/>
          <w:bCs/>
          <w:color w:val="000000"/>
          <w:sz w:val="32"/>
          <w:szCs w:val="32"/>
        </w:rPr>
        <w:t>（类）行政事业单位养老支出（款）机关事业单位职业年金缴费支出（项）</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11.22</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45A25AD6">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5</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w:t>
      </w:r>
      <w:r>
        <w:rPr>
          <w:rStyle w:val="17"/>
          <w:rFonts w:hint="eastAsia" w:ascii="仿宋" w:hAnsi="仿宋" w:eastAsia="仿宋"/>
          <w:bCs/>
          <w:color w:val="000000"/>
          <w:sz w:val="32"/>
          <w:szCs w:val="32"/>
          <w:lang w:val="en-US" w:eastAsia="zh-CN"/>
        </w:rPr>
        <w:t>支出</w:t>
      </w:r>
      <w:r>
        <w:rPr>
          <w:rStyle w:val="17"/>
          <w:rFonts w:hint="eastAsia" w:ascii="仿宋" w:hAnsi="仿宋" w:eastAsia="仿宋"/>
          <w:bCs/>
          <w:color w:val="000000"/>
          <w:sz w:val="32"/>
          <w:szCs w:val="32"/>
        </w:rPr>
        <w:t>（类）其他社会保障和就业支出（款）其他社会保障和就业支出（项）</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9.6</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1EE100D9">
      <w:pPr>
        <w:spacing w:line="600" w:lineRule="exact"/>
        <w:ind w:firstLine="643" w:firstLineChars="200"/>
        <w:rPr>
          <w:rStyle w:val="17"/>
          <w:rFonts w:hint="eastAsia" w:ascii="仿宋" w:hAnsi="仿宋" w:eastAsia="仿宋"/>
          <w:b w:val="0"/>
          <w:bCs/>
          <w:color w:val="000000"/>
          <w:sz w:val="32"/>
          <w:szCs w:val="32"/>
        </w:rPr>
      </w:pPr>
      <w:r>
        <w:rPr>
          <w:rStyle w:val="17"/>
          <w:rFonts w:hint="eastAsia" w:ascii="仿宋" w:hAnsi="仿宋" w:eastAsia="仿宋"/>
          <w:bCs/>
          <w:color w:val="000000"/>
          <w:sz w:val="32"/>
          <w:szCs w:val="32"/>
          <w:lang w:val="en-US" w:eastAsia="zh-CN"/>
        </w:rPr>
        <w:t>6</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卫生健康支出（类）行政事业单位医疗（款）事业单位医疗（项）</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8.81</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4B74BF34">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Style w:val="17"/>
          <w:rFonts w:hint="eastAsia" w:ascii="仿宋" w:hAnsi="仿宋" w:eastAsia="仿宋"/>
          <w:bCs/>
          <w:color w:val="000000"/>
          <w:sz w:val="32"/>
          <w:szCs w:val="32"/>
          <w:lang w:val="en-US" w:eastAsia="zh-CN"/>
        </w:rPr>
        <w:t>7</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住房保障支出（类）住房</w:t>
      </w:r>
      <w:r>
        <w:rPr>
          <w:rStyle w:val="17"/>
          <w:rFonts w:hint="eastAsia" w:ascii="仿宋" w:hAnsi="仿宋" w:eastAsia="仿宋"/>
          <w:bCs/>
          <w:color w:val="000000"/>
          <w:sz w:val="32"/>
          <w:szCs w:val="32"/>
          <w:lang w:val="en-US" w:eastAsia="zh-CN"/>
        </w:rPr>
        <w:t>改革</w:t>
      </w:r>
      <w:r>
        <w:rPr>
          <w:rStyle w:val="17"/>
          <w:rFonts w:hint="eastAsia" w:ascii="仿宋" w:hAnsi="仿宋" w:eastAsia="仿宋"/>
          <w:bCs/>
          <w:color w:val="000000"/>
          <w:sz w:val="32"/>
          <w:szCs w:val="32"/>
        </w:rPr>
        <w:t>支出（款）住房公积金支出（项）</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21.64</w:t>
      </w:r>
      <w:r>
        <w:rPr>
          <w:rStyle w:val="17"/>
          <w:rFonts w:hint="eastAsia" w:ascii="仿宋" w:hAnsi="仿宋" w:eastAsia="仿宋"/>
          <w:b w:val="0"/>
          <w:bCs/>
          <w:color w:val="000000"/>
          <w:sz w:val="32"/>
          <w:szCs w:val="32"/>
        </w:rPr>
        <w:t>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305FD856">
      <w:pPr>
        <w:tabs>
          <w:tab w:val="right" w:pos="8306"/>
        </w:tabs>
        <w:spacing w:line="600" w:lineRule="exact"/>
        <w:ind w:firstLine="640"/>
        <w:outlineLvl w:val="1"/>
        <w:rPr>
          <w:rStyle w:val="29"/>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8"/>
      <w:bookmarkEnd w:id="29"/>
      <w:r>
        <w:rPr>
          <w:rStyle w:val="29"/>
          <w:rFonts w:ascii="Times New Roman" w:hAnsi="Times New Roman" w:eastAsia="黑体"/>
          <w:b w:val="0"/>
          <w:color w:val="auto"/>
          <w:highlight w:val="none"/>
        </w:rPr>
        <w:tab/>
      </w:r>
    </w:p>
    <w:p w14:paraId="0167C5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CB6C8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317.12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元，主要包括：基本工资、津贴补贴、伙食补助费、绩效工资、机关事业单位基本养老保险缴费、职业年金缴费、其他社会保障缴费、其他工资福利支出、</w:t>
      </w:r>
      <w:r>
        <w:rPr>
          <w:rFonts w:hint="eastAsia" w:eastAsia="仿宋_GB2312" w:cs="仿宋_GB2312"/>
          <w:color w:val="auto"/>
          <w:kern w:val="2"/>
          <w:sz w:val="32"/>
          <w:szCs w:val="32"/>
          <w:highlight w:val="none"/>
          <w:lang w:val="en-US" w:eastAsia="zh-CN" w:bidi="ar-SA"/>
        </w:rPr>
        <w:t>职工基本医疗保险缴费、</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eastAsia" w:eastAsia="仿宋_GB2312" w:cs="仿宋_GB2312"/>
          <w:color w:val="auto"/>
          <w:kern w:val="2"/>
          <w:sz w:val="32"/>
          <w:szCs w:val="32"/>
          <w:highlight w:val="none"/>
          <w:lang w:val="en-US" w:eastAsia="zh-CN" w:bidi="ar-SA"/>
        </w:rPr>
        <w:t>、生活补助和其他对个人和家庭的补助</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9.93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元，主要包括：公务接待费、工会经费、福利费。</w:t>
      </w:r>
    </w:p>
    <w:p w14:paraId="030E108A">
      <w:pPr>
        <w:spacing w:line="600" w:lineRule="exact"/>
        <w:ind w:firstLine="640"/>
        <w:outlineLvl w:val="1"/>
        <w:rPr>
          <w:rStyle w:val="29"/>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0"/>
      <w:bookmarkEnd w:id="31"/>
    </w:p>
    <w:p w14:paraId="174383E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75DAC3A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0.13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0.13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主要内容包括：接待</w:t>
      </w:r>
      <w:r>
        <w:rPr>
          <w:rFonts w:hint="eastAsia" w:ascii="仿宋_GB2312" w:hAnsi="仿宋_GB2312" w:eastAsia="仿宋_GB2312" w:cs="仿宋_GB2312"/>
          <w:color w:val="auto"/>
          <w:kern w:val="2"/>
          <w:sz w:val="32"/>
          <w:szCs w:val="32"/>
          <w:highlight w:val="none"/>
          <w:lang w:val="en-US" w:eastAsia="zh-CN" w:bidi="ar-SA"/>
        </w:rPr>
        <w:t>Artlink艺术花园远程公益教育项目执行组一行17人来我校调研公益教育项目</w:t>
      </w:r>
      <w:r>
        <w:rPr>
          <w:rFonts w:hint="eastAsia" w:eastAsia="仿宋_GB2312" w:cs="仿宋_GB2312"/>
          <w:color w:val="auto"/>
          <w:kern w:val="2"/>
          <w:sz w:val="32"/>
          <w:szCs w:val="32"/>
          <w:highlight w:val="none"/>
          <w:lang w:val="en-US" w:eastAsia="zh-CN" w:bidi="ar-SA"/>
        </w:rPr>
        <w:t>。</w:t>
      </w:r>
    </w:p>
    <w:p w14:paraId="3518BD7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06B6C3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0.13</w:t>
      </w:r>
      <w:r>
        <w:rPr>
          <w:rFonts w:hint="eastAsia" w:ascii="仿宋_GB2312" w:hAnsi="仿宋_GB2312" w:eastAsia="仿宋_GB2312" w:cs="仿宋_GB2312"/>
          <w:color w:val="auto"/>
          <w:kern w:val="2"/>
          <w:sz w:val="32"/>
          <w:szCs w:val="32"/>
          <w:highlight w:val="none"/>
          <w:lang w:val="en-US" w:eastAsia="zh-CN" w:bidi="ar-SA"/>
        </w:rPr>
        <w:t>万元，占100%。具体情况如下：接待1次，Artlink艺术花园远程公益教育项目执行组一行17人来我校调研公益教育项目</w:t>
      </w:r>
      <w:r>
        <w:rPr>
          <w:rFonts w:hint="eastAsia" w:eastAsia="仿宋_GB2312" w:cs="仿宋_GB2312"/>
          <w:color w:val="auto"/>
          <w:kern w:val="2"/>
          <w:sz w:val="32"/>
          <w:szCs w:val="32"/>
          <w:highlight w:val="none"/>
          <w:lang w:val="en-US" w:eastAsia="zh-CN" w:bidi="ar-SA"/>
        </w:rPr>
        <w:t>。</w:t>
      </w:r>
    </w:p>
    <w:p w14:paraId="669FE6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342900</wp:posOffset>
            </wp:positionH>
            <wp:positionV relativeFrom="paragraph">
              <wp:posOffset>254000</wp:posOffset>
            </wp:positionV>
            <wp:extent cx="4702810" cy="2683510"/>
            <wp:effectExtent l="4445" t="4445" r="17145" b="952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AF6D1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93A1C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DC49C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49A51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9609E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206F8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8F37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799F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627348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657EB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425B85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F4DC8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7EAD05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0.13万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0.13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接待Artlink艺术花园远程公益教育项目执行组一行17人来我校调研公益教育项目</w:t>
      </w:r>
      <w:r>
        <w:rPr>
          <w:rFonts w:hint="eastAsia" w:eastAsia="仿宋_GB2312" w:cs="仿宋_GB2312"/>
          <w:color w:val="auto"/>
          <w:kern w:val="2"/>
          <w:sz w:val="32"/>
          <w:szCs w:val="32"/>
          <w:highlight w:val="none"/>
          <w:lang w:val="en-US" w:eastAsia="zh-CN" w:bidi="ar-SA"/>
        </w:rPr>
        <w:t>。</w:t>
      </w:r>
    </w:p>
    <w:p w14:paraId="502A12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0.13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17</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0.13</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1次</w:t>
      </w:r>
      <w:r>
        <w:rPr>
          <w:rFonts w:hint="eastAsia" w:ascii="仿宋_GB2312" w:hAnsi="仿宋_GB2312" w:eastAsia="仿宋_GB2312" w:cs="仿宋_GB2312"/>
          <w:color w:val="auto"/>
          <w:kern w:val="2"/>
          <w:sz w:val="32"/>
          <w:szCs w:val="32"/>
          <w:highlight w:val="none"/>
          <w:lang w:val="en-US" w:eastAsia="zh-CN" w:bidi="ar-SA"/>
        </w:rPr>
        <w:t>接待Artlink艺术花园远程公益教育项目执行组一行17人来我校调研公益教育项目</w:t>
      </w:r>
      <w:r>
        <w:rPr>
          <w:rFonts w:hint="eastAsia" w:ascii="Times New Roman" w:hAnsi="Times New Roman" w:eastAsia="仿宋_GB2312" w:cs="仿宋_GB2312"/>
          <w:color w:val="auto"/>
          <w:kern w:val="2"/>
          <w:sz w:val="32"/>
          <w:szCs w:val="32"/>
          <w:highlight w:val="none"/>
          <w:lang w:val="en-US" w:eastAsia="zh-CN" w:bidi="ar-SA"/>
        </w:rPr>
        <w:t>。</w:t>
      </w:r>
    </w:p>
    <w:p w14:paraId="39A601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4" w:name="_Toc15377218"/>
      <w:bookmarkStart w:id="35" w:name="_Toc15396610"/>
    </w:p>
    <w:p w14:paraId="06EA9439">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4"/>
      <w:bookmarkEnd w:id="35"/>
    </w:p>
    <w:p w14:paraId="22AB72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833FAC7">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6" w:name="_Toc15396611"/>
      <w:bookmarkStart w:id="37"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6"/>
      <w:bookmarkEnd w:id="37"/>
    </w:p>
    <w:p w14:paraId="5A74A3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4007279">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38" w:name="_Toc15377221"/>
      <w:bookmarkStart w:id="39"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8"/>
      <w:bookmarkEnd w:id="39"/>
    </w:p>
    <w:p w14:paraId="257461A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543287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峨边彝族自治县杨河乡中心小学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4E283D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5B65D7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峨边彝族自治县杨河乡中心小学</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936098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17C410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峨边彝族自治县杨河乡中心小学</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7224E0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FB1ED6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峨边彝族自治县杨河乡中心小学</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学前教育保教费减免补助、公办幼儿园公用经费、村幼辅导员及代课教师生活补助、</w:t>
      </w:r>
      <w:r>
        <w:rPr>
          <w:rFonts w:hint="eastAsia" w:ascii="仿宋_GB2312" w:hAnsi="Times New Roman" w:eastAsia="仿宋_GB2312" w:cs="Times New Roman"/>
          <w:color w:val="auto"/>
          <w:sz w:val="32"/>
          <w:szCs w:val="32"/>
          <w:highlight w:val="none"/>
          <w:lang w:eastAsia="zh-CN"/>
        </w:rPr>
        <w:t>义务教育营养改善计划、“三区”人才计划教师专项</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lang w:val="en-US" w:eastAsia="zh-CN"/>
        </w:rPr>
        <w:t>义务教育公用经费、特岗教师工资、储备教师工资8</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5644C6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49FB4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D30BDFF">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330D708">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F87024A">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259D6052">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919CBAD">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FBAD42F">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5936507">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A94585A">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296BC27F">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2D37E3E">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61F1A06">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28D23DB9">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75EF860">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1B539DA">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47D90A6">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932D1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F45DF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A25A212">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405A6176">
      <w:pPr>
        <w:spacing w:line="600" w:lineRule="exact"/>
        <w:jc w:val="left"/>
        <w:rPr>
          <w:rFonts w:ascii="Times New Roman" w:hAnsi="Times New Roman"/>
          <w:b/>
          <w:color w:val="auto"/>
          <w:sz w:val="44"/>
          <w:szCs w:val="44"/>
          <w:highlight w:val="none"/>
        </w:rPr>
      </w:pPr>
    </w:p>
    <w:p w14:paraId="37B15AB3">
      <w:pPr>
        <w:pStyle w:val="26"/>
        <w:spacing w:line="560" w:lineRule="exact"/>
        <w:ind w:firstLine="640" w:firstLineChars="200"/>
        <w:jc w:val="both"/>
        <w:rPr>
          <w:rFonts w:hAnsi="仿宋" w:cs="Times New Roman"/>
          <w:kern w:val="2"/>
          <w:sz w:val="32"/>
          <w:szCs w:val="32"/>
        </w:rPr>
      </w:pPr>
      <w:bookmarkStart w:id="45" w:name="_Toc15377226"/>
      <w:r>
        <w:rPr>
          <w:rFonts w:hint="eastAsia" w:hAnsi="仿宋" w:cs="Times New Roman"/>
          <w:kern w:val="2"/>
          <w:sz w:val="32"/>
          <w:szCs w:val="32"/>
        </w:rPr>
        <w:t>1.财政拨款收入：指单位从同级财政部门取得的财政预算资金。</w:t>
      </w:r>
    </w:p>
    <w:p w14:paraId="706537AC">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2.事业收入：指事业单位开展专业业务活动及辅助活动取得的收入。</w:t>
      </w:r>
    </w:p>
    <w:p w14:paraId="0CDF3713">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3.经营收入：指事业单位在专业业务活动及其辅助活动之外开展非独立核算经营活动取得的收入。</w:t>
      </w:r>
    </w:p>
    <w:p w14:paraId="6FB87576">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4.其他收入：指单位取得的除上述收入以外的各项收入。 </w:t>
      </w:r>
    </w:p>
    <w:p w14:paraId="512FE1C7">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3C368209">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6.年初结转和结余：指以前年度尚未完成、结转到本年按有关规定继续使用的资金。 </w:t>
      </w:r>
    </w:p>
    <w:p w14:paraId="2F1FC890">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7.结余分配：指事业单位按照事业单位会计制度的规定从非财政补助结余中分配的事业基金和职工福利基金等。</w:t>
      </w:r>
    </w:p>
    <w:p w14:paraId="106D5C07">
      <w:pPr>
        <w:pStyle w:val="26"/>
        <w:spacing w:line="560" w:lineRule="exact"/>
        <w:ind w:firstLine="640" w:firstLineChars="200"/>
        <w:jc w:val="both"/>
        <w:rPr>
          <w:rFonts w:hAnsi="仿宋" w:cs="Times New Roman"/>
          <w:kern w:val="2"/>
          <w:sz w:val="32"/>
          <w:szCs w:val="32"/>
        </w:rPr>
      </w:pPr>
      <w:r>
        <w:rPr>
          <w:rFonts w:hint="eastAsia" w:hAnsi="仿宋" w:cs="Times New Roman"/>
          <w:kern w:val="2"/>
          <w:sz w:val="32"/>
          <w:szCs w:val="32"/>
          <w:lang w:eastAsia="zh-CN"/>
        </w:rPr>
        <w:t>8.</w:t>
      </w:r>
      <w:r>
        <w:rPr>
          <w:rFonts w:hint="eastAsia" w:hAnsi="仿宋" w:cs="Times New Roman"/>
          <w:kern w:val="2"/>
          <w:sz w:val="32"/>
          <w:szCs w:val="32"/>
        </w:rPr>
        <w:t>年末结转和结余：指单位按有关规定结转到下年或以后年度继续使用的资金。</w:t>
      </w:r>
    </w:p>
    <w:p w14:paraId="768F0EC2">
      <w:pPr>
        <w:spacing w:line="60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教育支出（类）</w:t>
      </w:r>
      <w:r>
        <w:rPr>
          <w:rFonts w:hint="eastAsia" w:ascii="仿宋" w:hAnsi="仿宋" w:eastAsia="仿宋"/>
          <w:sz w:val="32"/>
          <w:szCs w:val="32"/>
        </w:rPr>
        <w:t>普通教育（款）学前教育（项）：指反映各部门举办的学前教育支出。</w:t>
      </w:r>
    </w:p>
    <w:p w14:paraId="098EEDD5">
      <w:pPr>
        <w:spacing w:line="600" w:lineRule="exact"/>
        <w:ind w:firstLine="640" w:firstLineChars="200"/>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0</w:t>
      </w:r>
      <w:r>
        <w:rPr>
          <w:rFonts w:ascii="仿宋" w:hAnsi="仿宋" w:eastAsia="仿宋"/>
          <w:sz w:val="32"/>
          <w:szCs w:val="32"/>
        </w:rPr>
        <w:t>.教育支出（类）</w:t>
      </w:r>
      <w:r>
        <w:rPr>
          <w:rFonts w:hint="eastAsia" w:ascii="仿宋" w:hAnsi="仿宋" w:eastAsia="仿宋"/>
          <w:sz w:val="32"/>
          <w:szCs w:val="32"/>
        </w:rPr>
        <w:t>普通教育（款）初中教育（项）：指反映各部门举办的初中教育支出。</w:t>
      </w:r>
    </w:p>
    <w:p w14:paraId="5BB9640E">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1</w:t>
      </w:r>
      <w:r>
        <w:rPr>
          <w:rFonts w:ascii="仿宋" w:hAnsi="仿宋" w:eastAsia="仿宋"/>
          <w:sz w:val="32"/>
          <w:szCs w:val="32"/>
        </w:rPr>
        <w:t>.教育支出（类）</w:t>
      </w:r>
      <w:r>
        <w:rPr>
          <w:rFonts w:hint="eastAsia" w:ascii="仿宋" w:hAnsi="仿宋" w:eastAsia="仿宋"/>
          <w:sz w:val="32"/>
          <w:szCs w:val="32"/>
        </w:rPr>
        <w:t>教育费附加安排的支出（款）其他教育费附加安排的支出（项）：指反映除上述项目以外教育附加支出。</w:t>
      </w:r>
    </w:p>
    <w:p w14:paraId="47D0B6EC">
      <w:pPr>
        <w:spacing w:line="600" w:lineRule="exact"/>
        <w:ind w:firstLine="640" w:firstLineChars="200"/>
        <w:rPr>
          <w:rFonts w:ascii="仿宋" w:hAnsi="仿宋" w:eastAsia="仿宋" w:cs="宋体"/>
          <w:color w:val="000000"/>
          <w:kern w:val="0"/>
          <w:sz w:val="32"/>
          <w:szCs w:val="32"/>
        </w:rPr>
      </w:pP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cs="宋体"/>
          <w:kern w:val="0"/>
          <w:sz w:val="32"/>
          <w:szCs w:val="32"/>
        </w:rPr>
        <w:t>社会保障和就业（类）行政事业单位离退休</w:t>
      </w:r>
      <w:r>
        <w:rPr>
          <w:rFonts w:hint="eastAsia" w:ascii="仿宋" w:hAnsi="仿宋" w:eastAsia="仿宋" w:cs="宋体"/>
          <w:color w:val="000000"/>
          <w:kern w:val="0"/>
          <w:sz w:val="32"/>
          <w:szCs w:val="32"/>
        </w:rPr>
        <w:t>（款）机关事业单位基本养老保险缴费支出（项）：反映机关事业单位实施养老保险制度由单位缴纳的基本养老保险支出。</w:t>
      </w:r>
    </w:p>
    <w:p w14:paraId="32552525">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sz w:val="32"/>
          <w:szCs w:val="32"/>
        </w:rPr>
        <w:t>13.</w:t>
      </w:r>
      <w:r>
        <w:rPr>
          <w:rFonts w:hint="eastAsia" w:ascii="仿宋" w:hAnsi="仿宋" w:eastAsia="仿宋" w:cs="宋体"/>
          <w:color w:val="000000"/>
          <w:kern w:val="0"/>
          <w:sz w:val="32"/>
          <w:szCs w:val="32"/>
        </w:rPr>
        <w:t>社会保障和就业（类）行政事业单位离退休（款）机关事业单位职业年金缴费支出（项）：反映机关事业单位实施养老保险制度由单位缴纳的职业年金支出。</w:t>
      </w:r>
    </w:p>
    <w:p w14:paraId="3CAB2C7E">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14.</w:t>
      </w:r>
      <w:r>
        <w:rPr>
          <w:rFonts w:hint="eastAsia" w:ascii="仿宋" w:hAnsi="仿宋" w:eastAsia="仿宋" w:cs="宋体"/>
          <w:color w:val="000000"/>
          <w:kern w:val="0"/>
          <w:sz w:val="32"/>
          <w:szCs w:val="32"/>
        </w:rPr>
        <w:t>社会保障和就业（类）其他社会保障和就业（款）其他社会保障和就业支出（项）：反映除上述项目以外其他用于行政事业单位养老方面的支出。</w:t>
      </w:r>
    </w:p>
    <w:p w14:paraId="16FC1361">
      <w:pPr>
        <w:spacing w:line="600" w:lineRule="exact"/>
        <w:ind w:firstLine="640" w:firstLineChars="200"/>
        <w:rPr>
          <w:rStyle w:val="17"/>
          <w:rFonts w:ascii="仿宋" w:hAnsi="仿宋" w:eastAsia="仿宋"/>
          <w:b w:val="0"/>
          <w:bCs/>
          <w:color w:val="000000"/>
          <w:sz w:val="32"/>
          <w:szCs w:val="32"/>
        </w:rPr>
      </w:pPr>
      <w:r>
        <w:rPr>
          <w:rFonts w:hint="eastAsia" w:ascii="仿宋" w:hAnsi="仿宋" w:eastAsia="仿宋" w:cs="宋体"/>
          <w:kern w:val="0"/>
          <w:sz w:val="32"/>
          <w:szCs w:val="32"/>
        </w:rPr>
        <w:t>15</w:t>
      </w:r>
      <w:r>
        <w:rPr>
          <w:rStyle w:val="17"/>
          <w:rFonts w:ascii="仿宋" w:hAnsi="仿宋" w:eastAsia="仿宋"/>
          <w:bCs/>
          <w:color w:val="000000"/>
          <w:sz w:val="32"/>
          <w:szCs w:val="32"/>
        </w:rPr>
        <w:t>.</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（类）行政事业单位医疗（款）事业单位医疗（项）：反映财政部门安排的事业单位基本医疗保险缴费经费，未参加医疗保险的事业单位的公费医疗经费，按国家规定享受离休人员待遇的医疗经费。</w:t>
      </w:r>
    </w:p>
    <w:p w14:paraId="49449610">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16.</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（类）行政事业单位医疗（款）公务员医疗补助（项）：反映财政部门安排的公务员医疗补助经费。</w:t>
      </w:r>
    </w:p>
    <w:p w14:paraId="243BC282">
      <w:pPr>
        <w:spacing w:line="600" w:lineRule="exact"/>
        <w:ind w:firstLine="640" w:firstLineChars="200"/>
        <w:rPr>
          <w:rStyle w:val="17"/>
          <w:rFonts w:ascii="仿宋" w:hAnsi="仿宋" w:eastAsia="仿宋"/>
          <w:b w:val="0"/>
          <w:bCs/>
          <w:color w:val="000000"/>
          <w:sz w:val="32"/>
          <w:szCs w:val="32"/>
        </w:rPr>
      </w:pPr>
      <w:r>
        <w:rPr>
          <w:rFonts w:hint="eastAsia" w:ascii="仿宋" w:hAnsi="仿宋" w:eastAsia="仿宋" w:cs="宋体"/>
          <w:kern w:val="0"/>
          <w:sz w:val="32"/>
          <w:szCs w:val="32"/>
        </w:rPr>
        <w:t>17.</w:t>
      </w:r>
      <w:r>
        <w:rPr>
          <w:rFonts w:hint="eastAsia" w:ascii="仿宋" w:hAnsi="仿宋" w:eastAsia="仿宋"/>
          <w:color w:val="000000"/>
          <w:sz w:val="32"/>
          <w:szCs w:val="32"/>
        </w:rPr>
        <w:t>住房保障支出（类）住房改革支出（款）住房公积金（项）：指反映行政事业单位按人</w:t>
      </w:r>
      <w:r>
        <w:rPr>
          <w:rFonts w:hint="eastAsia" w:ascii="仿宋" w:hAnsi="仿宋" w:eastAsia="仿宋"/>
          <w:color w:val="000000"/>
          <w:sz w:val="32"/>
          <w:szCs w:val="32"/>
          <w:lang w:val="en-US" w:eastAsia="zh-CN"/>
        </w:rPr>
        <w:t>力</w:t>
      </w:r>
      <w:r>
        <w:rPr>
          <w:rFonts w:hint="eastAsia" w:ascii="仿宋" w:hAnsi="仿宋" w:eastAsia="仿宋"/>
          <w:color w:val="000000"/>
          <w:sz w:val="32"/>
          <w:szCs w:val="32"/>
        </w:rPr>
        <w:t>资源和社会保障部、财政部规定的基本工资和津贴补贴以及规定比例为职工缴纳的住房公积金</w:t>
      </w:r>
      <w:r>
        <w:rPr>
          <w:rFonts w:hint="eastAsia" w:ascii="仿宋" w:hAnsi="仿宋" w:eastAsia="仿宋"/>
          <w:color w:val="000000"/>
          <w:sz w:val="32"/>
          <w:szCs w:val="32"/>
          <w:lang w:eastAsia="zh-CN"/>
        </w:rPr>
        <w:t>。</w:t>
      </w:r>
      <w:r>
        <w:rPr>
          <w:rFonts w:hint="eastAsia" w:ascii="仿宋" w:hAnsi="仿宋" w:eastAsia="仿宋" w:cs="宋体"/>
          <w:color w:val="000000"/>
          <w:kern w:val="0"/>
          <w:sz w:val="32"/>
          <w:szCs w:val="32"/>
        </w:rPr>
        <w:t xml:space="preserve"> </w:t>
      </w:r>
    </w:p>
    <w:p w14:paraId="580C92AE">
      <w:pPr>
        <w:ind w:firstLine="640" w:firstLineChars="200"/>
        <w:rPr>
          <w:rFonts w:ascii="仿宋" w:hAnsi="仿宋" w:eastAsia="仿宋"/>
          <w:color w:val="000000"/>
          <w:sz w:val="32"/>
          <w:szCs w:val="32"/>
        </w:rPr>
      </w:pPr>
      <w:r>
        <w:rPr>
          <w:rFonts w:hint="eastAsia" w:ascii="仿宋" w:hAnsi="仿宋" w:eastAsia="仿宋" w:cs="宋体"/>
          <w:kern w:val="0"/>
          <w:sz w:val="32"/>
          <w:szCs w:val="32"/>
        </w:rPr>
        <w:t>18.</w:t>
      </w:r>
      <w:r>
        <w:rPr>
          <w:rFonts w:hint="eastAsia" w:ascii="仿宋" w:hAnsi="仿宋" w:eastAsia="仿宋"/>
          <w:color w:val="000000"/>
          <w:sz w:val="32"/>
          <w:szCs w:val="32"/>
        </w:rPr>
        <w:t>基本支出：指为保障机构正常运转、完成日常工作任务而发生的人员支出和公用支出。</w:t>
      </w:r>
    </w:p>
    <w:p w14:paraId="3CF5F714">
      <w:pPr>
        <w:spacing w:line="600" w:lineRule="exact"/>
        <w:ind w:firstLine="640" w:firstLineChars="200"/>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val="en-US" w:eastAsia="zh-CN"/>
        </w:rPr>
        <w:t>19</w:t>
      </w:r>
      <w:r>
        <w:rPr>
          <w:rFonts w:hint="eastAsia" w:ascii="仿宋" w:hAnsi="仿宋" w:eastAsia="仿宋" w:cs="宋体"/>
          <w:color w:val="000000"/>
          <w:kern w:val="0"/>
          <w:sz w:val="32"/>
          <w:szCs w:val="32"/>
        </w:rPr>
        <w:t>.项目支出：指在基本支出之外为完成特定行政任务和事业发展目标所发生的支出。</w:t>
      </w:r>
    </w:p>
    <w:p w14:paraId="0AE8E2EB">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.经营支出：指事业单位在专业业务活动及其辅助活动之外开展非独立核算经营活动发生的支出。</w:t>
      </w:r>
    </w:p>
    <w:p w14:paraId="0A28F952">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w:t>
      </w:r>
      <w:bookmarkStart w:id="61" w:name="_GoBack"/>
      <w:r>
        <w:rPr>
          <w:rFonts w:hint="eastAsia" w:ascii="仿宋" w:hAnsi="仿宋" w:eastAsia="仿宋" w:cs="宋体"/>
          <w:color w:val="000000"/>
          <w:kern w:val="0"/>
          <w:sz w:val="32"/>
          <w:szCs w:val="32"/>
          <w:lang w:eastAsia="zh-CN"/>
        </w:rPr>
        <w:t>“三公”经费</w:t>
      </w:r>
      <w:bookmarkEnd w:id="61"/>
      <w:r>
        <w:rPr>
          <w:rFonts w:hint="eastAsia" w:ascii="仿宋" w:hAnsi="仿宋" w:eastAsia="仿宋" w:cs="宋体"/>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6F487E1">
      <w:pPr>
        <w:spacing w:line="6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9FBD7C4">
      <w:pPr>
        <w:spacing w:line="600" w:lineRule="exact"/>
        <w:ind w:firstLine="640" w:firstLineChars="200"/>
        <w:rPr>
          <w:rFonts w:hint="eastAsia" w:ascii="仿宋" w:hAnsi="仿宋" w:eastAsia="仿宋" w:cs="宋体"/>
          <w:color w:val="000000"/>
          <w:kern w:val="0"/>
          <w:sz w:val="32"/>
          <w:szCs w:val="32"/>
        </w:rPr>
      </w:pPr>
    </w:p>
    <w:p w14:paraId="1FE4B297">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14:paraId="08498966">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r>
        <w:drawing>
          <wp:anchor distT="0" distB="0" distL="114300" distR="114300" simplePos="0" relativeHeight="251667456" behindDoc="1" locked="0" layoutInCell="1" allowOverlap="1">
            <wp:simplePos x="0" y="0"/>
            <wp:positionH relativeFrom="column">
              <wp:posOffset>76200</wp:posOffset>
            </wp:positionH>
            <wp:positionV relativeFrom="paragraph">
              <wp:posOffset>-20955</wp:posOffset>
            </wp:positionV>
            <wp:extent cx="5247005" cy="4395470"/>
            <wp:effectExtent l="0" t="0" r="10795" b="8890"/>
            <wp:wrapNone/>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5"/>
                    <a:stretch>
                      <a:fillRect/>
                    </a:stretch>
                  </pic:blipFill>
                  <pic:spPr>
                    <a:xfrm>
                      <a:off x="0" y="0"/>
                      <a:ext cx="5247005" cy="4395470"/>
                    </a:xfrm>
                    <a:prstGeom prst="rect">
                      <a:avLst/>
                    </a:prstGeom>
                    <a:noFill/>
                    <a:ln>
                      <a:noFill/>
                    </a:ln>
                  </pic:spPr>
                </pic:pic>
              </a:graphicData>
            </a:graphic>
          </wp:anchor>
        </w:drawing>
      </w:r>
      <w:r>
        <w:drawing>
          <wp:anchor distT="0" distB="0" distL="114300" distR="114300" simplePos="0" relativeHeight="251666432" behindDoc="1" locked="0" layoutInCell="1" allowOverlap="1">
            <wp:simplePos x="0" y="0"/>
            <wp:positionH relativeFrom="column">
              <wp:posOffset>60960</wp:posOffset>
            </wp:positionH>
            <wp:positionV relativeFrom="paragraph">
              <wp:posOffset>92710</wp:posOffset>
            </wp:positionV>
            <wp:extent cx="5269230" cy="3860800"/>
            <wp:effectExtent l="0" t="0" r="3810" b="40640"/>
            <wp:wrapTight wrapText="bothSides">
              <wp:wrapPolygon>
                <wp:start x="0" y="0"/>
                <wp:lineTo x="0" y="21486"/>
                <wp:lineTo x="21553" y="21486"/>
                <wp:lineTo x="21553" y="0"/>
                <wp:lineTo x="0" y="0"/>
              </wp:wrapPolygon>
            </wp:wrapTight>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6"/>
                    <a:stretch>
                      <a:fillRect/>
                    </a:stretch>
                  </pic:blipFill>
                  <pic:spPr>
                    <a:xfrm>
                      <a:off x="0" y="0"/>
                      <a:ext cx="5269230" cy="3860800"/>
                    </a:xfrm>
                    <a:prstGeom prst="rect">
                      <a:avLst/>
                    </a:prstGeom>
                    <a:noFill/>
                    <a:ln>
                      <a:noFill/>
                    </a:ln>
                  </pic:spPr>
                </pic:pic>
              </a:graphicData>
            </a:graphic>
          </wp:anchor>
        </w:drawing>
      </w:r>
    </w:p>
    <w:p w14:paraId="4C7B046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7385CDD">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47F5EA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2B4B0B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10442C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D95833F">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638BA5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C32C53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77D90AA">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6DE9F9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25D1F7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A93333A">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r>
        <w:drawing>
          <wp:anchor distT="0" distB="0" distL="114300" distR="114300" simplePos="0" relativeHeight="251667456" behindDoc="1" locked="0" layoutInCell="1" allowOverlap="1">
            <wp:simplePos x="0" y="0"/>
            <wp:positionH relativeFrom="column">
              <wp:posOffset>53340</wp:posOffset>
            </wp:positionH>
            <wp:positionV relativeFrom="paragraph">
              <wp:posOffset>107950</wp:posOffset>
            </wp:positionV>
            <wp:extent cx="5269230" cy="4304030"/>
            <wp:effectExtent l="0" t="0" r="3810" b="8890"/>
            <wp:wrapNone/>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7"/>
                    <a:stretch>
                      <a:fillRect/>
                    </a:stretch>
                  </pic:blipFill>
                  <pic:spPr>
                    <a:xfrm>
                      <a:off x="0" y="0"/>
                      <a:ext cx="5269230" cy="4304030"/>
                    </a:xfrm>
                    <a:prstGeom prst="rect">
                      <a:avLst/>
                    </a:prstGeom>
                    <a:noFill/>
                    <a:ln>
                      <a:noFill/>
                    </a:ln>
                  </pic:spPr>
                </pic:pic>
              </a:graphicData>
            </a:graphic>
          </wp:anchor>
        </w:drawing>
      </w:r>
    </w:p>
    <w:p w14:paraId="5C784B0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84B5AF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15A0CB6">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7160E4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F3CF7E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725A12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2B80A1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2F4A82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723669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FFB829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6E6066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6C022A4">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r>
        <w:drawing>
          <wp:anchor distT="0" distB="0" distL="114300" distR="114300" simplePos="0" relativeHeight="251667456" behindDoc="1" locked="0" layoutInCell="1" allowOverlap="1">
            <wp:simplePos x="0" y="0"/>
            <wp:positionH relativeFrom="column">
              <wp:posOffset>-7620</wp:posOffset>
            </wp:positionH>
            <wp:positionV relativeFrom="paragraph">
              <wp:posOffset>59690</wp:posOffset>
            </wp:positionV>
            <wp:extent cx="5269230" cy="4384040"/>
            <wp:effectExtent l="0" t="0" r="3810" b="5080"/>
            <wp:wrapNone/>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8"/>
                    <a:stretch>
                      <a:fillRect/>
                    </a:stretch>
                  </pic:blipFill>
                  <pic:spPr>
                    <a:xfrm>
                      <a:off x="0" y="0"/>
                      <a:ext cx="5269230" cy="4384040"/>
                    </a:xfrm>
                    <a:prstGeom prst="rect">
                      <a:avLst/>
                    </a:prstGeom>
                    <a:noFill/>
                    <a:ln>
                      <a:noFill/>
                    </a:ln>
                  </pic:spPr>
                </pic:pic>
              </a:graphicData>
            </a:graphic>
          </wp:anchor>
        </w:drawing>
      </w:r>
    </w:p>
    <w:p w14:paraId="03C5E8A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71E3F1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D37CFA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3F04FB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1E082D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D0FC9E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54DC94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B054206">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6847DA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D48AEE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86588D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4C5CB61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r>
        <w:drawing>
          <wp:anchor distT="0" distB="0" distL="114300" distR="114300" simplePos="0" relativeHeight="251667456" behindDoc="1" locked="0" layoutInCell="1" allowOverlap="1">
            <wp:simplePos x="0" y="0"/>
            <wp:positionH relativeFrom="column">
              <wp:posOffset>30480</wp:posOffset>
            </wp:positionH>
            <wp:positionV relativeFrom="paragraph">
              <wp:posOffset>189230</wp:posOffset>
            </wp:positionV>
            <wp:extent cx="5269230" cy="3839210"/>
            <wp:effectExtent l="0" t="0" r="3810" b="1270"/>
            <wp:wrapNone/>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9"/>
                    <a:stretch>
                      <a:fillRect/>
                    </a:stretch>
                  </pic:blipFill>
                  <pic:spPr>
                    <a:xfrm>
                      <a:off x="0" y="0"/>
                      <a:ext cx="5269230" cy="3839210"/>
                    </a:xfrm>
                    <a:prstGeom prst="rect">
                      <a:avLst/>
                    </a:prstGeom>
                    <a:noFill/>
                    <a:ln>
                      <a:noFill/>
                    </a:ln>
                  </pic:spPr>
                </pic:pic>
              </a:graphicData>
            </a:graphic>
          </wp:anchor>
        </w:drawing>
      </w:r>
    </w:p>
    <w:p w14:paraId="4C5B29F5">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2EDB25F">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69F87BA">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3FB202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9902FE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C9983BD">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4530A2EF">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EDBB24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AD2D68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621720E">
      <w:pPr>
        <w:widowControl/>
        <w:jc w:val="center"/>
        <w:rPr>
          <w:rFonts w:hint="eastAsia" w:ascii="Times New Roman" w:hAnsi="Times New Roman" w:eastAsia="黑体"/>
          <w:color w:val="auto"/>
          <w:sz w:val="44"/>
          <w:szCs w:val="44"/>
          <w:highlight w:val="none"/>
        </w:rPr>
      </w:pPr>
      <w:bookmarkStart w:id="47" w:name="_Toc15396618"/>
    </w:p>
    <w:p w14:paraId="7EE1D005">
      <w:pPr>
        <w:widowControl/>
        <w:jc w:val="center"/>
        <w:rPr>
          <w:rFonts w:hint="eastAsia" w:ascii="Times New Roman" w:hAnsi="Times New Roman" w:eastAsia="黑体"/>
          <w:color w:val="auto"/>
          <w:sz w:val="44"/>
          <w:szCs w:val="44"/>
          <w:highlight w:val="none"/>
        </w:rPr>
      </w:pPr>
      <w:r>
        <w:drawing>
          <wp:anchor distT="0" distB="0" distL="114300" distR="114300" simplePos="0" relativeHeight="251667456" behindDoc="1" locked="0" layoutInCell="1" allowOverlap="1">
            <wp:simplePos x="0" y="0"/>
            <wp:positionH relativeFrom="column">
              <wp:posOffset>-45085</wp:posOffset>
            </wp:positionH>
            <wp:positionV relativeFrom="paragraph">
              <wp:posOffset>106680</wp:posOffset>
            </wp:positionV>
            <wp:extent cx="5353050" cy="4569460"/>
            <wp:effectExtent l="0" t="0" r="11430" b="2540"/>
            <wp:wrapNone/>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20"/>
                    <a:stretch>
                      <a:fillRect/>
                    </a:stretch>
                  </pic:blipFill>
                  <pic:spPr>
                    <a:xfrm>
                      <a:off x="0" y="0"/>
                      <a:ext cx="5353050" cy="4569460"/>
                    </a:xfrm>
                    <a:prstGeom prst="rect">
                      <a:avLst/>
                    </a:prstGeom>
                    <a:noFill/>
                    <a:ln>
                      <a:noFill/>
                    </a:ln>
                  </pic:spPr>
                </pic:pic>
              </a:graphicData>
            </a:graphic>
          </wp:anchor>
        </w:drawing>
      </w:r>
    </w:p>
    <w:p w14:paraId="73A3D33F">
      <w:pPr>
        <w:widowControl/>
        <w:jc w:val="center"/>
        <w:rPr>
          <w:rFonts w:hint="eastAsia" w:ascii="Times New Roman" w:hAnsi="Times New Roman" w:eastAsia="黑体"/>
          <w:color w:val="auto"/>
          <w:sz w:val="44"/>
          <w:szCs w:val="44"/>
          <w:highlight w:val="none"/>
        </w:rPr>
      </w:pPr>
    </w:p>
    <w:p w14:paraId="708AABF3">
      <w:pPr>
        <w:widowControl/>
        <w:jc w:val="center"/>
        <w:rPr>
          <w:rFonts w:hint="eastAsia" w:ascii="Times New Roman" w:hAnsi="Times New Roman" w:eastAsia="黑体"/>
          <w:color w:val="auto"/>
          <w:sz w:val="44"/>
          <w:szCs w:val="44"/>
          <w:highlight w:val="none"/>
        </w:rPr>
      </w:pPr>
    </w:p>
    <w:p w14:paraId="41A549E0">
      <w:pPr>
        <w:widowControl/>
        <w:jc w:val="center"/>
        <w:rPr>
          <w:rFonts w:hint="eastAsia" w:ascii="Times New Roman" w:hAnsi="Times New Roman" w:eastAsia="黑体"/>
          <w:color w:val="auto"/>
          <w:sz w:val="44"/>
          <w:szCs w:val="44"/>
          <w:highlight w:val="none"/>
        </w:rPr>
      </w:pPr>
    </w:p>
    <w:p w14:paraId="178C928A">
      <w:pPr>
        <w:widowControl/>
        <w:jc w:val="center"/>
        <w:rPr>
          <w:rFonts w:hint="eastAsia" w:ascii="Times New Roman" w:hAnsi="Times New Roman" w:eastAsia="黑体"/>
          <w:color w:val="auto"/>
          <w:sz w:val="44"/>
          <w:szCs w:val="44"/>
          <w:highlight w:val="none"/>
        </w:rPr>
      </w:pPr>
    </w:p>
    <w:p w14:paraId="5E373358">
      <w:pPr>
        <w:widowControl/>
        <w:jc w:val="center"/>
        <w:rPr>
          <w:rFonts w:hint="eastAsia" w:ascii="Times New Roman" w:hAnsi="Times New Roman" w:eastAsia="黑体"/>
          <w:color w:val="auto"/>
          <w:sz w:val="44"/>
          <w:szCs w:val="44"/>
          <w:highlight w:val="none"/>
        </w:rPr>
      </w:pPr>
    </w:p>
    <w:p w14:paraId="6A1CE5BB">
      <w:pPr>
        <w:widowControl/>
        <w:jc w:val="center"/>
        <w:rPr>
          <w:rFonts w:hint="eastAsia" w:ascii="Times New Roman" w:hAnsi="Times New Roman" w:eastAsia="黑体"/>
          <w:color w:val="auto"/>
          <w:sz w:val="44"/>
          <w:szCs w:val="44"/>
          <w:highlight w:val="none"/>
        </w:rPr>
      </w:pPr>
    </w:p>
    <w:p w14:paraId="604015F8">
      <w:pPr>
        <w:widowControl/>
        <w:jc w:val="center"/>
        <w:rPr>
          <w:rFonts w:hint="eastAsia" w:ascii="Times New Roman" w:hAnsi="Times New Roman" w:eastAsia="黑体"/>
          <w:color w:val="auto"/>
          <w:sz w:val="44"/>
          <w:szCs w:val="44"/>
          <w:highlight w:val="none"/>
        </w:rPr>
      </w:pPr>
    </w:p>
    <w:p w14:paraId="65CBDB67">
      <w:pPr>
        <w:widowControl/>
        <w:jc w:val="center"/>
        <w:rPr>
          <w:rFonts w:hint="eastAsia" w:ascii="Times New Roman" w:hAnsi="Times New Roman" w:eastAsia="黑体"/>
          <w:color w:val="auto"/>
          <w:sz w:val="44"/>
          <w:szCs w:val="44"/>
          <w:highlight w:val="none"/>
        </w:rPr>
      </w:pPr>
    </w:p>
    <w:p w14:paraId="5ED74F22">
      <w:pPr>
        <w:widowControl/>
        <w:jc w:val="center"/>
        <w:rPr>
          <w:rFonts w:hint="eastAsia" w:ascii="Times New Roman" w:hAnsi="Times New Roman" w:eastAsia="黑体"/>
          <w:color w:val="auto"/>
          <w:sz w:val="44"/>
          <w:szCs w:val="44"/>
          <w:highlight w:val="none"/>
        </w:rPr>
      </w:pPr>
    </w:p>
    <w:p w14:paraId="1A185B50">
      <w:pPr>
        <w:widowControl/>
        <w:jc w:val="center"/>
        <w:rPr>
          <w:rFonts w:hint="eastAsia" w:ascii="Times New Roman" w:hAnsi="Times New Roman" w:eastAsia="黑体"/>
          <w:color w:val="auto"/>
          <w:sz w:val="44"/>
          <w:szCs w:val="44"/>
          <w:highlight w:val="none"/>
        </w:rPr>
      </w:pPr>
    </w:p>
    <w:p w14:paraId="7638E7D9">
      <w:pPr>
        <w:widowControl/>
        <w:jc w:val="center"/>
        <w:rPr>
          <w:rFonts w:hint="eastAsia" w:ascii="Times New Roman" w:hAnsi="Times New Roman" w:eastAsia="黑体"/>
          <w:color w:val="auto"/>
          <w:sz w:val="44"/>
          <w:szCs w:val="44"/>
          <w:highlight w:val="none"/>
        </w:rPr>
      </w:pPr>
    </w:p>
    <w:p w14:paraId="2D694C70">
      <w:pPr>
        <w:widowControl/>
        <w:jc w:val="center"/>
        <w:rPr>
          <w:rFonts w:hint="eastAsia" w:ascii="Times New Roman" w:hAnsi="Times New Roman" w:eastAsia="黑体"/>
          <w:color w:val="auto"/>
          <w:sz w:val="44"/>
          <w:szCs w:val="44"/>
          <w:highlight w:val="none"/>
        </w:rPr>
      </w:pPr>
      <w:r>
        <w:drawing>
          <wp:inline distT="0" distB="0" distL="114300" distR="114300">
            <wp:extent cx="5269230" cy="4409440"/>
            <wp:effectExtent l="0" t="0" r="3810" b="1016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21"/>
                    <a:stretch>
                      <a:fillRect/>
                    </a:stretch>
                  </pic:blipFill>
                  <pic:spPr>
                    <a:xfrm>
                      <a:off x="0" y="0"/>
                      <a:ext cx="5269230" cy="4409440"/>
                    </a:xfrm>
                    <a:prstGeom prst="rect">
                      <a:avLst/>
                    </a:prstGeom>
                    <a:noFill/>
                    <a:ln>
                      <a:noFill/>
                    </a:ln>
                  </pic:spPr>
                </pic:pic>
              </a:graphicData>
            </a:graphic>
          </wp:inline>
        </w:drawing>
      </w:r>
      <w:r>
        <w:drawing>
          <wp:inline distT="0" distB="0" distL="114300" distR="114300">
            <wp:extent cx="5269230" cy="4098290"/>
            <wp:effectExtent l="0" t="0" r="3810" b="127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22"/>
                    <a:stretch>
                      <a:fillRect/>
                    </a:stretch>
                  </pic:blipFill>
                  <pic:spPr>
                    <a:xfrm>
                      <a:off x="0" y="0"/>
                      <a:ext cx="5269230" cy="4098290"/>
                    </a:xfrm>
                    <a:prstGeom prst="rect">
                      <a:avLst/>
                    </a:prstGeom>
                    <a:noFill/>
                    <a:ln>
                      <a:noFill/>
                    </a:ln>
                  </pic:spPr>
                </pic:pic>
              </a:graphicData>
            </a:graphic>
          </wp:inline>
        </w:drawing>
      </w:r>
    </w:p>
    <w:p w14:paraId="3EAC11F1">
      <w:pPr>
        <w:widowControl/>
        <w:jc w:val="center"/>
        <w:rPr>
          <w:rFonts w:hint="eastAsia" w:ascii="Times New Roman" w:hAnsi="Times New Roman" w:eastAsia="黑体"/>
          <w:color w:val="auto"/>
          <w:sz w:val="44"/>
          <w:szCs w:val="44"/>
          <w:highlight w:val="none"/>
        </w:rPr>
      </w:pPr>
    </w:p>
    <w:p w14:paraId="75B4B7E3">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5"/>
      <w:bookmarkEnd w:id="47"/>
      <w:bookmarkStart w:id="48" w:name="_Toc15396619"/>
    </w:p>
    <w:p w14:paraId="378ECE7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5EFDEE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7D86B73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4389A26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05A0E88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0627B12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0D1959B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478E549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761F34A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7CDB3BB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4959638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7EE8E08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CC428C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41B1C27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6C1BBA90">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0504">
    <w:pPr>
      <w:pStyle w:val="10"/>
      <w:jc w:val="center"/>
    </w:pPr>
  </w:p>
  <w:p w14:paraId="5A2AACD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FE65">
    <w:pPr>
      <w:pStyle w:val="10"/>
      <w:jc w:val="center"/>
    </w:pPr>
  </w:p>
  <w:p w14:paraId="42419B7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73D77">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ABC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CAC01"/>
    <w:multiLevelType w:val="singleLevel"/>
    <w:tmpl w:val="2BECAC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64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90936"/>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BEE"/>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EC5373"/>
    <w:rsid w:val="04916F1E"/>
    <w:rsid w:val="05B35C1E"/>
    <w:rsid w:val="0619429C"/>
    <w:rsid w:val="061E35DE"/>
    <w:rsid w:val="066E0107"/>
    <w:rsid w:val="07996F6E"/>
    <w:rsid w:val="07DFD8BA"/>
    <w:rsid w:val="081E0FB6"/>
    <w:rsid w:val="09867E8F"/>
    <w:rsid w:val="0A2032A3"/>
    <w:rsid w:val="0CA8290A"/>
    <w:rsid w:val="0D35B1ED"/>
    <w:rsid w:val="0D6B65B1"/>
    <w:rsid w:val="0E254B6B"/>
    <w:rsid w:val="0F98263C"/>
    <w:rsid w:val="101860EC"/>
    <w:rsid w:val="101F47CC"/>
    <w:rsid w:val="10C055FF"/>
    <w:rsid w:val="11694EBD"/>
    <w:rsid w:val="11772AA4"/>
    <w:rsid w:val="118107EC"/>
    <w:rsid w:val="12E24EE2"/>
    <w:rsid w:val="13D50BC4"/>
    <w:rsid w:val="14B17F78"/>
    <w:rsid w:val="14FB5517"/>
    <w:rsid w:val="165E0673"/>
    <w:rsid w:val="16B831D5"/>
    <w:rsid w:val="16BB723D"/>
    <w:rsid w:val="16CA4104"/>
    <w:rsid w:val="17AB7E32"/>
    <w:rsid w:val="17E50567"/>
    <w:rsid w:val="17F9051D"/>
    <w:rsid w:val="186504BB"/>
    <w:rsid w:val="19A445FC"/>
    <w:rsid w:val="1BE8440E"/>
    <w:rsid w:val="1C580A30"/>
    <w:rsid w:val="1D155CEE"/>
    <w:rsid w:val="1D1638FE"/>
    <w:rsid w:val="1D9518A4"/>
    <w:rsid w:val="1E312DEB"/>
    <w:rsid w:val="1E740ACF"/>
    <w:rsid w:val="1FF35744"/>
    <w:rsid w:val="1FF6BC77"/>
    <w:rsid w:val="2186353C"/>
    <w:rsid w:val="22B27F80"/>
    <w:rsid w:val="23860B96"/>
    <w:rsid w:val="240371BF"/>
    <w:rsid w:val="244F3473"/>
    <w:rsid w:val="245903A7"/>
    <w:rsid w:val="24861ACA"/>
    <w:rsid w:val="24C97D99"/>
    <w:rsid w:val="25A718F0"/>
    <w:rsid w:val="25BB59F6"/>
    <w:rsid w:val="260F557C"/>
    <w:rsid w:val="26970054"/>
    <w:rsid w:val="281408E2"/>
    <w:rsid w:val="29E71046"/>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1901E6"/>
    <w:rsid w:val="33A773CB"/>
    <w:rsid w:val="349D6851"/>
    <w:rsid w:val="36AA5135"/>
    <w:rsid w:val="36BE0DA7"/>
    <w:rsid w:val="376B6AA6"/>
    <w:rsid w:val="376D39B2"/>
    <w:rsid w:val="37E16F03"/>
    <w:rsid w:val="37E40177"/>
    <w:rsid w:val="37F53A3B"/>
    <w:rsid w:val="389B6C89"/>
    <w:rsid w:val="38D469F0"/>
    <w:rsid w:val="38DD054C"/>
    <w:rsid w:val="39627CCD"/>
    <w:rsid w:val="397BAF1F"/>
    <w:rsid w:val="3AB79AF3"/>
    <w:rsid w:val="3AE834C0"/>
    <w:rsid w:val="3B7EF35A"/>
    <w:rsid w:val="3B9FDB6C"/>
    <w:rsid w:val="3BF5BC2F"/>
    <w:rsid w:val="3CEBA265"/>
    <w:rsid w:val="3D98207C"/>
    <w:rsid w:val="3DBF0E2F"/>
    <w:rsid w:val="3DEE7CF3"/>
    <w:rsid w:val="3E740A63"/>
    <w:rsid w:val="3E78745D"/>
    <w:rsid w:val="3EE17838"/>
    <w:rsid w:val="3F55381A"/>
    <w:rsid w:val="3F7F7599"/>
    <w:rsid w:val="3FDB0913"/>
    <w:rsid w:val="3FF4CAE0"/>
    <w:rsid w:val="3FF7B227"/>
    <w:rsid w:val="40DB44CF"/>
    <w:rsid w:val="441E79B2"/>
    <w:rsid w:val="44E268DA"/>
    <w:rsid w:val="450D13D7"/>
    <w:rsid w:val="45506656"/>
    <w:rsid w:val="468913FC"/>
    <w:rsid w:val="4768337D"/>
    <w:rsid w:val="486A6C7A"/>
    <w:rsid w:val="4A627F82"/>
    <w:rsid w:val="4B0E749A"/>
    <w:rsid w:val="4B2477C4"/>
    <w:rsid w:val="4B4F25DA"/>
    <w:rsid w:val="4B5A6DE6"/>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501312"/>
    <w:rsid w:val="5AF92295"/>
    <w:rsid w:val="5B250254"/>
    <w:rsid w:val="5BDD79E6"/>
    <w:rsid w:val="5BF561CA"/>
    <w:rsid w:val="5BFF5DFC"/>
    <w:rsid w:val="5CD71FC4"/>
    <w:rsid w:val="5D1F11B5"/>
    <w:rsid w:val="5D3B5C1A"/>
    <w:rsid w:val="5D695134"/>
    <w:rsid w:val="5DAE1B18"/>
    <w:rsid w:val="5DE7D9E5"/>
    <w:rsid w:val="5E246E13"/>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BF651F5"/>
    <w:rsid w:val="6C4A05C8"/>
    <w:rsid w:val="6C8742B8"/>
    <w:rsid w:val="6D4A60B9"/>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460BE1"/>
    <w:rsid w:val="7A894339"/>
    <w:rsid w:val="7AD284E8"/>
    <w:rsid w:val="7AFF7572"/>
    <w:rsid w:val="7B6C7DFB"/>
    <w:rsid w:val="7BBFBED0"/>
    <w:rsid w:val="7BC3E394"/>
    <w:rsid w:val="7C1F3737"/>
    <w:rsid w:val="7CBFC87B"/>
    <w:rsid w:val="7CFE0F48"/>
    <w:rsid w:val="7D272ABC"/>
    <w:rsid w:val="7D7EC23E"/>
    <w:rsid w:val="7E8ADEBF"/>
    <w:rsid w:val="7ED97699"/>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Sheet1!$B$1</c:f>
              <c:strCache>
                <c:ptCount val="1"/>
                <c:pt idx="0">
                  <c:v>2023年度收、支总计（万元）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632.19</c:v>
                </c:pt>
              </c:numCache>
            </c:numRef>
          </c:val>
        </c:ser>
        <c:ser>
          <c:idx val="2"/>
          <c:order val="1"/>
          <c:tx>
            <c:strRef>
              <c:f>Sheet1!$C$1</c:f>
              <c:strCache>
                <c:ptCount val="1"/>
                <c:pt idx="0">
                  <c:v>2024年度收、支总计（万元）</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606.03</c:v>
                </c:pt>
              </c:numCache>
            </c:numRef>
          </c:val>
        </c:ser>
        <c:dLbls>
          <c:showLegendKey val="0"/>
          <c:showVal val="1"/>
          <c:showCatName val="0"/>
          <c:showSerName val="0"/>
          <c:showPercent val="0"/>
          <c:showBubbleSize val="0"/>
        </c:dLbls>
        <c:gapWidth val="246"/>
        <c:overlap val="-28"/>
        <c:axId val="343100560"/>
        <c:axId val="808238080"/>
      </c:barChart>
      <c:catAx>
        <c:axId val="343100560"/>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8238080"/>
        <c:crosses val="autoZero"/>
        <c:auto val="1"/>
        <c:lblAlgn val="ctr"/>
        <c:lblOffset val="100"/>
        <c:noMultiLvlLbl val="0"/>
      </c:catAx>
      <c:valAx>
        <c:axId val="80823808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1005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028f64-085e-468b-ba26-9b08e2041c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一般公共财政拨款收入</c:v>
                </c:pt>
                <c:pt idx="1">
                  <c:v>其他收入</c:v>
                </c:pt>
              </c:strCache>
            </c:strRef>
          </c:cat>
          <c:val>
            <c:numRef>
              <c:f>Sheet1!$B$2:$B$3</c:f>
              <c:numCache>
                <c:formatCode>0.00%</c:formatCode>
                <c:ptCount val="2"/>
                <c:pt idx="0">
                  <c:v>0.9736</c:v>
                </c:pt>
                <c:pt idx="1">
                  <c:v>0.0264</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b1baa6c-e60d-4c5c-8cde-315d61ee6be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0.3328</c:v>
                </c:pt>
                <c:pt idx="1">
                  <c:v>0.6672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6054113-19d3-4212-9eea-659e5377b6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0640251268422"/>
          <c:y val="0.159371015724607"/>
          <c:w val="0.908359507127325"/>
          <c:h val="0.638631534211645"/>
        </c:manualLayout>
      </c:layout>
      <c:barChart>
        <c:barDir val="col"/>
        <c:grouping val="clustered"/>
        <c:varyColors val="0"/>
        <c:ser>
          <c:idx val="0"/>
          <c:order val="0"/>
          <c:tx>
            <c:strRef>
              <c:f>Sheet1!$B$1</c:f>
              <c:strCache>
                <c:ptCount val="1"/>
                <c:pt idx="0">
                  <c:v>2023年财政拨款收入支出总计（万元）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618.75</c:v>
                </c:pt>
              </c:numCache>
            </c:numRef>
          </c:val>
        </c:ser>
        <c:ser>
          <c:idx val="1"/>
          <c:order val="1"/>
          <c:tx>
            <c:strRef>
              <c:f>Sheet1!$C$1</c:f>
              <c:strCache>
                <c:ptCount val="1"/>
                <c:pt idx="0">
                  <c:v>2024年财政拨款收入支出总计（万元）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593.11</c:v>
                </c:pt>
              </c:numCache>
            </c:numRef>
          </c:val>
        </c:ser>
        <c:dLbls>
          <c:showLegendKey val="0"/>
          <c:showVal val="1"/>
          <c:showCatName val="0"/>
          <c:showSerName val="0"/>
          <c:showPercent val="0"/>
          <c:showBubbleSize val="0"/>
        </c:dLbls>
        <c:gapWidth val="246"/>
        <c:overlap val="-28"/>
        <c:axId val="756176406"/>
        <c:axId val="858460274"/>
      </c:barChart>
      <c:catAx>
        <c:axId val="756176406"/>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8460274"/>
        <c:crosses val="autoZero"/>
        <c:auto val="1"/>
        <c:lblAlgn val="ctr"/>
        <c:lblOffset val="100"/>
        <c:noMultiLvlLbl val="0"/>
      </c:catAx>
      <c:valAx>
        <c:axId val="85846027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61764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27fa699-fbd8-4367-92a2-a9d504d69b0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502.92</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477.28</c:v>
                </c:pt>
              </c:numCache>
            </c:numRef>
          </c:val>
        </c:ser>
        <c:dLbls>
          <c:showLegendKey val="0"/>
          <c:showVal val="1"/>
          <c:showCatName val="0"/>
          <c:showSerName val="0"/>
          <c:showPercent val="0"/>
          <c:showBubbleSize val="0"/>
        </c:dLbls>
        <c:gapWidth val="75"/>
        <c:overlap val="-25"/>
        <c:axId val="411545918"/>
        <c:axId val="239919090"/>
      </c:barChart>
      <c:catAx>
        <c:axId val="411545918"/>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9919090"/>
        <c:crosses val="autoZero"/>
        <c:auto val="1"/>
        <c:lblAlgn val="ctr"/>
        <c:lblOffset val="100"/>
        <c:noMultiLvlLbl val="0"/>
      </c:catAx>
      <c:valAx>
        <c:axId val="239919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154591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c2e609-af92-4c79-86fc-c11105aac29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0"/>
              <c:layout>
                <c:manualLayout>
                  <c:x val="0.0883960279315258"/>
                  <c:y val="0.0236309205494108"/>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33381502890173"/>
                      <c:h val="0.0945426594926979"/>
                    </c:manualLayout>
                  </c15:layout>
                </c:ext>
              </c:extLst>
            </c:dLbl>
            <c:dLbl>
              <c:idx val="1"/>
              <c:layout>
                <c:manualLayout>
                  <c:x val="-0.108576350210888"/>
                  <c:y val="-0.130976404279004"/>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01589595375723"/>
                      <c:h val="0.0680245964642583"/>
                    </c:manualLayout>
                  </c15:layout>
                </c:ext>
              </c:extLst>
            </c:dLbl>
            <c:dLbl>
              <c:idx val="2"/>
              <c:layout>
                <c:manualLayout>
                  <c:x val="0.00127391052161585"/>
                  <c:y val="0.055302931436135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29260747149148"/>
                  <c:y val="-0.019356449840568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Sheet1!$A$2:$A$5</c:f>
              <c:strCache>
                <c:ptCount val="4"/>
                <c:pt idx="0">
                  <c:v>教育支出</c:v>
                </c:pt>
                <c:pt idx="1">
                  <c:v>社会保障和就业</c:v>
                </c:pt>
                <c:pt idx="2">
                  <c:v>卫生健康支出</c:v>
                </c:pt>
                <c:pt idx="3">
                  <c:v>住房保障支出</c:v>
                </c:pt>
              </c:strCache>
            </c:strRef>
          </c:cat>
          <c:val>
            <c:numRef>
              <c:f>Sheet1!$B$2:$B$5</c:f>
              <c:numCache>
                <c:formatCode>General</c:formatCode>
                <c:ptCount val="4"/>
                <c:pt idx="0">
                  <c:v>403.56</c:v>
                </c:pt>
                <c:pt idx="1">
                  <c:v>43.27</c:v>
                </c:pt>
                <c:pt idx="2">
                  <c:v>8.81</c:v>
                </c:pt>
                <c:pt idx="3">
                  <c:v>21.64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e161d50-c18d-450f-a64d-c27199b3c515}"/>
      </c:ext>
    </c:extLst>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883960279315258"/>
                  <c:y val="0.023630920549410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8576350210888"/>
                  <c:y val="-0.13097640427900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127391052161585"/>
                  <c:y val="0.055302931436135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因公出国费</c:v>
                </c:pt>
                <c:pt idx="1">
                  <c:v>公务用车购置及运行维护费</c:v>
                </c:pt>
                <c:pt idx="2">
                  <c:v>公务接待费</c:v>
                </c:pt>
              </c:strCache>
            </c:strRef>
          </c:cat>
          <c:val>
            <c:numRef>
              <c:f>Sheet1!$B$2:$B$4</c:f>
              <c:numCache>
                <c:formatCode>General</c:formatCode>
                <c:ptCount val="3"/>
                <c:pt idx="0">
                  <c:v>0</c:v>
                </c:pt>
                <c:pt idx="1">
                  <c:v>0</c:v>
                </c:pt>
                <c:pt idx="2">
                  <c:v>0.13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6a3851b-38ac-440f-b8f2-5f1e4c2bf85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8eb96783-198f-45ac-bb17-8fe68e100ab2</errorID>
      <errorWord>法律、法规</errorWord>
      <group>L1_Word</group>
      <groupName>字词问题</groupName>
      <ability>L2_Typo</ability>
      <abilityName>字词错误</abilityName>
      <candidateList>
        <item>法律法规</item>
      </candidateList>
      <explain/>
      <paraID>68197B35</paraID>
      <start>20</start>
      <end>24</end>
      <status>modified</status>
      <modifiedWord>法律法规</modifiedWord>
      <trackRevisions>false</trackRevisions>
    </reviewItem>
    <reviewItem>
      <errorID>988afb73-d934-4bad-9ca9-812c59d8bc30</errorID>
      <errorWord>负责对</errorWord>
      <group>L1_Word</group>
      <groupName>字词问题</groupName>
      <ability>L2_Typo</ability>
      <abilityName>字词错误</abilityName>
      <candidateList>
        <item>负责</item>
      </candidateList>
      <explain>❶〈动〉担负责任：～后勤工作｜这里的事由你～。❷〈形〉（工作）尽到应尽的责任；认真踏实：他对工作很～。</explain>
      <paraID>761DE442</paraID>
      <start>30</start>
      <end>32</end>
      <status>modified</status>
      <modifiedWord>负责</modifiedWord>
      <trackRevisions>false</trackRevisions>
    </reviewItem>
    <reviewItem>
      <errorID>8ae79dcc-eca0-4380-8293-967b6841e23f</errorID>
      <errorWord>:</errorWord>
      <group>L1_Format</group>
      <groupName>格式问题</groupName>
      <ability>L2_HalfPunc</ability>
      <abilityName>全半角检查</abilityName>
      <candidateList>
        <item>：</item>
      </candidateList>
      <explain>文本全半角错误。</explain>
      <paraID>54EEA5A5</paraID>
      <start>23</start>
      <end>24</end>
      <status>modified</status>
      <modifiedWord>：</modifiedWord>
      <trackRevisions>false</trackRevisions>
    </reviewItem>
    <reviewItem>
      <errorID>06848ea4-6694-4c11-b1a3-919b8983327a</errorID>
      <errorWord>:</errorWord>
      <group>L1_Format</group>
      <groupName>格式问题</groupName>
      <ability>L2_HalfPunc</ability>
      <abilityName>全半角检查</abilityName>
      <candidateList>
        <item>：</item>
      </candidateList>
      <explain>文本全半角错误。</explain>
      <paraID>5A33B5BB</paraID>
      <start>46</start>
      <end>47</end>
      <status>modified</status>
      <modifiedWord>：</modifiedWord>
      <trackRevisions>false</trackRevisions>
    </reviewItem>
    <reviewItem>
      <errorID>2cfee3a4-1c00-480d-b6d3-85208e78e562</errorID>
      <errorWord>:</errorWord>
      <group>L1_Format</group>
      <groupName>格式问题</groupName>
      <ability>L2_HalfPunc</ability>
      <abilityName>全半角检查</abilityName>
      <candidateList>
        <item>：</item>
      </candidateList>
      <explain>文本全半角错误。</explain>
      <paraID>41D2AD21</paraID>
      <start>44</start>
      <end>45</end>
      <status>modified</status>
      <modifiedWord>：</modifiedWord>
      <trackRevisions>false</trackRevisions>
    </reviewItem>
    <reviewItem>
      <errorID>6ebb177b-0acb-4015-81df-c660f9223bde</errorID>
      <errorWord>:</errorWord>
      <group>L1_Format</group>
      <groupName>格式问题</groupName>
      <ability>L2_HalfPunc</ability>
      <abilityName>全半角检查</abilityName>
      <candidateList>
        <item>：</item>
      </candidateList>
      <explain>文本全半角错误。</explain>
      <paraID>1EE100D9</paraID>
      <start>31</start>
      <end>32</end>
      <status>modified</status>
      <modifiedWord>：</modifiedWord>
      <trackRevisions>false</trackRevisions>
    </reviewItem>
    <reviewItem>
      <errorID>55bf9a8c-14c9-4b13-9c40-f3149b88f91b</errorID>
      <errorWord>:</errorWord>
      <group>L1_Format</group>
      <groupName>格式问题</groupName>
      <ability>L2_HalfPunc</ability>
      <abilityName>全半角检查</abilityName>
      <candidateList>
        <item>：</item>
      </candidateList>
      <explain>文本全半角错误。</explain>
      <paraID>4B74BF34</paraID>
      <start>30</start>
      <end>31</end>
      <status>modified</status>
      <modifiedWord>：</modifiedWord>
      <trackRevisions>false</trackRevisions>
    </reviewItem>
    <reviewItem>
      <errorID>03adcec8-7569-450a-9478-afa1dac284e0</errorID>
      <errorWord>主要原</errorWord>
      <group>L1_Word</group>
      <groupName>字词问题</groupName>
      <ability>L2_Typo</ability>
      <abilityName>字词错误</abilityName>
      <candidateList>
        <item>主要</item>
      </candidateList>
      <explain>〈形〉属性词。有关事物中最重要的；起决定作用的：～原因｜～目的｜～人物。</explain>
      <paraID>75DAC3A3</paraID>
      <start>57</start>
      <end>59</end>
      <status>modified</status>
      <modifiedWord>主要</modifiedWord>
      <trackRevisions>false</trackRevisions>
    </reviewItem>
    <reviewItem>
      <errorID>3e6b299a-b22a-47a5-bd3a-7eb75d3532a3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106D5C07</paraID>
      <start>0</start>
      <end>2</end>
      <status>modified</status>
      <modifiedWord>8.</modifiedWord>
      <trackRevisions>false</trackRevisions>
    </reviewItem>
    <reviewItem>
      <errorID>64a3e4ef-637e-407a-9d1e-be9e383d1c31</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 A28F952</paraID>
      <start>3</start>
      <end>9</end>
      <status>modified</status>
      <modifiedWord>“三公”经费</modifiedWord>
      <trackRevisions>false</trackRevisions>
    </reviewItem>
  </reviewItems>
  <config/>
</contractReview>
</file>

<file path=customXml/itemProps1.xml><?xml version="1.0" encoding="utf-8"?>
<ds:datastoreItem xmlns:ds="http://schemas.openxmlformats.org/officeDocument/2006/customXml" ds:itemID="{68d4b331-fe18-406d-90bc-a8926ec74f9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1382</Words>
  <Characters>1539</Characters>
  <Lines>61</Lines>
  <Paragraphs>17</Paragraphs>
  <TotalTime>93</TotalTime>
  <ScaleCrop>false</ScaleCrop>
  <LinksUpToDate>false</LinksUpToDate>
  <CharactersWithSpaces>1577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2025-12-03T05:34:37Z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eyJoZGlkIjoiNzI2ZGI0OGUzMDAzMzk0YmE1OTYyMDVlZGMwMmYyODYiLCJ1c2VySWQiOiIxMTM5NjM2MTk5In0=</vt:lpwstr>
  </property>
</Properties>
</file>