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9D967">
      <w:pPr>
        <w:spacing w:line="600" w:lineRule="exact"/>
        <w:jc w:val="left"/>
        <w:outlineLvl w:val="9"/>
        <w:rPr>
          <w:rFonts w:ascii="方正小标宋简体" w:hAnsi="宋体" w:eastAsia="方正小标宋简体"/>
          <w:szCs w:val="21"/>
        </w:rPr>
      </w:pPr>
      <w:bookmarkStart w:id="0" w:name="_Toc15306267"/>
    </w:p>
    <w:p w14:paraId="2227BD7D">
      <w:pPr>
        <w:pStyle w:val="2"/>
        <w:spacing w:before="93"/>
      </w:pPr>
    </w:p>
    <w:p w14:paraId="3E4FC385">
      <w:pPr>
        <w:spacing w:line="600" w:lineRule="exact"/>
        <w:jc w:val="center"/>
        <w:outlineLvl w:val="9"/>
        <w:rPr>
          <w:rFonts w:ascii="方正小标宋简体" w:hAnsi="宋体" w:eastAsia="方正小标宋简体"/>
          <w:sz w:val="72"/>
          <w:szCs w:val="72"/>
        </w:rPr>
      </w:pPr>
    </w:p>
    <w:p w14:paraId="7D924779">
      <w:pPr>
        <w:spacing w:line="600" w:lineRule="exact"/>
        <w:jc w:val="center"/>
        <w:outlineLvl w:val="9"/>
        <w:rPr>
          <w:rFonts w:ascii="方正小标宋简体" w:hAnsi="宋体" w:eastAsia="方正小标宋简体"/>
          <w:sz w:val="72"/>
          <w:szCs w:val="72"/>
        </w:rPr>
      </w:pPr>
    </w:p>
    <w:p w14:paraId="411B0181">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26295"/>
      <w:bookmarkStart w:id="3" w:name="_Toc15378441"/>
      <w:bookmarkStart w:id="4" w:name="_Toc15396475"/>
      <w:bookmarkStart w:id="5" w:name="_Toc15396597"/>
      <w:bookmarkStart w:id="6" w:name="_Toc15377193"/>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bookmarkEnd w:id="6"/>
    </w:p>
    <w:bookmarkEnd w:id="0"/>
    <w:p w14:paraId="45D02491">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77426"/>
      <w:bookmarkStart w:id="8" w:name="_Toc15396598"/>
      <w:bookmarkStart w:id="9" w:name="_Toc15306268"/>
      <w:bookmarkStart w:id="10" w:name="_Toc15378442"/>
      <w:bookmarkStart w:id="11" w:name="_Toc16960"/>
      <w:bookmarkStart w:id="12" w:name="_Toc15377194"/>
      <w:bookmarkStart w:id="13" w:name="_Toc15396476"/>
      <w:r>
        <w:rPr>
          <w:rFonts w:hint="eastAsia" w:ascii="方正小标宋简体" w:hAnsi="方正小标宋简体" w:eastAsia="方正小标宋简体" w:cs="方正小标宋简体"/>
          <w:sz w:val="72"/>
          <w:szCs w:val="72"/>
        </w:rPr>
        <w:t>峨边彝族自治县新林镇中心卫生院单位决算</w:t>
      </w:r>
      <w:bookmarkEnd w:id="7"/>
      <w:bookmarkEnd w:id="8"/>
      <w:bookmarkEnd w:id="9"/>
      <w:bookmarkEnd w:id="10"/>
      <w:bookmarkEnd w:id="11"/>
      <w:bookmarkEnd w:id="12"/>
      <w:bookmarkEnd w:id="13"/>
    </w:p>
    <w:p w14:paraId="05995DBD">
      <w:pPr>
        <w:adjustRightInd w:val="0"/>
        <w:snapToGrid w:val="0"/>
        <w:spacing w:line="360" w:lineRule="auto"/>
        <w:jc w:val="center"/>
        <w:outlineLvl w:val="9"/>
        <w:rPr>
          <w:rFonts w:ascii="方正小标宋简体" w:hAnsi="宋体" w:eastAsia="方正小标宋简体"/>
          <w:sz w:val="52"/>
          <w:szCs w:val="52"/>
        </w:rPr>
      </w:pPr>
    </w:p>
    <w:p w14:paraId="5C1E32EF">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2280A9A0">
      <w:pPr>
        <w:widowControl/>
        <w:jc w:val="center"/>
        <w:rPr>
          <w:rFonts w:ascii="黑体" w:hAnsi="黑体" w:eastAsia="黑体" w:cstheme="minorBidi"/>
          <w:sz w:val="28"/>
          <w:szCs w:val="28"/>
        </w:rPr>
      </w:pPr>
    </w:p>
    <w:p w14:paraId="741170A6">
      <w:pPr>
        <w:pStyle w:val="11"/>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22</w:t>
      </w:r>
      <w:r>
        <w:rPr>
          <w:rFonts w:hint="eastAsia"/>
        </w:rPr>
        <w:t>日</w:t>
      </w:r>
    </w:p>
    <w:p w14:paraId="03F240EC"/>
    <w:sdt>
      <w:sdtPr>
        <w:rPr>
          <w:rFonts w:ascii="宋体" w:hAnsi="宋体" w:eastAsia="宋体" w:cs="Times New Roman"/>
          <w:kern w:val="2"/>
          <w:sz w:val="21"/>
          <w:szCs w:val="24"/>
          <w:lang w:val="en-US" w:eastAsia="zh-CN" w:bidi="ar-SA"/>
        </w:rPr>
        <w:id w:val="147477617"/>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090CD399">
          <w:pPr>
            <w:spacing w:before="0" w:beforeLines="0" w:after="0" w:afterLines="0" w:line="240" w:lineRule="auto"/>
            <w:ind w:left="0" w:leftChars="0" w:right="0" w:rightChars="0" w:firstLine="0" w:firstLineChars="0"/>
            <w:jc w:val="center"/>
            <w:rPr>
              <w:b/>
            </w:rPr>
          </w:pPr>
          <w:r>
            <w:fldChar w:fldCharType="begin"/>
          </w:r>
          <w:r>
            <w:instrText xml:space="preserve">TOC \o "1-2" \h \u </w:instrText>
          </w:r>
          <w:r>
            <w:fldChar w:fldCharType="separate"/>
          </w:r>
        </w:p>
        <w:p w14:paraId="57687021">
          <w:pPr>
            <w:pStyle w:val="33"/>
            <w:tabs>
              <w:tab w:val="right" w:leader="dot" w:pos="8306"/>
            </w:tabs>
            <w:rPr>
              <w:b/>
            </w:rPr>
          </w:pPr>
          <w:r>
            <w:rPr>
              <w:b/>
            </w:rPr>
            <w:fldChar w:fldCharType="begin"/>
          </w:r>
          <w:r>
            <w:rPr>
              <w:b/>
            </w:rPr>
            <w:instrText xml:space="preserve"> HYPERLINK \l _Toc13272 </w:instrText>
          </w:r>
          <w:r>
            <w:rPr>
              <w:b/>
            </w:rPr>
            <w:fldChar w:fldCharType="separate"/>
          </w:r>
          <w:r>
            <w:rPr>
              <w:rFonts w:hint="eastAsia" w:ascii="黑体" w:hAnsi="黑体" w:eastAsia="黑体"/>
              <w:b/>
            </w:rPr>
            <w:t>第一部分 单位</w:t>
          </w:r>
          <w:r>
            <w:rPr>
              <w:rFonts w:hint="eastAsia" w:ascii="黑体" w:hAnsi="黑体" w:eastAsia="黑体"/>
              <w:b/>
              <w:bCs w:val="0"/>
            </w:rPr>
            <w:t>概况</w:t>
          </w:r>
          <w:r>
            <w:rPr>
              <w:b/>
            </w:rPr>
            <w:tab/>
          </w:r>
          <w:r>
            <w:rPr>
              <w:b/>
            </w:rPr>
            <w:fldChar w:fldCharType="begin"/>
          </w:r>
          <w:r>
            <w:rPr>
              <w:b/>
            </w:rPr>
            <w:instrText xml:space="preserve"> PAGEREF _Toc13272 \h </w:instrText>
          </w:r>
          <w:r>
            <w:rPr>
              <w:b/>
            </w:rPr>
            <w:fldChar w:fldCharType="separate"/>
          </w:r>
          <w:r>
            <w:rPr>
              <w:b/>
            </w:rPr>
            <w:t>3</w:t>
          </w:r>
          <w:r>
            <w:rPr>
              <w:b/>
            </w:rPr>
            <w:fldChar w:fldCharType="end"/>
          </w:r>
          <w:r>
            <w:rPr>
              <w:b/>
            </w:rPr>
            <w:fldChar w:fldCharType="end"/>
          </w:r>
        </w:p>
        <w:p w14:paraId="34BB6A61">
          <w:pPr>
            <w:pStyle w:val="34"/>
            <w:tabs>
              <w:tab w:val="right" w:leader="dot" w:pos="8306"/>
            </w:tabs>
          </w:pPr>
          <w:r>
            <w:fldChar w:fldCharType="begin"/>
          </w:r>
          <w:r>
            <w:instrText xml:space="preserve"> HYPERLINK \l _Toc16808 </w:instrText>
          </w:r>
          <w:r>
            <w:fldChar w:fldCharType="separate"/>
          </w:r>
          <w:r>
            <w:rPr>
              <w:rFonts w:hint="eastAsia" w:ascii="黑体" w:hAnsi="黑体" w:eastAsia="黑体"/>
              <w:bCs w:val="0"/>
            </w:rPr>
            <w:t>一、 主要职责</w:t>
          </w:r>
          <w:r>
            <w:tab/>
          </w:r>
          <w:r>
            <w:fldChar w:fldCharType="begin"/>
          </w:r>
          <w:r>
            <w:instrText xml:space="preserve"> PAGEREF _Toc16808 \h </w:instrText>
          </w:r>
          <w:r>
            <w:fldChar w:fldCharType="separate"/>
          </w:r>
          <w:r>
            <w:t>3</w:t>
          </w:r>
          <w:r>
            <w:fldChar w:fldCharType="end"/>
          </w:r>
          <w:r>
            <w:fldChar w:fldCharType="end"/>
          </w:r>
        </w:p>
        <w:p w14:paraId="012FBE27">
          <w:pPr>
            <w:pStyle w:val="34"/>
            <w:tabs>
              <w:tab w:val="right" w:leader="dot" w:pos="8306"/>
            </w:tabs>
          </w:pPr>
          <w:r>
            <w:fldChar w:fldCharType="begin"/>
          </w:r>
          <w:r>
            <w:instrText xml:space="preserve"> HYPERLINK \l _Toc25308 </w:instrText>
          </w:r>
          <w:r>
            <w:fldChar w:fldCharType="separate"/>
          </w:r>
          <w:r>
            <w:rPr>
              <w:rFonts w:hint="eastAsia" w:ascii="黑体" w:hAnsi="黑体" w:eastAsia="黑体"/>
            </w:rPr>
            <w:t>二、机构设置</w:t>
          </w:r>
          <w:r>
            <w:tab/>
          </w:r>
          <w:r>
            <w:fldChar w:fldCharType="begin"/>
          </w:r>
          <w:r>
            <w:instrText xml:space="preserve"> PAGEREF _Toc25308 \h </w:instrText>
          </w:r>
          <w:r>
            <w:fldChar w:fldCharType="separate"/>
          </w:r>
          <w:r>
            <w:t>3</w:t>
          </w:r>
          <w:r>
            <w:fldChar w:fldCharType="end"/>
          </w:r>
          <w:r>
            <w:fldChar w:fldCharType="end"/>
          </w:r>
        </w:p>
        <w:p w14:paraId="6A4CF366">
          <w:pPr>
            <w:pStyle w:val="33"/>
            <w:tabs>
              <w:tab w:val="right" w:leader="dot" w:pos="8306"/>
            </w:tabs>
            <w:rPr>
              <w:b/>
            </w:rPr>
          </w:pPr>
          <w:r>
            <w:rPr>
              <w:b/>
            </w:rPr>
            <w:fldChar w:fldCharType="begin"/>
          </w:r>
          <w:r>
            <w:rPr>
              <w:b/>
            </w:rPr>
            <w:instrText xml:space="preserve"> HYPERLINK \l _Toc2057 </w:instrText>
          </w:r>
          <w:r>
            <w:rPr>
              <w:b/>
            </w:rPr>
            <w:fldChar w:fldCharType="separate"/>
          </w:r>
          <w:r>
            <w:rPr>
              <w:rFonts w:hint="eastAsia" w:ascii="黑体" w:hAnsi="黑体" w:eastAsia="黑体"/>
              <w:b/>
            </w:rPr>
            <w:t>第二部分 2023年度</w:t>
          </w:r>
          <w:r>
            <w:rPr>
              <w:rFonts w:hint="eastAsia" w:ascii="黑体" w:hAnsi="黑体" w:eastAsia="黑体"/>
              <w:b/>
              <w:bCs/>
            </w:rPr>
            <w:t>单位决算情况说明</w:t>
          </w:r>
          <w:r>
            <w:rPr>
              <w:b/>
            </w:rPr>
            <w:tab/>
          </w:r>
          <w:r>
            <w:rPr>
              <w:b/>
            </w:rPr>
            <w:fldChar w:fldCharType="begin"/>
          </w:r>
          <w:r>
            <w:rPr>
              <w:b/>
            </w:rPr>
            <w:instrText xml:space="preserve"> PAGEREF _Toc2057 \h </w:instrText>
          </w:r>
          <w:r>
            <w:rPr>
              <w:b/>
            </w:rPr>
            <w:fldChar w:fldCharType="separate"/>
          </w:r>
          <w:r>
            <w:rPr>
              <w:b/>
            </w:rPr>
            <w:t>4</w:t>
          </w:r>
          <w:r>
            <w:rPr>
              <w:b/>
            </w:rPr>
            <w:fldChar w:fldCharType="end"/>
          </w:r>
          <w:r>
            <w:rPr>
              <w:b/>
            </w:rPr>
            <w:fldChar w:fldCharType="end"/>
          </w:r>
        </w:p>
        <w:p w14:paraId="3530CD2A">
          <w:pPr>
            <w:pStyle w:val="34"/>
            <w:tabs>
              <w:tab w:val="right" w:leader="dot" w:pos="8306"/>
            </w:tabs>
          </w:pPr>
          <w:r>
            <w:fldChar w:fldCharType="begin"/>
          </w:r>
          <w:r>
            <w:instrText xml:space="preserve"> HYPERLINK \l _Toc1047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_Toc1047 \h </w:instrText>
          </w:r>
          <w:r>
            <w:fldChar w:fldCharType="separate"/>
          </w:r>
          <w:r>
            <w:t>4</w:t>
          </w:r>
          <w:r>
            <w:fldChar w:fldCharType="end"/>
          </w:r>
          <w:r>
            <w:fldChar w:fldCharType="end"/>
          </w:r>
        </w:p>
        <w:p w14:paraId="23400E64">
          <w:pPr>
            <w:pStyle w:val="34"/>
            <w:tabs>
              <w:tab w:val="right" w:leader="dot" w:pos="8306"/>
            </w:tabs>
          </w:pPr>
          <w:r>
            <w:fldChar w:fldCharType="begin"/>
          </w:r>
          <w:r>
            <w:instrText xml:space="preserve"> HYPERLINK \l _Toc31581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_Toc31581 \h </w:instrText>
          </w:r>
          <w:r>
            <w:fldChar w:fldCharType="separate"/>
          </w:r>
          <w:r>
            <w:t>4</w:t>
          </w:r>
          <w:r>
            <w:fldChar w:fldCharType="end"/>
          </w:r>
          <w:r>
            <w:fldChar w:fldCharType="end"/>
          </w:r>
        </w:p>
        <w:p w14:paraId="4D5DA70B">
          <w:pPr>
            <w:pStyle w:val="34"/>
            <w:tabs>
              <w:tab w:val="right" w:leader="dot" w:pos="8306"/>
            </w:tabs>
          </w:pPr>
          <w:r>
            <w:fldChar w:fldCharType="begin"/>
          </w:r>
          <w:r>
            <w:instrText xml:space="preserve"> HYPERLINK \l _Toc9982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_Toc9982 \h </w:instrText>
          </w:r>
          <w:r>
            <w:fldChar w:fldCharType="separate"/>
          </w:r>
          <w:r>
            <w:t>5</w:t>
          </w:r>
          <w:r>
            <w:fldChar w:fldCharType="end"/>
          </w:r>
          <w:r>
            <w:fldChar w:fldCharType="end"/>
          </w:r>
        </w:p>
        <w:p w14:paraId="16697705">
          <w:pPr>
            <w:pStyle w:val="34"/>
            <w:tabs>
              <w:tab w:val="right" w:leader="dot" w:pos="8306"/>
            </w:tabs>
          </w:pPr>
          <w:r>
            <w:fldChar w:fldCharType="begin"/>
          </w:r>
          <w:r>
            <w:instrText xml:space="preserve"> HYPERLINK \l _Toc13134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_Toc13134 \h </w:instrText>
          </w:r>
          <w:r>
            <w:fldChar w:fldCharType="separate"/>
          </w:r>
          <w:r>
            <w:t>6</w:t>
          </w:r>
          <w:r>
            <w:fldChar w:fldCharType="end"/>
          </w:r>
          <w:r>
            <w:fldChar w:fldCharType="end"/>
          </w:r>
        </w:p>
        <w:p w14:paraId="05EDAF89">
          <w:pPr>
            <w:pStyle w:val="34"/>
            <w:tabs>
              <w:tab w:val="right" w:leader="dot" w:pos="8306"/>
            </w:tabs>
          </w:pPr>
          <w:r>
            <w:fldChar w:fldCharType="begin"/>
          </w:r>
          <w:r>
            <w:instrText xml:space="preserve"> HYPERLINK \l _Toc14390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_Toc14390 \h </w:instrText>
          </w:r>
          <w:r>
            <w:fldChar w:fldCharType="separate"/>
          </w:r>
          <w:r>
            <w:t>6</w:t>
          </w:r>
          <w:r>
            <w:fldChar w:fldCharType="end"/>
          </w:r>
          <w:r>
            <w:fldChar w:fldCharType="end"/>
          </w:r>
        </w:p>
        <w:p w14:paraId="3519056A">
          <w:pPr>
            <w:pStyle w:val="34"/>
            <w:tabs>
              <w:tab w:val="right" w:leader="dot" w:pos="8306"/>
            </w:tabs>
          </w:pPr>
          <w:r>
            <w:fldChar w:fldCharType="begin"/>
          </w:r>
          <w:r>
            <w:instrText xml:space="preserve"> HYPERLINK \l _Toc21266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_Toc21266 \h </w:instrText>
          </w:r>
          <w:r>
            <w:fldChar w:fldCharType="separate"/>
          </w:r>
          <w:r>
            <w:t>9</w:t>
          </w:r>
          <w:r>
            <w:fldChar w:fldCharType="end"/>
          </w:r>
          <w:r>
            <w:fldChar w:fldCharType="end"/>
          </w:r>
        </w:p>
        <w:p w14:paraId="73043A06">
          <w:pPr>
            <w:pStyle w:val="34"/>
            <w:tabs>
              <w:tab w:val="right" w:leader="dot" w:pos="8306"/>
            </w:tabs>
          </w:pPr>
          <w:r>
            <w:fldChar w:fldCharType="begin"/>
          </w:r>
          <w:r>
            <w:instrText xml:space="preserve"> HYPERLINK \l _Toc6129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_Toc6129 \h </w:instrText>
          </w:r>
          <w:r>
            <w:fldChar w:fldCharType="separate"/>
          </w:r>
          <w:r>
            <w:t>9</w:t>
          </w:r>
          <w:r>
            <w:fldChar w:fldCharType="end"/>
          </w:r>
          <w:r>
            <w:fldChar w:fldCharType="end"/>
          </w:r>
        </w:p>
        <w:p w14:paraId="19F02830">
          <w:pPr>
            <w:pStyle w:val="34"/>
            <w:tabs>
              <w:tab w:val="right" w:leader="dot" w:pos="8306"/>
            </w:tabs>
          </w:pPr>
          <w:r>
            <w:fldChar w:fldCharType="begin"/>
          </w:r>
          <w:r>
            <w:instrText xml:space="preserve"> HYPERLINK \l _Toc5856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_Toc5856 \h </w:instrText>
          </w:r>
          <w:r>
            <w:fldChar w:fldCharType="separate"/>
          </w:r>
          <w:r>
            <w:t>11</w:t>
          </w:r>
          <w:r>
            <w:fldChar w:fldCharType="end"/>
          </w:r>
          <w:r>
            <w:fldChar w:fldCharType="end"/>
          </w:r>
        </w:p>
        <w:p w14:paraId="241B3FC8">
          <w:pPr>
            <w:pStyle w:val="34"/>
            <w:tabs>
              <w:tab w:val="right" w:leader="dot" w:pos="8306"/>
            </w:tabs>
          </w:pPr>
          <w:r>
            <w:fldChar w:fldCharType="begin"/>
          </w:r>
          <w:r>
            <w:instrText xml:space="preserve"> HYPERLINK \l _Toc20255 </w:instrText>
          </w:r>
          <w:r>
            <w:fldChar w:fldCharType="separate"/>
          </w:r>
          <w:r>
            <w:rPr>
              <w:rFonts w:hint="eastAsia" w:ascii="黑体" w:hAnsi="黑体" w:eastAsia="黑体"/>
            </w:rPr>
            <w:t>九、 国有资本经营预算支出决算情况说明</w:t>
          </w:r>
          <w:r>
            <w:tab/>
          </w:r>
          <w:r>
            <w:fldChar w:fldCharType="begin"/>
          </w:r>
          <w:r>
            <w:instrText xml:space="preserve"> PAGEREF _Toc20255 \h </w:instrText>
          </w:r>
          <w:r>
            <w:fldChar w:fldCharType="separate"/>
          </w:r>
          <w:r>
            <w:t>11</w:t>
          </w:r>
          <w:r>
            <w:fldChar w:fldCharType="end"/>
          </w:r>
          <w:r>
            <w:fldChar w:fldCharType="end"/>
          </w:r>
        </w:p>
        <w:p w14:paraId="6B6B1C64">
          <w:pPr>
            <w:pStyle w:val="34"/>
            <w:tabs>
              <w:tab w:val="right" w:leader="dot" w:pos="8306"/>
            </w:tabs>
          </w:pPr>
          <w:r>
            <w:fldChar w:fldCharType="begin"/>
          </w:r>
          <w:r>
            <w:instrText xml:space="preserve"> HYPERLINK \l _Toc28205 </w:instrText>
          </w:r>
          <w:r>
            <w:fldChar w:fldCharType="separate"/>
          </w:r>
          <w:r>
            <w:rPr>
              <w:rFonts w:hint="eastAsia" w:ascii="黑体" w:hAnsi="黑体" w:eastAsia="黑体"/>
            </w:rPr>
            <w:t>十、 其他重要事项的情况说明</w:t>
          </w:r>
          <w:r>
            <w:tab/>
          </w:r>
          <w:r>
            <w:fldChar w:fldCharType="begin"/>
          </w:r>
          <w:r>
            <w:instrText xml:space="preserve"> PAGEREF _Toc28205 \h </w:instrText>
          </w:r>
          <w:r>
            <w:fldChar w:fldCharType="separate"/>
          </w:r>
          <w:r>
            <w:t>11</w:t>
          </w:r>
          <w:r>
            <w:fldChar w:fldCharType="end"/>
          </w:r>
          <w:r>
            <w:fldChar w:fldCharType="end"/>
          </w:r>
        </w:p>
        <w:p w14:paraId="3B5DECC1">
          <w:pPr>
            <w:pStyle w:val="33"/>
            <w:tabs>
              <w:tab w:val="right" w:leader="dot" w:pos="8306"/>
            </w:tabs>
            <w:rPr>
              <w:b/>
            </w:rPr>
          </w:pPr>
          <w:r>
            <w:rPr>
              <w:b/>
            </w:rPr>
            <w:fldChar w:fldCharType="begin"/>
          </w:r>
          <w:r>
            <w:rPr>
              <w:b/>
            </w:rPr>
            <w:instrText xml:space="preserve"> HYPERLINK \l _Toc17624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_Toc17624 \h </w:instrText>
          </w:r>
          <w:r>
            <w:rPr>
              <w:b/>
            </w:rPr>
            <w:fldChar w:fldCharType="separate"/>
          </w:r>
          <w:r>
            <w:rPr>
              <w:b/>
            </w:rPr>
            <w:t>13</w:t>
          </w:r>
          <w:r>
            <w:rPr>
              <w:b/>
            </w:rPr>
            <w:fldChar w:fldCharType="end"/>
          </w:r>
          <w:r>
            <w:rPr>
              <w:b/>
            </w:rPr>
            <w:fldChar w:fldCharType="end"/>
          </w:r>
        </w:p>
        <w:p w14:paraId="29FC358C">
          <w:pPr>
            <w:pStyle w:val="33"/>
            <w:tabs>
              <w:tab w:val="right" w:leader="dot" w:pos="8306"/>
            </w:tabs>
          </w:pPr>
          <w:r>
            <w:rPr>
              <w:b/>
            </w:rPr>
            <w:fldChar w:fldCharType="begin"/>
          </w:r>
          <w:r>
            <w:rPr>
              <w:b/>
            </w:rPr>
            <w:instrText xml:space="preserve"> HYPERLINK \l _Toc8917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_Toc8917 \h </w:instrText>
          </w:r>
          <w:r>
            <w:rPr>
              <w:b/>
            </w:rPr>
            <w:fldChar w:fldCharType="separate"/>
          </w:r>
          <w:r>
            <w:rPr>
              <w:b/>
            </w:rPr>
            <w:t>16</w:t>
          </w:r>
          <w:r>
            <w:rPr>
              <w:b/>
            </w:rPr>
            <w:fldChar w:fldCharType="end"/>
          </w:r>
          <w:r>
            <w:rPr>
              <w:b/>
            </w:rPr>
            <w:fldChar w:fldCharType="end"/>
          </w:r>
        </w:p>
        <w:p w14:paraId="0803CBE9">
          <w:pPr>
            <w:pStyle w:val="33"/>
            <w:tabs>
              <w:tab w:val="right" w:leader="dot" w:pos="8306"/>
            </w:tabs>
            <w:rPr>
              <w:b/>
            </w:rPr>
          </w:pPr>
          <w:r>
            <w:rPr>
              <w:b/>
            </w:rPr>
            <w:fldChar w:fldCharType="begin"/>
          </w:r>
          <w:r>
            <w:rPr>
              <w:b/>
            </w:rPr>
            <w:instrText xml:space="preserve"> HYPERLINK \l _Toc28550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_Toc28550 \h </w:instrText>
          </w:r>
          <w:r>
            <w:rPr>
              <w:b/>
            </w:rPr>
            <w:fldChar w:fldCharType="separate"/>
          </w:r>
          <w:r>
            <w:rPr>
              <w:b/>
            </w:rPr>
            <w:t>17</w:t>
          </w:r>
          <w:r>
            <w:rPr>
              <w:b/>
            </w:rPr>
            <w:fldChar w:fldCharType="end"/>
          </w:r>
          <w:r>
            <w:rPr>
              <w:b/>
            </w:rPr>
            <w:fldChar w:fldCharType="end"/>
          </w:r>
        </w:p>
        <w:p w14:paraId="5B4BBAAD">
          <w:pPr>
            <w:pStyle w:val="34"/>
            <w:tabs>
              <w:tab w:val="right" w:leader="dot" w:pos="8306"/>
            </w:tabs>
          </w:pPr>
          <w:r>
            <w:fldChar w:fldCharType="begin"/>
          </w:r>
          <w:r>
            <w:instrText xml:space="preserve"> HYPERLINK \l _Toc8499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_Toc8499 \h </w:instrText>
          </w:r>
          <w:r>
            <w:fldChar w:fldCharType="separate"/>
          </w:r>
          <w:r>
            <w:t>17</w:t>
          </w:r>
          <w:r>
            <w:fldChar w:fldCharType="end"/>
          </w:r>
          <w:r>
            <w:fldChar w:fldCharType="end"/>
          </w:r>
        </w:p>
        <w:p w14:paraId="03DD8B64">
          <w:pPr>
            <w:pStyle w:val="34"/>
            <w:tabs>
              <w:tab w:val="right" w:leader="dot" w:pos="8306"/>
            </w:tabs>
          </w:pPr>
          <w:r>
            <w:fldChar w:fldCharType="begin"/>
          </w:r>
          <w:r>
            <w:instrText xml:space="preserve"> HYPERLINK \l _Toc2929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_Toc2929 \h </w:instrText>
          </w:r>
          <w:r>
            <w:fldChar w:fldCharType="separate"/>
          </w:r>
          <w:r>
            <w:t>17</w:t>
          </w:r>
          <w:r>
            <w:fldChar w:fldCharType="end"/>
          </w:r>
          <w:r>
            <w:fldChar w:fldCharType="end"/>
          </w:r>
        </w:p>
        <w:p w14:paraId="290C4A06">
          <w:pPr>
            <w:pStyle w:val="34"/>
            <w:tabs>
              <w:tab w:val="right" w:leader="dot" w:pos="8306"/>
            </w:tabs>
          </w:pPr>
          <w:r>
            <w:fldChar w:fldCharType="begin"/>
          </w:r>
          <w:r>
            <w:instrText xml:space="preserve"> HYPERLINK \l _Toc31702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_Toc31702 \h </w:instrText>
          </w:r>
          <w:r>
            <w:fldChar w:fldCharType="separate"/>
          </w:r>
          <w:r>
            <w:t>17</w:t>
          </w:r>
          <w:r>
            <w:fldChar w:fldCharType="end"/>
          </w:r>
          <w:r>
            <w:fldChar w:fldCharType="end"/>
          </w:r>
        </w:p>
        <w:p w14:paraId="56D82787">
          <w:pPr>
            <w:pStyle w:val="34"/>
            <w:tabs>
              <w:tab w:val="right" w:leader="dot" w:pos="8306"/>
            </w:tabs>
          </w:pPr>
          <w:r>
            <w:fldChar w:fldCharType="begin"/>
          </w:r>
          <w:r>
            <w:instrText xml:space="preserve"> HYPERLINK \l _Toc22145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_Toc22145 \h </w:instrText>
          </w:r>
          <w:r>
            <w:fldChar w:fldCharType="separate"/>
          </w:r>
          <w:r>
            <w:t>17</w:t>
          </w:r>
          <w:r>
            <w:fldChar w:fldCharType="end"/>
          </w:r>
          <w:r>
            <w:fldChar w:fldCharType="end"/>
          </w:r>
        </w:p>
        <w:p w14:paraId="76A7BF38">
          <w:pPr>
            <w:pStyle w:val="34"/>
            <w:tabs>
              <w:tab w:val="right" w:leader="dot" w:pos="8306"/>
            </w:tabs>
          </w:pPr>
          <w:r>
            <w:fldChar w:fldCharType="begin"/>
          </w:r>
          <w:r>
            <w:instrText xml:space="preserve"> HYPERLINK \l _Toc22368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_Toc22368 \h </w:instrText>
          </w:r>
          <w:r>
            <w:fldChar w:fldCharType="separate"/>
          </w:r>
          <w:r>
            <w:t>17</w:t>
          </w:r>
          <w:r>
            <w:fldChar w:fldCharType="end"/>
          </w:r>
          <w:r>
            <w:fldChar w:fldCharType="end"/>
          </w:r>
        </w:p>
        <w:p w14:paraId="7B464033">
          <w:pPr>
            <w:pStyle w:val="34"/>
            <w:tabs>
              <w:tab w:val="right" w:leader="dot" w:pos="8306"/>
            </w:tabs>
          </w:pPr>
          <w:r>
            <w:fldChar w:fldCharType="begin"/>
          </w:r>
          <w:r>
            <w:instrText xml:space="preserve"> HYPERLINK \l _Toc9422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_Toc9422 \h </w:instrText>
          </w:r>
          <w:r>
            <w:fldChar w:fldCharType="separate"/>
          </w:r>
          <w:r>
            <w:t>17</w:t>
          </w:r>
          <w:r>
            <w:fldChar w:fldCharType="end"/>
          </w:r>
          <w:r>
            <w:fldChar w:fldCharType="end"/>
          </w:r>
        </w:p>
        <w:p w14:paraId="2342AEEF">
          <w:pPr>
            <w:pStyle w:val="34"/>
            <w:tabs>
              <w:tab w:val="right" w:leader="dot" w:pos="8306"/>
            </w:tabs>
          </w:pPr>
          <w:r>
            <w:fldChar w:fldCharType="begin"/>
          </w:r>
          <w:r>
            <w:instrText xml:space="preserve"> HYPERLINK \l _Toc1101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_Toc1101 \h </w:instrText>
          </w:r>
          <w:r>
            <w:fldChar w:fldCharType="separate"/>
          </w:r>
          <w:r>
            <w:t>17</w:t>
          </w:r>
          <w:r>
            <w:fldChar w:fldCharType="end"/>
          </w:r>
          <w:r>
            <w:fldChar w:fldCharType="end"/>
          </w:r>
        </w:p>
        <w:p w14:paraId="076CDFBA">
          <w:pPr>
            <w:pStyle w:val="34"/>
            <w:tabs>
              <w:tab w:val="right" w:leader="dot" w:pos="8306"/>
            </w:tabs>
          </w:pPr>
          <w:r>
            <w:fldChar w:fldCharType="begin"/>
          </w:r>
          <w:r>
            <w:instrText xml:space="preserve"> HYPERLINK \l _Toc9896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_Toc9896 \h </w:instrText>
          </w:r>
          <w:r>
            <w:fldChar w:fldCharType="separate"/>
          </w:r>
          <w:r>
            <w:t>17</w:t>
          </w:r>
          <w:r>
            <w:fldChar w:fldCharType="end"/>
          </w:r>
          <w:r>
            <w:fldChar w:fldCharType="end"/>
          </w:r>
        </w:p>
        <w:p w14:paraId="00E6CB5F">
          <w:pPr>
            <w:pStyle w:val="34"/>
            <w:tabs>
              <w:tab w:val="right" w:leader="dot" w:pos="8306"/>
            </w:tabs>
          </w:pPr>
          <w:r>
            <w:fldChar w:fldCharType="begin"/>
          </w:r>
          <w:r>
            <w:instrText xml:space="preserve"> HYPERLINK \l _Toc29826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_Toc29826 \h </w:instrText>
          </w:r>
          <w:r>
            <w:fldChar w:fldCharType="separate"/>
          </w:r>
          <w:r>
            <w:t>17</w:t>
          </w:r>
          <w:r>
            <w:fldChar w:fldCharType="end"/>
          </w:r>
          <w:r>
            <w:fldChar w:fldCharType="end"/>
          </w:r>
        </w:p>
        <w:p w14:paraId="043DE994">
          <w:pPr>
            <w:pStyle w:val="34"/>
            <w:tabs>
              <w:tab w:val="right" w:leader="dot" w:pos="8306"/>
            </w:tabs>
          </w:pPr>
          <w:r>
            <w:fldChar w:fldCharType="begin"/>
          </w:r>
          <w:r>
            <w:instrText xml:space="preserve"> HYPERLINK \l _Toc17893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_Toc17893 \h </w:instrText>
          </w:r>
          <w:r>
            <w:fldChar w:fldCharType="separate"/>
          </w:r>
          <w:r>
            <w:t>17</w:t>
          </w:r>
          <w:r>
            <w:fldChar w:fldCharType="end"/>
          </w:r>
          <w:r>
            <w:fldChar w:fldCharType="end"/>
          </w:r>
        </w:p>
        <w:p w14:paraId="0E2968DB">
          <w:pPr>
            <w:pStyle w:val="34"/>
            <w:tabs>
              <w:tab w:val="right" w:leader="dot" w:pos="8306"/>
            </w:tabs>
          </w:pPr>
          <w:r>
            <w:fldChar w:fldCharType="begin"/>
          </w:r>
          <w:r>
            <w:instrText xml:space="preserve"> HYPERLINK \l _Toc21468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_Toc21468 \h </w:instrText>
          </w:r>
          <w:r>
            <w:fldChar w:fldCharType="separate"/>
          </w:r>
          <w:r>
            <w:t>17</w:t>
          </w:r>
          <w:r>
            <w:fldChar w:fldCharType="end"/>
          </w:r>
          <w:r>
            <w:fldChar w:fldCharType="end"/>
          </w:r>
        </w:p>
        <w:p w14:paraId="1F9337E2">
          <w:pPr>
            <w:pStyle w:val="34"/>
            <w:tabs>
              <w:tab w:val="right" w:leader="dot" w:pos="8306"/>
            </w:tabs>
          </w:pPr>
          <w:r>
            <w:fldChar w:fldCharType="begin"/>
          </w:r>
          <w:r>
            <w:instrText xml:space="preserve"> HYPERLINK \l _Toc19143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_Toc19143 \h </w:instrText>
          </w:r>
          <w:r>
            <w:fldChar w:fldCharType="separate"/>
          </w:r>
          <w:r>
            <w:t>17</w:t>
          </w:r>
          <w:r>
            <w:fldChar w:fldCharType="end"/>
          </w:r>
          <w:r>
            <w:fldChar w:fldCharType="end"/>
          </w:r>
        </w:p>
        <w:p w14:paraId="6EDB63CE">
          <w:pPr>
            <w:pStyle w:val="34"/>
            <w:tabs>
              <w:tab w:val="right" w:leader="dot" w:pos="8306"/>
            </w:tabs>
          </w:pPr>
          <w:r>
            <w:fldChar w:fldCharType="begin"/>
          </w:r>
          <w:r>
            <w:instrText xml:space="preserve"> HYPERLINK \l _Toc19973 </w:instrText>
          </w:r>
          <w:r>
            <w:fldChar w:fldCharType="separate"/>
          </w:r>
          <w:r>
            <w:rPr>
              <w:rFonts w:hint="eastAsia" w:ascii="仿宋" w:hAnsi="仿宋" w:eastAsia="仿宋"/>
              <w:bCs w:val="0"/>
            </w:rPr>
            <w:t>十三、财政拨款“三公”经费支出决算表</w:t>
          </w:r>
          <w:r>
            <w:tab/>
          </w:r>
          <w:r>
            <w:fldChar w:fldCharType="begin"/>
          </w:r>
          <w:r>
            <w:instrText xml:space="preserve"> PAGEREF _Toc19973 \h </w:instrText>
          </w:r>
          <w:r>
            <w:fldChar w:fldCharType="separate"/>
          </w:r>
          <w:r>
            <w:t>17</w:t>
          </w:r>
          <w:r>
            <w:fldChar w:fldCharType="end"/>
          </w:r>
          <w:r>
            <w:fldChar w:fldCharType="end"/>
          </w:r>
        </w:p>
        <w:p w14:paraId="4798FD4A">
          <w:pPr>
            <w:rPr>
              <w:b/>
            </w:rPr>
          </w:pPr>
          <w:r>
            <w:rPr>
              <w:b/>
            </w:rPr>
            <w:fldChar w:fldCharType="end"/>
          </w:r>
        </w:p>
      </w:sdtContent>
    </w:sdt>
    <w:p w14:paraId="7CFA9922">
      <w:pPr>
        <w:rPr>
          <w:b/>
        </w:rPr>
      </w:pPr>
    </w:p>
    <w:p w14:paraId="53D05D06">
      <w:pPr>
        <w:widowControl/>
        <w:spacing w:line="440" w:lineRule="exact"/>
        <w:jc w:val="left"/>
        <w:rPr>
          <w:rFonts w:ascii="仿宋" w:hAnsi="仿宋" w:eastAsia="仿宋"/>
          <w:bCs/>
          <w:kern w:val="44"/>
          <w:sz w:val="24"/>
        </w:rPr>
      </w:pPr>
      <w:bookmarkStart w:id="14" w:name="_Toc15377196"/>
      <w:bookmarkStart w:id="15" w:name="_Toc15396599"/>
      <w:r>
        <w:rPr>
          <w:rFonts w:ascii="仿宋" w:hAnsi="仿宋" w:eastAsia="仿宋"/>
          <w:b/>
          <w:sz w:val="24"/>
        </w:rPr>
        <w:br w:type="page"/>
      </w:r>
    </w:p>
    <w:p w14:paraId="2C0A6ABC">
      <w:pPr>
        <w:pStyle w:val="3"/>
        <w:jc w:val="center"/>
        <w:rPr>
          <w:rStyle w:val="27"/>
          <w:rFonts w:ascii="黑体" w:hAnsi="黑体" w:eastAsia="黑体"/>
          <w:b/>
          <w:bCs w:val="0"/>
        </w:rPr>
      </w:pPr>
      <w:bookmarkStart w:id="16" w:name="_Toc13272"/>
      <w:r>
        <w:rPr>
          <w:rFonts w:hint="eastAsia" w:ascii="黑体" w:hAnsi="黑体" w:eastAsia="黑体"/>
          <w:b w:val="0"/>
        </w:rPr>
        <w:t>第一部分 单位</w:t>
      </w:r>
      <w:r>
        <w:rPr>
          <w:rStyle w:val="27"/>
          <w:rFonts w:hint="eastAsia" w:ascii="黑体" w:hAnsi="黑体" w:eastAsia="黑体"/>
          <w:b w:val="0"/>
          <w:bCs w:val="0"/>
        </w:rPr>
        <w:t>概况</w:t>
      </w:r>
      <w:bookmarkEnd w:id="14"/>
      <w:bookmarkEnd w:id="15"/>
      <w:bookmarkEnd w:id="16"/>
    </w:p>
    <w:p w14:paraId="4601BDD8">
      <w:pPr>
        <w:widowControl/>
        <w:jc w:val="left"/>
        <w:rPr>
          <w:rFonts w:ascii="黑体" w:eastAsia="黑体"/>
          <w:sz w:val="32"/>
          <w:szCs w:val="32"/>
        </w:rPr>
      </w:pPr>
    </w:p>
    <w:p w14:paraId="7D086F39">
      <w:pPr>
        <w:pStyle w:val="4"/>
        <w:numPr>
          <w:ilvl w:val="0"/>
          <w:numId w:val="1"/>
        </w:numPr>
        <w:rPr>
          <w:rStyle w:val="28"/>
          <w:rFonts w:ascii="黑体" w:hAnsi="黑体" w:eastAsia="黑体"/>
          <w:b w:val="0"/>
          <w:bCs w:val="0"/>
        </w:rPr>
      </w:pPr>
      <w:bookmarkStart w:id="17" w:name="_Toc16808"/>
      <w:bookmarkStart w:id="18" w:name="_Toc15377197"/>
      <w:bookmarkStart w:id="19" w:name="_Toc15396600"/>
      <w:r>
        <w:rPr>
          <w:rStyle w:val="28"/>
          <w:rFonts w:hint="eastAsia" w:ascii="黑体" w:hAnsi="黑体" w:eastAsia="黑体"/>
          <w:b w:val="0"/>
          <w:bCs w:val="0"/>
        </w:rPr>
        <w:t>主要职责</w:t>
      </w:r>
      <w:bookmarkEnd w:id="17"/>
    </w:p>
    <w:p w14:paraId="1B729880">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主要职责：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w:t>
      </w:r>
    </w:p>
    <w:p w14:paraId="4F27C2BF">
      <w:pPr>
        <w:pStyle w:val="4"/>
        <w:rPr>
          <w:rFonts w:ascii="黑体" w:hAnsi="黑体" w:eastAsia="黑体"/>
          <w:b w:val="0"/>
        </w:rPr>
      </w:pPr>
      <w:bookmarkStart w:id="20" w:name="_Toc25308"/>
      <w:r>
        <w:rPr>
          <w:rFonts w:hint="eastAsia" w:ascii="黑体" w:hAnsi="黑体" w:eastAsia="黑体"/>
          <w:b w:val="0"/>
        </w:rPr>
        <w:t>二、机构设置</w:t>
      </w:r>
      <w:bookmarkEnd w:id="20"/>
    </w:p>
    <w:bookmarkEnd w:id="18"/>
    <w:bookmarkEnd w:id="19"/>
    <w:p w14:paraId="353CF1CC">
      <w:pPr>
        <w:widowControl/>
        <w:ind w:left="0" w:leftChars="0" w:firstLine="640" w:firstLineChars="200"/>
        <w:jc w:val="left"/>
        <w:rPr>
          <w:rFonts w:ascii="仿宋" w:hAnsi="仿宋" w:eastAsia="仿宋"/>
          <w:kern w:val="0"/>
          <w:sz w:val="32"/>
          <w:szCs w:val="32"/>
        </w:rPr>
      </w:pPr>
      <w:r>
        <w:rPr>
          <w:rFonts w:hint="eastAsia" w:ascii="仿宋" w:hAnsi="仿宋" w:eastAsia="仿宋"/>
          <w:sz w:val="32"/>
          <w:szCs w:val="32"/>
        </w:rPr>
        <w:t>峨边彝族自治县新林镇中心卫生院是峨边卫生健康局下属二级预算单位，属于公益一类事业单位。</w:t>
      </w:r>
      <w:r>
        <w:rPr>
          <w:rFonts w:ascii="仿宋" w:hAnsi="仿宋" w:eastAsia="仿宋"/>
          <w:sz w:val="32"/>
          <w:szCs w:val="32"/>
        </w:rPr>
        <w:br w:type="page"/>
      </w:r>
    </w:p>
    <w:p w14:paraId="2FBB7F07">
      <w:pPr>
        <w:pStyle w:val="3"/>
        <w:ind w:right="440"/>
        <w:jc w:val="center"/>
        <w:rPr>
          <w:rStyle w:val="27"/>
          <w:rFonts w:ascii="黑体" w:hAnsi="黑体" w:eastAsia="黑体"/>
          <w:b w:val="0"/>
          <w:bCs/>
        </w:rPr>
      </w:pPr>
      <w:bookmarkStart w:id="21" w:name="_Toc15377204"/>
      <w:bookmarkStart w:id="22" w:name="_Toc2057"/>
      <w:bookmarkStart w:id="23" w:name="_Toc15396602"/>
      <w:r>
        <w:rPr>
          <w:rFonts w:hint="eastAsia" w:ascii="黑体" w:hAnsi="黑体" w:eastAsia="黑体"/>
          <w:b w:val="0"/>
        </w:rPr>
        <w:t>第二部分 2023年度</w:t>
      </w:r>
      <w:r>
        <w:rPr>
          <w:rStyle w:val="27"/>
          <w:rFonts w:hint="eastAsia" w:ascii="黑体" w:hAnsi="黑体" w:eastAsia="黑体"/>
          <w:b w:val="0"/>
          <w:bCs/>
        </w:rPr>
        <w:t>单位决算情况说明</w:t>
      </w:r>
      <w:bookmarkEnd w:id="21"/>
      <w:bookmarkEnd w:id="22"/>
      <w:bookmarkEnd w:id="23"/>
    </w:p>
    <w:p w14:paraId="4307DB3F"/>
    <w:p w14:paraId="20CA1508">
      <w:pPr>
        <w:pStyle w:val="26"/>
        <w:numPr>
          <w:ilvl w:val="0"/>
          <w:numId w:val="2"/>
        </w:numPr>
        <w:spacing w:line="600" w:lineRule="exact"/>
        <w:ind w:firstLineChars="0"/>
        <w:outlineLvl w:val="1"/>
        <w:rPr>
          <w:rStyle w:val="28"/>
          <w:rFonts w:ascii="黑体" w:hAnsi="黑体" w:eastAsia="黑体"/>
          <w:b w:val="0"/>
        </w:rPr>
      </w:pPr>
      <w:bookmarkStart w:id="24" w:name="_Toc15396603"/>
      <w:bookmarkStart w:id="25" w:name="_Toc1047"/>
      <w:bookmarkStart w:id="26"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24"/>
      <w:bookmarkEnd w:id="25"/>
      <w:bookmarkEnd w:id="26"/>
    </w:p>
    <w:p w14:paraId="2F253775">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525.37</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87.76</w:t>
      </w:r>
      <w:r>
        <w:rPr>
          <w:rFonts w:hint="eastAsia" w:ascii="仿宋" w:hAnsi="仿宋" w:eastAsia="仿宋"/>
          <w:sz w:val="32"/>
          <w:szCs w:val="32"/>
        </w:rPr>
        <w:t>万元，增长</w:t>
      </w:r>
      <w:r>
        <w:rPr>
          <w:rFonts w:hint="eastAsia" w:ascii="仿宋" w:hAnsi="仿宋" w:eastAsia="仿宋"/>
          <w:sz w:val="32"/>
          <w:szCs w:val="32"/>
          <w:lang w:val="en-US" w:eastAsia="zh-CN"/>
        </w:rPr>
        <w:t>20.05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2023年人员经费和项目经费预算增加</w:t>
      </w:r>
      <w:r>
        <w:rPr>
          <w:rFonts w:hint="eastAsia" w:ascii="仿宋" w:hAnsi="仿宋" w:eastAsia="仿宋"/>
          <w:sz w:val="32"/>
          <w:szCs w:val="32"/>
        </w:rPr>
        <w:t>。</w:t>
      </w:r>
    </w:p>
    <w:p w14:paraId="4B0E9695">
      <w:pPr>
        <w:pStyle w:val="18"/>
        <w:jc w:val="center"/>
        <w:outlineLvl w:val="9"/>
      </w:pPr>
      <w:r>
        <w:drawing>
          <wp:inline distT="0" distB="0" distL="114300" distR="114300">
            <wp:extent cx="4562475" cy="2905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62475" cy="2905125"/>
                    </a:xfrm>
                    <a:prstGeom prst="rect">
                      <a:avLst/>
                    </a:prstGeom>
                    <a:noFill/>
                    <a:ln>
                      <a:noFill/>
                    </a:ln>
                  </pic:spPr>
                </pic:pic>
              </a:graphicData>
            </a:graphic>
          </wp:inline>
        </w:drawing>
      </w:r>
    </w:p>
    <w:p w14:paraId="76E4AD96">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4132B266">
      <w:pPr>
        <w:spacing w:line="600" w:lineRule="exact"/>
        <w:ind w:firstLine="640" w:firstLineChars="200"/>
        <w:jc w:val="left"/>
        <w:rPr>
          <w:rFonts w:ascii="仿宋_GB2312" w:eastAsia="仿宋_GB2312"/>
          <w:sz w:val="32"/>
          <w:szCs w:val="32"/>
        </w:rPr>
      </w:pPr>
    </w:p>
    <w:p w14:paraId="4426BB8D">
      <w:pPr>
        <w:pStyle w:val="26"/>
        <w:numPr>
          <w:ilvl w:val="0"/>
          <w:numId w:val="2"/>
        </w:numPr>
        <w:spacing w:line="600" w:lineRule="exact"/>
        <w:ind w:firstLineChars="0"/>
        <w:outlineLvl w:val="1"/>
        <w:rPr>
          <w:rStyle w:val="28"/>
          <w:rFonts w:ascii="黑体" w:hAnsi="黑体" w:eastAsia="黑体"/>
          <w:b w:val="0"/>
        </w:rPr>
      </w:pPr>
      <w:bookmarkStart w:id="27" w:name="_Toc31581"/>
      <w:bookmarkStart w:id="28" w:name="_Toc15396604"/>
      <w:bookmarkStart w:id="29" w:name="_Toc15377206"/>
      <w:r>
        <w:rPr>
          <w:rFonts w:hint="eastAsia" w:ascii="黑体" w:hAnsi="黑体" w:eastAsia="黑体"/>
          <w:sz w:val="32"/>
          <w:szCs w:val="32"/>
        </w:rPr>
        <w:t>收</w:t>
      </w:r>
      <w:r>
        <w:rPr>
          <w:rStyle w:val="28"/>
          <w:rFonts w:hint="eastAsia" w:ascii="黑体" w:hAnsi="黑体" w:eastAsia="黑体"/>
          <w:b w:val="0"/>
        </w:rPr>
        <w:t>入决算情况说明</w:t>
      </w:r>
      <w:bookmarkEnd w:id="27"/>
      <w:bookmarkEnd w:id="28"/>
      <w:bookmarkEnd w:id="29"/>
    </w:p>
    <w:p w14:paraId="2E9BEA77">
      <w:pPr>
        <w:spacing w:line="600" w:lineRule="exact"/>
        <w:ind w:firstLine="640" w:firstLineChars="200"/>
        <w:outlineLvl w:val="1"/>
        <w:rPr>
          <w:rFonts w:hint="eastAsia" w:ascii="仿宋" w:hAnsi="仿宋" w:eastAsia="仿宋"/>
          <w:sz w:val="32"/>
          <w:szCs w:val="32"/>
          <w:lang w:eastAsia="zh-CN"/>
        </w:rPr>
      </w:pPr>
      <w:bookmarkStart w:id="30" w:name="_Toc2222"/>
      <w:r>
        <w:rPr>
          <w:rFonts w:hint="eastAsia" w:ascii="仿宋" w:hAnsi="仿宋" w:eastAsia="仿宋"/>
          <w:sz w:val="32"/>
          <w:szCs w:val="32"/>
        </w:rPr>
        <w:t>2023年度本年收入合计</w:t>
      </w:r>
      <w:r>
        <w:rPr>
          <w:rFonts w:ascii="仿宋" w:hAnsi="仿宋" w:eastAsia="仿宋"/>
          <w:b/>
          <w:sz w:val="32"/>
          <w:szCs w:val="32"/>
        </w:rPr>
        <w:t>525.37</w:t>
      </w:r>
      <w:r>
        <w:rPr>
          <w:rFonts w:hint="eastAsia" w:ascii="仿宋" w:hAnsi="仿宋" w:eastAsia="仿宋"/>
          <w:sz w:val="32"/>
          <w:szCs w:val="32"/>
        </w:rPr>
        <w:t>万元，其中：一般公共预算财政拨款收入</w:t>
      </w:r>
      <w:r>
        <w:rPr>
          <w:rFonts w:ascii="仿宋" w:hAnsi="仿宋" w:eastAsia="仿宋"/>
          <w:b/>
          <w:sz w:val="32"/>
          <w:szCs w:val="32"/>
        </w:rPr>
        <w:t>453.68</w:t>
      </w:r>
      <w:r>
        <w:rPr>
          <w:rFonts w:hint="eastAsia" w:ascii="仿宋" w:hAnsi="仿宋" w:eastAsia="仿宋"/>
          <w:sz w:val="32"/>
          <w:szCs w:val="32"/>
        </w:rPr>
        <w:t>万元，占</w:t>
      </w:r>
      <w:r>
        <w:rPr>
          <w:rFonts w:ascii="仿宋" w:hAnsi="仿宋" w:eastAsia="仿宋"/>
          <w:b/>
          <w:sz w:val="32"/>
          <w:szCs w:val="32"/>
        </w:rPr>
        <w:t>86.35%</w:t>
      </w:r>
      <w:r>
        <w:rPr>
          <w:rFonts w:hint="eastAsia" w:ascii="仿宋" w:hAnsi="仿宋" w:eastAsia="仿宋"/>
          <w:sz w:val="32"/>
          <w:szCs w:val="32"/>
        </w:rPr>
        <w:t>；事业收入</w:t>
      </w:r>
      <w:r>
        <w:rPr>
          <w:rFonts w:ascii="仿宋" w:hAnsi="仿宋" w:eastAsia="仿宋"/>
          <w:b/>
          <w:sz w:val="32"/>
          <w:szCs w:val="32"/>
        </w:rPr>
        <w:t>71.</w:t>
      </w:r>
      <w:r>
        <w:rPr>
          <w:rFonts w:hint="eastAsia" w:ascii="仿宋" w:hAnsi="仿宋" w:eastAsia="仿宋"/>
          <w:b/>
          <w:sz w:val="32"/>
          <w:szCs w:val="32"/>
          <w:lang w:val="en-US" w:eastAsia="zh-CN"/>
        </w:rPr>
        <w:t>69</w:t>
      </w:r>
      <w:r>
        <w:rPr>
          <w:rFonts w:hint="eastAsia" w:ascii="仿宋" w:hAnsi="仿宋" w:eastAsia="仿宋"/>
          <w:sz w:val="32"/>
          <w:szCs w:val="32"/>
        </w:rPr>
        <w:t>万元，占</w:t>
      </w:r>
      <w:r>
        <w:rPr>
          <w:rFonts w:ascii="仿宋" w:hAnsi="仿宋" w:eastAsia="仿宋"/>
          <w:b/>
          <w:sz w:val="32"/>
          <w:szCs w:val="32"/>
        </w:rPr>
        <w:t>13.6</w:t>
      </w:r>
      <w:r>
        <w:rPr>
          <w:rFonts w:hint="eastAsia" w:ascii="仿宋" w:hAnsi="仿宋" w:eastAsia="仿宋"/>
          <w:b/>
          <w:sz w:val="32"/>
          <w:szCs w:val="32"/>
          <w:lang w:val="en-US" w:eastAsia="zh-CN"/>
        </w:rPr>
        <w:t>5</w:t>
      </w:r>
      <w:r>
        <w:rPr>
          <w:rFonts w:ascii="仿宋" w:hAnsi="仿宋" w:eastAsia="仿宋"/>
          <w:sz w:val="32"/>
          <w:szCs w:val="32"/>
        </w:rPr>
        <w:t>%</w:t>
      </w:r>
      <w:r>
        <w:rPr>
          <w:rFonts w:hint="eastAsia" w:ascii="仿宋" w:hAnsi="仿宋" w:eastAsia="仿宋"/>
          <w:sz w:val="32"/>
          <w:szCs w:val="32"/>
          <w:lang w:eastAsia="zh-CN"/>
        </w:rPr>
        <w:t>。</w:t>
      </w:r>
      <w:bookmarkEnd w:id="30"/>
    </w:p>
    <w:p w14:paraId="0CC2FD1F">
      <w:pPr>
        <w:spacing w:line="240" w:lineRule="auto"/>
        <w:ind w:firstLine="0" w:firstLineChars="0"/>
        <w:jc w:val="center"/>
        <w:outlineLvl w:val="9"/>
        <w:rPr>
          <w:rFonts w:ascii="仿宋" w:hAnsi="仿宋" w:eastAsia="仿宋"/>
          <w:sz w:val="32"/>
          <w:szCs w:val="32"/>
        </w:rPr>
      </w:pPr>
      <w:r>
        <w:drawing>
          <wp:inline distT="0" distB="0" distL="114300" distR="114300">
            <wp:extent cx="4562475" cy="2914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562475" cy="2914650"/>
                    </a:xfrm>
                    <a:prstGeom prst="rect">
                      <a:avLst/>
                    </a:prstGeom>
                    <a:noFill/>
                    <a:ln>
                      <a:noFill/>
                    </a:ln>
                  </pic:spPr>
                </pic:pic>
              </a:graphicData>
            </a:graphic>
          </wp:inline>
        </w:drawing>
      </w:r>
    </w:p>
    <w:p w14:paraId="525FCFF4">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247D3024">
      <w:pPr>
        <w:spacing w:line="600" w:lineRule="exact"/>
        <w:ind w:firstLine="640" w:firstLineChars="200"/>
        <w:rPr>
          <w:rFonts w:ascii="仿宋_GB2312" w:eastAsia="仿宋_GB2312"/>
          <w:sz w:val="32"/>
          <w:szCs w:val="32"/>
        </w:rPr>
      </w:pPr>
    </w:p>
    <w:p w14:paraId="20030D17">
      <w:pPr>
        <w:pStyle w:val="26"/>
        <w:numPr>
          <w:ilvl w:val="0"/>
          <w:numId w:val="2"/>
        </w:numPr>
        <w:spacing w:line="600" w:lineRule="exact"/>
        <w:ind w:firstLineChars="0"/>
        <w:outlineLvl w:val="1"/>
        <w:rPr>
          <w:rStyle w:val="28"/>
          <w:rFonts w:ascii="黑体" w:hAnsi="黑体" w:eastAsia="黑体"/>
          <w:b w:val="0"/>
        </w:rPr>
      </w:pPr>
      <w:bookmarkStart w:id="31" w:name="_Toc15396605"/>
      <w:bookmarkStart w:id="32" w:name="_Toc9982"/>
      <w:bookmarkStart w:id="33" w:name="_Toc15377207"/>
      <w:r>
        <w:rPr>
          <w:rFonts w:hint="eastAsia" w:ascii="黑体" w:hAnsi="黑体" w:eastAsia="黑体"/>
          <w:sz w:val="32"/>
          <w:szCs w:val="32"/>
        </w:rPr>
        <w:t>支</w:t>
      </w:r>
      <w:r>
        <w:rPr>
          <w:rStyle w:val="28"/>
          <w:rFonts w:hint="eastAsia" w:ascii="黑体" w:hAnsi="黑体" w:eastAsia="黑体"/>
          <w:b w:val="0"/>
        </w:rPr>
        <w:t>出决算情况说明</w:t>
      </w:r>
      <w:bookmarkEnd w:id="31"/>
      <w:bookmarkEnd w:id="32"/>
      <w:bookmarkEnd w:id="33"/>
    </w:p>
    <w:p w14:paraId="67C7DF9D">
      <w:pPr>
        <w:spacing w:line="600" w:lineRule="exact"/>
        <w:ind w:firstLine="640" w:firstLineChars="200"/>
        <w:outlineLvl w:val="1"/>
        <w:rPr>
          <w:rFonts w:ascii="仿宋" w:hAnsi="仿宋" w:eastAsia="仿宋"/>
          <w:sz w:val="32"/>
          <w:szCs w:val="32"/>
        </w:rPr>
      </w:pPr>
      <w:bookmarkStart w:id="34" w:name="_Toc23093"/>
      <w:r>
        <w:rPr>
          <w:rFonts w:hint="eastAsia" w:ascii="仿宋" w:hAnsi="仿宋" w:eastAsia="仿宋"/>
          <w:sz w:val="32"/>
          <w:szCs w:val="32"/>
        </w:rPr>
        <w:t>2023年度本年支出合计</w:t>
      </w:r>
      <w:r>
        <w:rPr>
          <w:rFonts w:ascii="仿宋" w:hAnsi="仿宋" w:eastAsia="仿宋"/>
          <w:b/>
          <w:sz w:val="32"/>
          <w:szCs w:val="32"/>
        </w:rPr>
        <w:t>525.37</w:t>
      </w:r>
      <w:r>
        <w:rPr>
          <w:rFonts w:hint="eastAsia" w:ascii="仿宋" w:hAnsi="仿宋" w:eastAsia="仿宋"/>
          <w:sz w:val="32"/>
          <w:szCs w:val="32"/>
        </w:rPr>
        <w:t>万元，其中：基本支出</w:t>
      </w:r>
      <w:r>
        <w:rPr>
          <w:rFonts w:ascii="仿宋" w:hAnsi="仿宋" w:eastAsia="仿宋"/>
          <w:b/>
          <w:sz w:val="32"/>
          <w:szCs w:val="32"/>
        </w:rPr>
        <w:t>361.45</w:t>
      </w:r>
      <w:r>
        <w:rPr>
          <w:rFonts w:hint="eastAsia" w:ascii="仿宋" w:hAnsi="仿宋" w:eastAsia="仿宋"/>
          <w:sz w:val="32"/>
          <w:szCs w:val="32"/>
        </w:rPr>
        <w:t>万元，占</w:t>
      </w:r>
      <w:r>
        <w:rPr>
          <w:rFonts w:ascii="仿宋" w:hAnsi="仿宋" w:eastAsia="仿宋"/>
          <w:b/>
          <w:sz w:val="32"/>
          <w:szCs w:val="32"/>
        </w:rPr>
        <w:t>68.79</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163.92</w:t>
      </w:r>
      <w:r>
        <w:rPr>
          <w:rFonts w:hint="eastAsia" w:ascii="仿宋" w:hAnsi="仿宋" w:eastAsia="仿宋"/>
          <w:sz w:val="32"/>
          <w:szCs w:val="32"/>
        </w:rPr>
        <w:t>万元，占</w:t>
      </w:r>
      <w:r>
        <w:rPr>
          <w:rFonts w:ascii="仿宋" w:hAnsi="仿宋" w:eastAsia="仿宋"/>
          <w:b/>
          <w:sz w:val="32"/>
          <w:szCs w:val="32"/>
        </w:rPr>
        <w:t>31.2</w:t>
      </w:r>
      <w:r>
        <w:rPr>
          <w:rFonts w:ascii="仿宋" w:hAnsi="仿宋" w:eastAsia="仿宋"/>
          <w:sz w:val="32"/>
          <w:szCs w:val="32"/>
        </w:rPr>
        <w:t>%</w:t>
      </w:r>
      <w:r>
        <w:rPr>
          <w:rFonts w:hint="eastAsia" w:ascii="仿宋" w:hAnsi="仿宋" w:eastAsia="仿宋"/>
          <w:sz w:val="32"/>
          <w:szCs w:val="32"/>
        </w:rPr>
        <w:t>。</w:t>
      </w:r>
      <w:bookmarkEnd w:id="34"/>
    </w:p>
    <w:p w14:paraId="1DC6F21C">
      <w:pPr>
        <w:spacing w:line="240" w:lineRule="auto"/>
        <w:ind w:firstLine="0"/>
        <w:jc w:val="center"/>
        <w:rPr>
          <w:rFonts w:ascii="仿宋" w:hAnsi="仿宋" w:eastAsia="仿宋"/>
          <w:sz w:val="32"/>
          <w:szCs w:val="32"/>
          <w:shd w:val="pct10" w:color="auto" w:fill="FFFFFF"/>
        </w:rPr>
      </w:pPr>
      <w:r>
        <w:drawing>
          <wp:inline distT="0" distB="0" distL="114300" distR="114300">
            <wp:extent cx="4562475" cy="29051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62475" cy="2905125"/>
                    </a:xfrm>
                    <a:prstGeom prst="rect">
                      <a:avLst/>
                    </a:prstGeom>
                    <a:noFill/>
                    <a:ln>
                      <a:noFill/>
                    </a:ln>
                  </pic:spPr>
                </pic:pic>
              </a:graphicData>
            </a:graphic>
          </wp:inline>
        </w:drawing>
      </w:r>
    </w:p>
    <w:p w14:paraId="5BEFE9E7">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2963E821">
      <w:pPr>
        <w:spacing w:line="600" w:lineRule="exact"/>
        <w:ind w:firstLine="640" w:firstLineChars="200"/>
        <w:rPr>
          <w:rFonts w:ascii="仿宋_GB2312" w:eastAsia="仿宋_GB2312"/>
          <w:sz w:val="32"/>
          <w:szCs w:val="32"/>
        </w:rPr>
      </w:pPr>
    </w:p>
    <w:p w14:paraId="57EF335F">
      <w:pPr>
        <w:spacing w:line="600" w:lineRule="exact"/>
        <w:ind w:firstLine="640" w:firstLineChars="200"/>
        <w:outlineLvl w:val="1"/>
        <w:rPr>
          <w:rStyle w:val="28"/>
          <w:rFonts w:ascii="黑体" w:hAnsi="黑体" w:eastAsia="黑体"/>
          <w:b w:val="0"/>
        </w:rPr>
      </w:pPr>
      <w:bookmarkStart w:id="35" w:name="_Toc15377208"/>
      <w:bookmarkStart w:id="36" w:name="_Toc15396606"/>
      <w:bookmarkStart w:id="37" w:name="_Toc13134"/>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5"/>
      <w:bookmarkEnd w:id="36"/>
      <w:bookmarkEnd w:id="37"/>
    </w:p>
    <w:p w14:paraId="3C40E8F5">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rPr>
        <w:t>2023年度财政拨款收、支总计均为</w:t>
      </w:r>
      <w:r>
        <w:rPr>
          <w:rFonts w:ascii="仿宋" w:hAnsi="仿宋" w:eastAsia="仿宋"/>
          <w:b/>
          <w:sz w:val="32"/>
          <w:szCs w:val="32"/>
        </w:rPr>
        <w:t>453.68</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87.43</w:t>
      </w:r>
      <w:r>
        <w:rPr>
          <w:rFonts w:hint="eastAsia" w:ascii="仿宋" w:hAnsi="仿宋" w:eastAsia="仿宋"/>
          <w:sz w:val="32"/>
          <w:szCs w:val="32"/>
        </w:rPr>
        <w:t>万元，增长</w:t>
      </w:r>
      <w:r>
        <w:rPr>
          <w:rFonts w:hint="eastAsia" w:ascii="仿宋" w:hAnsi="仿宋" w:eastAsia="仿宋"/>
          <w:sz w:val="32"/>
          <w:szCs w:val="32"/>
          <w:lang w:val="en-US" w:eastAsia="zh-CN"/>
        </w:rPr>
        <w:t>23.87</w:t>
      </w:r>
      <w:r>
        <w:rPr>
          <w:rFonts w:ascii="仿宋" w:hAnsi="仿宋" w:eastAsia="仿宋"/>
          <w:sz w:val="32"/>
          <w:szCs w:val="32"/>
        </w:rPr>
        <w:t>%</w:t>
      </w:r>
      <w:r>
        <w:rPr>
          <w:rFonts w:hint="eastAsia" w:ascii="仿宋" w:hAnsi="仿宋" w:eastAsia="仿宋"/>
          <w:sz w:val="32"/>
          <w:szCs w:val="32"/>
        </w:rPr>
        <w:t>。主要变动原因是2023年人员经费和项目经费预算增加</w:t>
      </w:r>
      <w:r>
        <w:rPr>
          <w:rFonts w:hint="eastAsia" w:ascii="仿宋" w:hAnsi="仿宋" w:eastAsia="仿宋"/>
          <w:sz w:val="32"/>
          <w:szCs w:val="32"/>
          <w:lang w:eastAsia="zh-CN"/>
        </w:rPr>
        <w:t>。</w:t>
      </w:r>
    </w:p>
    <w:p w14:paraId="52464998">
      <w:pPr>
        <w:spacing w:line="240" w:lineRule="auto"/>
        <w:jc w:val="center"/>
        <w:rPr>
          <w:rFonts w:ascii="仿宋" w:hAnsi="仿宋" w:eastAsia="仿宋"/>
          <w:sz w:val="32"/>
          <w:szCs w:val="32"/>
        </w:rPr>
      </w:pPr>
      <w:r>
        <w:drawing>
          <wp:inline distT="0" distB="0" distL="114300" distR="114300">
            <wp:extent cx="4562475" cy="2905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562475" cy="2905125"/>
                    </a:xfrm>
                    <a:prstGeom prst="rect">
                      <a:avLst/>
                    </a:prstGeom>
                    <a:noFill/>
                    <a:ln>
                      <a:noFill/>
                    </a:ln>
                  </pic:spPr>
                </pic:pic>
              </a:graphicData>
            </a:graphic>
          </wp:inline>
        </w:drawing>
      </w:r>
    </w:p>
    <w:p w14:paraId="7ECC153F">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5D6ADE91">
      <w:pPr>
        <w:spacing w:line="600" w:lineRule="exact"/>
        <w:ind w:firstLine="640"/>
        <w:rPr>
          <w:rFonts w:ascii="仿宋" w:hAnsi="仿宋" w:eastAsia="仿宋"/>
          <w:b/>
          <w:sz w:val="32"/>
          <w:szCs w:val="32"/>
        </w:rPr>
      </w:pPr>
    </w:p>
    <w:p w14:paraId="1F66BF7F">
      <w:pPr>
        <w:spacing w:line="600" w:lineRule="exact"/>
        <w:ind w:firstLine="640" w:firstLineChars="200"/>
        <w:outlineLvl w:val="1"/>
        <w:rPr>
          <w:rStyle w:val="28"/>
          <w:rFonts w:ascii="黑体" w:hAnsi="黑体" w:eastAsia="黑体"/>
          <w:b w:val="0"/>
        </w:rPr>
      </w:pPr>
      <w:bookmarkStart w:id="38" w:name="_Toc15377209"/>
      <w:bookmarkStart w:id="39" w:name="_Toc15396607"/>
      <w:bookmarkStart w:id="40" w:name="_Toc14390"/>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8"/>
      <w:bookmarkEnd w:id="39"/>
      <w:bookmarkEnd w:id="40"/>
    </w:p>
    <w:p w14:paraId="5C6A6577">
      <w:pPr>
        <w:spacing w:line="600" w:lineRule="exact"/>
        <w:ind w:firstLine="643" w:firstLineChars="200"/>
        <w:outlineLvl w:val="2"/>
        <w:rPr>
          <w:rFonts w:ascii="仿宋" w:hAnsi="仿宋" w:eastAsia="仿宋"/>
          <w:b/>
          <w:sz w:val="32"/>
          <w:szCs w:val="32"/>
        </w:rPr>
      </w:pPr>
      <w:bookmarkStart w:id="41" w:name="_Toc15377210"/>
      <w:r>
        <w:rPr>
          <w:rFonts w:hint="eastAsia" w:ascii="仿宋" w:hAnsi="仿宋" w:eastAsia="仿宋"/>
          <w:b/>
          <w:sz w:val="32"/>
          <w:szCs w:val="32"/>
        </w:rPr>
        <w:t>（一）一般公共预算财政拨款支出决算总体情况</w:t>
      </w:r>
      <w:bookmarkEnd w:id="41"/>
    </w:p>
    <w:p w14:paraId="58FAB4B2">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2023年度一般公共预算财政拨款支出</w:t>
      </w:r>
      <w:r>
        <w:rPr>
          <w:rFonts w:ascii="仿宋" w:hAnsi="仿宋" w:eastAsia="仿宋"/>
          <w:b/>
          <w:sz w:val="32"/>
          <w:szCs w:val="32"/>
        </w:rPr>
        <w:t>453.68</w:t>
      </w:r>
      <w:r>
        <w:rPr>
          <w:rFonts w:hint="eastAsia" w:ascii="仿宋" w:hAnsi="仿宋" w:eastAsia="仿宋"/>
          <w:sz w:val="32"/>
          <w:szCs w:val="32"/>
        </w:rPr>
        <w:t>万元，占本年支出合计的</w:t>
      </w:r>
      <w:r>
        <w:rPr>
          <w:rFonts w:ascii="仿宋" w:hAnsi="仿宋" w:eastAsia="仿宋"/>
          <w:b/>
          <w:sz w:val="32"/>
          <w:szCs w:val="32"/>
        </w:rPr>
        <w:t>86.35</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87.43</w:t>
      </w:r>
      <w:r>
        <w:rPr>
          <w:rFonts w:hint="eastAsia" w:ascii="仿宋" w:hAnsi="仿宋" w:eastAsia="仿宋"/>
          <w:sz w:val="32"/>
          <w:szCs w:val="32"/>
        </w:rPr>
        <w:t>万元，增长</w:t>
      </w:r>
      <w:r>
        <w:rPr>
          <w:rFonts w:hint="eastAsia" w:ascii="仿宋" w:hAnsi="仿宋" w:eastAsia="仿宋"/>
          <w:sz w:val="32"/>
          <w:szCs w:val="32"/>
          <w:lang w:val="en-US" w:eastAsia="zh-CN"/>
        </w:rPr>
        <w:t>23.87</w:t>
      </w:r>
      <w:r>
        <w:rPr>
          <w:rFonts w:ascii="仿宋" w:hAnsi="仿宋" w:eastAsia="仿宋"/>
          <w:sz w:val="32"/>
          <w:szCs w:val="32"/>
        </w:rPr>
        <w:t>%</w:t>
      </w:r>
      <w:r>
        <w:rPr>
          <w:rFonts w:hint="eastAsia" w:ascii="仿宋" w:hAnsi="仿宋" w:eastAsia="仿宋"/>
          <w:sz w:val="32"/>
          <w:szCs w:val="32"/>
        </w:rPr>
        <w:t>。主要变动原因是2023年人员经费和项目经费预算增加</w:t>
      </w:r>
      <w:r>
        <w:rPr>
          <w:rFonts w:hint="eastAsia" w:ascii="仿宋" w:hAnsi="仿宋" w:eastAsia="仿宋"/>
          <w:sz w:val="32"/>
          <w:szCs w:val="32"/>
          <w:lang w:eastAsia="zh-CN"/>
        </w:rPr>
        <w:t>。</w:t>
      </w:r>
    </w:p>
    <w:p w14:paraId="3E9BE8F8">
      <w:pPr>
        <w:spacing w:line="240" w:lineRule="auto"/>
        <w:ind w:firstLine="0" w:firstLineChars="0"/>
        <w:jc w:val="center"/>
        <w:rPr>
          <w:rFonts w:ascii="仿宋" w:hAnsi="仿宋" w:eastAsia="仿宋"/>
          <w:sz w:val="32"/>
          <w:szCs w:val="32"/>
        </w:rPr>
      </w:pPr>
      <w:r>
        <w:drawing>
          <wp:inline distT="0" distB="0" distL="114300" distR="114300">
            <wp:extent cx="4562475" cy="2905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562475" cy="2905125"/>
                    </a:xfrm>
                    <a:prstGeom prst="rect">
                      <a:avLst/>
                    </a:prstGeom>
                    <a:noFill/>
                    <a:ln>
                      <a:noFill/>
                    </a:ln>
                  </pic:spPr>
                </pic:pic>
              </a:graphicData>
            </a:graphic>
          </wp:inline>
        </w:drawing>
      </w:r>
    </w:p>
    <w:p w14:paraId="0CE48A7F">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60565248">
      <w:pPr>
        <w:spacing w:line="600" w:lineRule="exact"/>
        <w:ind w:firstLine="643" w:firstLineChars="200"/>
        <w:outlineLvl w:val="2"/>
        <w:rPr>
          <w:rFonts w:ascii="仿宋" w:hAnsi="仿宋" w:eastAsia="仿宋"/>
          <w:b/>
          <w:sz w:val="32"/>
          <w:szCs w:val="32"/>
        </w:rPr>
      </w:pPr>
      <w:bookmarkStart w:id="42" w:name="_Toc15377211"/>
      <w:r>
        <w:rPr>
          <w:rFonts w:hint="eastAsia" w:ascii="仿宋" w:hAnsi="仿宋" w:eastAsia="仿宋"/>
          <w:b/>
          <w:sz w:val="32"/>
          <w:szCs w:val="32"/>
        </w:rPr>
        <w:t>（二）一般公共预算财政拨款支出决算结构情况</w:t>
      </w:r>
      <w:bookmarkEnd w:id="42"/>
    </w:p>
    <w:p w14:paraId="4BDC4031">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453.68</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37.11</w:t>
      </w:r>
      <w:r>
        <w:rPr>
          <w:rFonts w:hint="eastAsia" w:ascii="仿宋" w:hAnsi="仿宋" w:eastAsia="仿宋"/>
          <w:sz w:val="32"/>
          <w:szCs w:val="32"/>
        </w:rPr>
        <w:t>万元，占</w:t>
      </w:r>
      <w:r>
        <w:rPr>
          <w:rFonts w:hint="eastAsia" w:ascii="仿宋" w:hAnsi="仿宋" w:eastAsia="仿宋"/>
          <w:sz w:val="32"/>
          <w:szCs w:val="32"/>
          <w:lang w:val="en-US" w:eastAsia="zh-CN"/>
        </w:rPr>
        <w:t>8.18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392.30</w:t>
      </w:r>
      <w:r>
        <w:rPr>
          <w:rFonts w:hint="eastAsia" w:ascii="仿宋" w:hAnsi="仿宋" w:eastAsia="仿宋"/>
          <w:sz w:val="32"/>
          <w:szCs w:val="32"/>
        </w:rPr>
        <w:t>万元，占</w:t>
      </w:r>
      <w:r>
        <w:rPr>
          <w:rFonts w:hint="eastAsia" w:ascii="仿宋" w:hAnsi="仿宋" w:eastAsia="仿宋"/>
          <w:sz w:val="32"/>
          <w:szCs w:val="32"/>
          <w:lang w:val="en-US" w:eastAsia="zh-CN"/>
        </w:rPr>
        <w:t>86.47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24.27</w:t>
      </w:r>
      <w:r>
        <w:rPr>
          <w:rFonts w:hint="eastAsia" w:ascii="仿宋" w:hAnsi="仿宋" w:eastAsia="仿宋"/>
          <w:sz w:val="32"/>
          <w:szCs w:val="32"/>
        </w:rPr>
        <w:t>万元，占</w:t>
      </w:r>
      <w:r>
        <w:rPr>
          <w:rFonts w:hint="eastAsia" w:ascii="仿宋" w:hAnsi="仿宋" w:eastAsia="仿宋"/>
          <w:sz w:val="32"/>
          <w:szCs w:val="32"/>
          <w:lang w:val="en-US" w:eastAsia="zh-CN"/>
        </w:rPr>
        <w:t>5.37</w:t>
      </w:r>
      <w:r>
        <w:rPr>
          <w:rFonts w:ascii="仿宋" w:hAnsi="仿宋" w:eastAsia="仿宋"/>
          <w:sz w:val="32"/>
          <w:szCs w:val="32"/>
        </w:rPr>
        <w:t>%</w:t>
      </w:r>
      <w:r>
        <w:rPr>
          <w:rFonts w:hint="eastAsia" w:ascii="仿宋" w:hAnsi="仿宋" w:eastAsia="仿宋"/>
          <w:sz w:val="32"/>
          <w:szCs w:val="32"/>
        </w:rPr>
        <w:t>。</w:t>
      </w:r>
    </w:p>
    <w:p w14:paraId="417D6B15">
      <w:pPr>
        <w:spacing w:line="240" w:lineRule="auto"/>
        <w:ind w:firstLine="0"/>
        <w:jc w:val="center"/>
        <w:rPr>
          <w:rFonts w:ascii="仿宋" w:hAnsi="仿宋" w:eastAsia="仿宋"/>
          <w:sz w:val="32"/>
          <w:szCs w:val="32"/>
        </w:rPr>
      </w:pPr>
      <w:r>
        <w:drawing>
          <wp:inline distT="0" distB="0" distL="114300" distR="114300">
            <wp:extent cx="4552950" cy="29146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552950" cy="2914650"/>
                    </a:xfrm>
                    <a:prstGeom prst="rect">
                      <a:avLst/>
                    </a:prstGeom>
                    <a:noFill/>
                    <a:ln>
                      <a:noFill/>
                    </a:ln>
                  </pic:spPr>
                </pic:pic>
              </a:graphicData>
            </a:graphic>
          </wp:inline>
        </w:drawing>
      </w:r>
    </w:p>
    <w:p w14:paraId="0D87D528">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3C769199">
      <w:pPr>
        <w:spacing w:line="600" w:lineRule="exact"/>
        <w:ind w:firstLine="640" w:firstLineChars="200"/>
        <w:rPr>
          <w:rFonts w:ascii="仿宋" w:hAnsi="仿宋" w:eastAsia="仿宋"/>
          <w:sz w:val="32"/>
          <w:szCs w:val="32"/>
        </w:rPr>
      </w:pPr>
    </w:p>
    <w:p w14:paraId="45DFB77F">
      <w:pPr>
        <w:spacing w:line="600" w:lineRule="exact"/>
        <w:ind w:firstLine="643" w:firstLineChars="200"/>
        <w:outlineLvl w:val="2"/>
        <w:rPr>
          <w:rFonts w:ascii="仿宋" w:hAnsi="仿宋" w:eastAsia="仿宋"/>
          <w:b/>
          <w:sz w:val="32"/>
          <w:szCs w:val="32"/>
        </w:rPr>
      </w:pPr>
      <w:bookmarkStart w:id="43" w:name="_Toc15377212"/>
      <w:r>
        <w:rPr>
          <w:rFonts w:hint="eastAsia" w:ascii="仿宋" w:hAnsi="仿宋" w:eastAsia="仿宋"/>
          <w:b/>
          <w:sz w:val="32"/>
          <w:szCs w:val="32"/>
        </w:rPr>
        <w:t>（三）一般公共预算财政拨款支出决算具体情况</w:t>
      </w:r>
      <w:bookmarkEnd w:id="43"/>
    </w:p>
    <w:p w14:paraId="3848319D">
      <w:pPr>
        <w:spacing w:line="600" w:lineRule="exact"/>
        <w:ind w:firstLine="643" w:firstLineChars="200"/>
        <w:outlineLvl w:val="1"/>
        <w:rPr>
          <w:rFonts w:ascii="仿宋" w:hAnsi="仿宋" w:eastAsia="仿宋"/>
          <w:sz w:val="32"/>
          <w:szCs w:val="32"/>
        </w:rPr>
      </w:pPr>
      <w:bookmarkStart w:id="44" w:name="_Toc15378460"/>
      <w:bookmarkStart w:id="45" w:name="_Toc15377213"/>
      <w:bookmarkStart w:id="46" w:name="_Toc15377444"/>
      <w:bookmarkStart w:id="47" w:name="_Toc32664"/>
      <w:r>
        <w:rPr>
          <w:rFonts w:hint="eastAsia" w:ascii="仿宋" w:hAnsi="仿宋" w:eastAsia="仿宋"/>
          <w:b/>
          <w:sz w:val="32"/>
          <w:szCs w:val="32"/>
        </w:rPr>
        <w:t>2023年度一般公共预算支出决算数为</w:t>
      </w:r>
      <w:r>
        <w:rPr>
          <w:rFonts w:ascii="仿宋" w:hAnsi="仿宋" w:eastAsia="仿宋"/>
          <w:b/>
          <w:sz w:val="32"/>
          <w:szCs w:val="32"/>
        </w:rPr>
        <w:t>453.68</w:t>
      </w:r>
      <w:r>
        <w:rPr>
          <w:rFonts w:hint="eastAsia" w:ascii="仿宋" w:hAnsi="仿宋" w:eastAsia="仿宋"/>
          <w:b/>
          <w:sz w:val="32"/>
          <w:szCs w:val="32"/>
          <w:lang w:val="en-US" w:eastAsia="zh-CN"/>
        </w:rPr>
        <w:t>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44"/>
      <w:bookmarkEnd w:id="45"/>
      <w:bookmarkEnd w:id="46"/>
      <w:bookmarkEnd w:id="47"/>
    </w:p>
    <w:p w14:paraId="5A8CA101">
      <w:pPr>
        <w:spacing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 xml:space="preserve">1.社会保障和就业（类）行政事业单位养老支出（款）机关事业单位基本养老保险缴费支出（项）: </w:t>
      </w:r>
      <w:r>
        <w:rPr>
          <w:rFonts w:hint="eastAsia" w:ascii="仿宋_GB2312" w:hAnsi="仿宋_GB2312" w:eastAsia="仿宋_GB2312"/>
          <w:color w:val="000000"/>
          <w:kern w:val="2"/>
          <w:sz w:val="32"/>
          <w:szCs w:val="24"/>
          <w:lang w:val="en-US"/>
        </w:rPr>
        <w:t>支出决算为2</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lang w:val="en-US"/>
        </w:rPr>
        <w:t>.1</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万元，完成预算100%，决算数与预算数持平。</w:t>
      </w:r>
    </w:p>
    <w:p w14:paraId="6D479074">
      <w:pPr>
        <w:spacing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 xml:space="preserve">2.社会保障和就业（类）行政事业单位养老支出（款）机关事业单位职业年金缴费支出（项）: </w:t>
      </w:r>
      <w:r>
        <w:rPr>
          <w:rFonts w:hint="eastAsia" w:ascii="仿宋_GB2312" w:hAnsi="仿宋_GB2312" w:eastAsia="仿宋_GB2312"/>
          <w:color w:val="000000"/>
          <w:kern w:val="2"/>
          <w:sz w:val="32"/>
          <w:szCs w:val="24"/>
          <w:lang w:val="en-US"/>
        </w:rPr>
        <w:t>支出决算为1</w:t>
      </w:r>
      <w:r>
        <w:rPr>
          <w:rFonts w:hint="eastAsia" w:ascii="仿宋_GB2312" w:hAnsi="仿宋_GB2312" w:eastAsia="仿宋_GB2312"/>
          <w:color w:val="000000"/>
          <w:kern w:val="2"/>
          <w:sz w:val="32"/>
          <w:szCs w:val="24"/>
          <w:lang w:val="en-US" w:eastAsia="zh-CN"/>
        </w:rPr>
        <w:t>1.22</w:t>
      </w:r>
      <w:r>
        <w:rPr>
          <w:rFonts w:hint="eastAsia" w:ascii="仿宋_GB2312" w:hAnsi="仿宋_GB2312" w:eastAsia="仿宋_GB2312"/>
          <w:color w:val="000000"/>
          <w:kern w:val="2"/>
          <w:sz w:val="32"/>
          <w:szCs w:val="24"/>
          <w:lang w:val="en-US"/>
        </w:rPr>
        <w:t>万元，完成预算100%，决算数与预算数持平。</w:t>
      </w:r>
    </w:p>
    <w:p w14:paraId="1801832A">
      <w:pPr>
        <w:spacing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 xml:space="preserve">3.社会保障和就业（类）其他社会保障和就业支出（款）其他社会保障和就业支出（项）: </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3.79</w:t>
      </w:r>
      <w:r>
        <w:rPr>
          <w:rFonts w:hint="eastAsia" w:ascii="仿宋_GB2312" w:hAnsi="仿宋_GB2312" w:eastAsia="仿宋_GB2312"/>
          <w:color w:val="000000"/>
          <w:kern w:val="2"/>
          <w:sz w:val="32"/>
          <w:szCs w:val="24"/>
          <w:lang w:val="en-US"/>
        </w:rPr>
        <w:t>万元，完成预算100%，决算数与预算数持平。</w:t>
      </w:r>
    </w:p>
    <w:p w14:paraId="2607A27B">
      <w:pPr>
        <w:spacing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lang w:val="en-US"/>
        </w:rPr>
        <w:t>.卫生健康（类）基层医疗卫生机构（款）乡镇卫生院（项）: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228.51</w:t>
      </w:r>
      <w:r>
        <w:rPr>
          <w:rFonts w:hint="eastAsia" w:ascii="仿宋_GB2312" w:hAnsi="仿宋_GB2312" w:eastAsia="仿宋_GB2312"/>
          <w:color w:val="000000"/>
          <w:kern w:val="2"/>
          <w:sz w:val="32"/>
          <w:szCs w:val="24"/>
          <w:lang w:val="en-US"/>
        </w:rPr>
        <w:t>万元，完成预算100%，决算数与预算数持平。</w:t>
      </w:r>
    </w:p>
    <w:p w14:paraId="2590AA6C">
      <w:pPr>
        <w:spacing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lang w:val="en-US"/>
        </w:rPr>
        <w:t>.卫生健康（类）基层医疗卫生机构（款）其他基层医疗卫生机构支出（项）: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27.91</w:t>
      </w:r>
      <w:r>
        <w:rPr>
          <w:rFonts w:hint="eastAsia" w:ascii="仿宋_GB2312" w:hAnsi="仿宋_GB2312" w:eastAsia="仿宋_GB2312"/>
          <w:color w:val="000000"/>
          <w:kern w:val="2"/>
          <w:sz w:val="32"/>
          <w:szCs w:val="24"/>
          <w:lang w:val="en-US"/>
        </w:rPr>
        <w:t>万元，完成预算100%，决算数与预算数持平。</w:t>
      </w:r>
    </w:p>
    <w:p w14:paraId="422AE1E0">
      <w:pPr>
        <w:spacing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lang w:val="en-US"/>
        </w:rPr>
        <w:t>.卫生健康（类）公共卫生（款）基本公共卫生服务（项）: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125.55</w:t>
      </w:r>
      <w:r>
        <w:rPr>
          <w:rFonts w:hint="eastAsia" w:ascii="仿宋_GB2312" w:hAnsi="仿宋_GB2312" w:eastAsia="仿宋_GB2312"/>
          <w:color w:val="000000"/>
          <w:kern w:val="2"/>
          <w:sz w:val="32"/>
          <w:szCs w:val="24"/>
          <w:lang w:val="en-US"/>
        </w:rPr>
        <w:t>万元，完成预算100%，决算数与预算数持平。</w:t>
      </w:r>
    </w:p>
    <w:p w14:paraId="248DB699">
      <w:pPr>
        <w:spacing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7.卫生健康（类）行政事业单位医疗（款）事业单位医疗（项）: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8.95</w:t>
      </w:r>
      <w:r>
        <w:rPr>
          <w:rFonts w:hint="eastAsia" w:ascii="仿宋_GB2312" w:hAnsi="仿宋_GB2312" w:eastAsia="仿宋_GB2312"/>
          <w:color w:val="000000"/>
          <w:kern w:val="2"/>
          <w:sz w:val="32"/>
          <w:szCs w:val="24"/>
          <w:lang w:val="en-US"/>
        </w:rPr>
        <w:t>万元，完成预算100%，决算数与预算数持平。</w:t>
      </w:r>
    </w:p>
    <w:p w14:paraId="2F8BF820">
      <w:pPr>
        <w:spacing w:line="576" w:lineRule="exact"/>
        <w:ind w:firstLine="643"/>
        <w:jc w:val="both"/>
        <w:rPr>
          <w:rFonts w:hint="default"/>
          <w:sz w:val="24"/>
          <w:szCs w:val="24"/>
          <w:lang w:val="en-US"/>
        </w:rPr>
      </w:pPr>
      <w:r>
        <w:rPr>
          <w:rFonts w:hint="eastAsia" w:ascii="仿宋_GB2312" w:hAnsi="仿宋_GB2312" w:eastAsia="仿宋_GB2312"/>
          <w:b/>
          <w:color w:val="000000"/>
          <w:kern w:val="2"/>
          <w:sz w:val="32"/>
          <w:szCs w:val="24"/>
          <w:lang w:val="en-US" w:eastAsia="zh-CN"/>
        </w:rPr>
        <w:t>8</w:t>
      </w:r>
      <w:r>
        <w:rPr>
          <w:rFonts w:hint="eastAsia" w:ascii="仿宋_GB2312" w:hAnsi="仿宋_GB2312" w:eastAsia="仿宋_GB2312"/>
          <w:b/>
          <w:color w:val="000000"/>
          <w:kern w:val="2"/>
          <w:sz w:val="32"/>
          <w:szCs w:val="24"/>
          <w:lang w:val="en-US"/>
        </w:rPr>
        <w:t>.卫生健康（类）行政事业单位医疗（款）公务员医疗补助（项）: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1.38</w:t>
      </w:r>
      <w:r>
        <w:rPr>
          <w:rFonts w:hint="eastAsia" w:ascii="仿宋_GB2312" w:hAnsi="仿宋_GB2312" w:eastAsia="仿宋_GB2312"/>
          <w:color w:val="000000"/>
          <w:kern w:val="2"/>
          <w:sz w:val="32"/>
          <w:szCs w:val="24"/>
          <w:lang w:val="en-US"/>
        </w:rPr>
        <w:t>万元，完成预算100%，决算数与预算数持平。</w:t>
      </w:r>
    </w:p>
    <w:p w14:paraId="03520D72">
      <w:pPr>
        <w:spacing w:line="600" w:lineRule="exact"/>
        <w:ind w:firstLine="643" w:firstLineChars="200"/>
        <w:rPr>
          <w:rFonts w:ascii="仿宋" w:hAnsi="仿宋" w:eastAsia="仿宋"/>
          <w:b/>
          <w:sz w:val="32"/>
          <w:szCs w:val="32"/>
        </w:rPr>
      </w:pPr>
      <w:r>
        <w:rPr>
          <w:rFonts w:hint="eastAsia" w:ascii="仿宋_GB2312" w:hAnsi="仿宋_GB2312" w:eastAsia="仿宋_GB2312"/>
          <w:b/>
          <w:color w:val="000000"/>
          <w:kern w:val="2"/>
          <w:sz w:val="32"/>
          <w:szCs w:val="24"/>
          <w:lang w:val="en-US" w:eastAsia="zh-CN"/>
        </w:rPr>
        <w:t>9</w:t>
      </w:r>
      <w:r>
        <w:rPr>
          <w:rFonts w:hint="eastAsia" w:ascii="仿宋_GB2312" w:hAnsi="仿宋_GB2312" w:eastAsia="仿宋_GB2312"/>
          <w:b/>
          <w:color w:val="000000"/>
          <w:kern w:val="2"/>
          <w:sz w:val="32"/>
          <w:szCs w:val="24"/>
          <w:lang w:val="en-US"/>
        </w:rPr>
        <w:t>.住房保障支出（类）住房改革支出（款）住房公积金（项）:</w:t>
      </w:r>
      <w:r>
        <w:rPr>
          <w:rFonts w:hint="eastAsia" w:ascii="仿宋_GB2312" w:hAnsi="仿宋_GB2312" w:eastAsia="仿宋_GB2312"/>
          <w:color w:val="000000"/>
          <w:kern w:val="2"/>
          <w:sz w:val="32"/>
          <w:szCs w:val="24"/>
          <w:lang w:val="en-US"/>
        </w:rPr>
        <w:t>支出决算为2</w:t>
      </w:r>
      <w:r>
        <w:rPr>
          <w:rFonts w:hint="eastAsia" w:ascii="仿宋_GB2312" w:hAnsi="仿宋_GB2312" w:eastAsia="仿宋_GB2312"/>
          <w:color w:val="000000"/>
          <w:kern w:val="2"/>
          <w:sz w:val="32"/>
          <w:szCs w:val="24"/>
          <w:lang w:val="en-US" w:eastAsia="zh-CN"/>
        </w:rPr>
        <w:t>4.27</w:t>
      </w:r>
      <w:r>
        <w:rPr>
          <w:rFonts w:hint="eastAsia" w:ascii="仿宋_GB2312" w:hAnsi="仿宋_GB2312" w:eastAsia="仿宋_GB2312"/>
          <w:color w:val="000000"/>
          <w:kern w:val="2"/>
          <w:sz w:val="32"/>
          <w:szCs w:val="24"/>
          <w:lang w:val="en-US"/>
        </w:rPr>
        <w:t>万元，完成预算100%，决算数与预算数持平</w:t>
      </w:r>
      <w:r>
        <w:rPr>
          <w:rStyle w:val="16"/>
          <w:rFonts w:hint="eastAsia" w:ascii="仿宋" w:hAnsi="仿宋" w:eastAsia="仿宋"/>
          <w:b w:val="0"/>
          <w:bCs/>
          <w:sz w:val="32"/>
          <w:szCs w:val="32"/>
        </w:rPr>
        <w:t>。</w:t>
      </w:r>
    </w:p>
    <w:p w14:paraId="39411C96">
      <w:pPr>
        <w:spacing w:line="600" w:lineRule="exact"/>
        <w:ind w:firstLine="640"/>
        <w:rPr>
          <w:rFonts w:ascii="仿宋" w:hAnsi="仿宋" w:eastAsia="仿宋"/>
          <w:b/>
          <w:sz w:val="32"/>
          <w:szCs w:val="32"/>
        </w:rPr>
      </w:pPr>
    </w:p>
    <w:p w14:paraId="4B7D4712">
      <w:pPr>
        <w:tabs>
          <w:tab w:val="right" w:pos="8306"/>
        </w:tabs>
        <w:spacing w:line="600" w:lineRule="exact"/>
        <w:ind w:firstLine="640"/>
        <w:outlineLvl w:val="1"/>
        <w:rPr>
          <w:rStyle w:val="28"/>
        </w:rPr>
      </w:pPr>
      <w:bookmarkStart w:id="48" w:name="_Toc21266"/>
      <w:bookmarkStart w:id="49" w:name="_Toc15377214"/>
      <w:bookmarkStart w:id="50"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8"/>
      <w:bookmarkEnd w:id="49"/>
      <w:bookmarkEnd w:id="50"/>
      <w:r>
        <w:rPr>
          <w:rStyle w:val="28"/>
          <w:rFonts w:ascii="黑体" w:hAnsi="黑体" w:eastAsia="黑体"/>
          <w:b w:val="0"/>
        </w:rPr>
        <w:tab/>
      </w:r>
    </w:p>
    <w:p w14:paraId="6EC14C1E">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289.76</w:t>
      </w:r>
      <w:r>
        <w:rPr>
          <w:rFonts w:hint="eastAsia" w:ascii="仿宋" w:hAnsi="仿宋" w:eastAsia="仿宋"/>
          <w:sz w:val="32"/>
          <w:szCs w:val="32"/>
        </w:rPr>
        <w:t>万元，其中：</w:t>
      </w:r>
    </w:p>
    <w:p w14:paraId="54007A25">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281.53</w:t>
      </w:r>
      <w:r>
        <w:rPr>
          <w:rFonts w:hint="eastAsia" w:ascii="仿宋" w:hAnsi="仿宋" w:eastAsia="仿宋"/>
          <w:sz w:val="32"/>
          <w:szCs w:val="32"/>
        </w:rPr>
        <w:t>万元，主要包括：基本工资、津贴补贴、伙食补助费、绩效工资、机关事业单位基本养老保险缴费、职业年金缴费、职工基本医疗保险缴费、公务员医疗补助缴费、其他社会保障缴费、住房公积金、其他工资福利支出、生活补助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8.23</w:t>
      </w:r>
      <w:r>
        <w:rPr>
          <w:rFonts w:hint="eastAsia" w:ascii="仿宋" w:hAnsi="仿宋" w:eastAsia="仿宋"/>
          <w:sz w:val="32"/>
          <w:szCs w:val="32"/>
        </w:rPr>
        <w:t>万元，主要包括：工会经费、福利费等。</w:t>
      </w:r>
    </w:p>
    <w:p w14:paraId="10E7C06D">
      <w:pPr>
        <w:spacing w:line="600" w:lineRule="exact"/>
        <w:ind w:firstLine="640"/>
        <w:rPr>
          <w:rFonts w:ascii="仿宋" w:hAnsi="仿宋" w:eastAsia="仿宋"/>
          <w:b/>
          <w:sz w:val="32"/>
          <w:szCs w:val="32"/>
        </w:rPr>
      </w:pPr>
    </w:p>
    <w:p w14:paraId="21316A0A">
      <w:pPr>
        <w:spacing w:line="600" w:lineRule="exact"/>
        <w:ind w:firstLine="640"/>
        <w:outlineLvl w:val="1"/>
        <w:rPr>
          <w:rStyle w:val="28"/>
          <w:rFonts w:ascii="黑体" w:hAnsi="黑体" w:eastAsia="黑体"/>
          <w:b w:val="0"/>
        </w:rPr>
      </w:pPr>
      <w:bookmarkStart w:id="51" w:name="_Toc6129"/>
      <w:bookmarkStart w:id="52" w:name="_Toc15396609"/>
      <w:bookmarkStart w:id="53"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51"/>
      <w:bookmarkEnd w:id="52"/>
      <w:bookmarkEnd w:id="53"/>
    </w:p>
    <w:p w14:paraId="29C4E8BF">
      <w:pPr>
        <w:spacing w:line="600" w:lineRule="exact"/>
        <w:ind w:firstLine="640"/>
        <w:outlineLvl w:val="2"/>
        <w:rPr>
          <w:rFonts w:ascii="仿宋" w:hAnsi="仿宋" w:eastAsia="仿宋"/>
          <w:b/>
          <w:sz w:val="32"/>
          <w:szCs w:val="32"/>
        </w:rPr>
      </w:pPr>
      <w:bookmarkStart w:id="54" w:name="_Toc15377216"/>
      <w:r>
        <w:rPr>
          <w:rFonts w:hint="eastAsia" w:ascii="仿宋" w:hAnsi="仿宋" w:eastAsia="仿宋"/>
          <w:b/>
          <w:sz w:val="32"/>
          <w:szCs w:val="32"/>
        </w:rPr>
        <w:t>（一）“三公”经费财政拨款支出决算总体情况说明</w:t>
      </w:r>
      <w:bookmarkEnd w:id="54"/>
    </w:p>
    <w:p w14:paraId="383B6E09">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0</w:t>
      </w:r>
      <w:r>
        <w:rPr>
          <w:rFonts w:hint="eastAsia" w:ascii="仿宋" w:hAnsi="仿宋" w:eastAsia="仿宋"/>
          <w:sz w:val="32"/>
          <w:szCs w:val="32"/>
        </w:rPr>
        <w:t>万元，增长</w:t>
      </w:r>
      <w:r>
        <w:rPr>
          <w:rFonts w:hint="eastAsia" w:ascii="仿宋" w:hAnsi="仿宋" w:eastAsia="仿宋"/>
          <w:sz w:val="32"/>
          <w:szCs w:val="32"/>
          <w:lang w:val="en-US" w:eastAsia="zh-CN"/>
        </w:rPr>
        <w:t>0</w:t>
      </w:r>
      <w:r>
        <w:rPr>
          <w:rFonts w:hint="eastAsia" w:ascii="仿宋" w:hAnsi="仿宋" w:eastAsia="仿宋"/>
          <w:sz w:val="32"/>
          <w:szCs w:val="32"/>
        </w:rPr>
        <w:t>%。决算数与预算数持平的主要原因是202</w:t>
      </w:r>
      <w:r>
        <w:rPr>
          <w:rFonts w:hint="eastAsia" w:ascii="仿宋" w:hAnsi="仿宋" w:eastAsia="仿宋"/>
          <w:sz w:val="32"/>
          <w:szCs w:val="32"/>
          <w:lang w:val="en-US" w:eastAsia="zh-CN"/>
        </w:rPr>
        <w:t>3</w:t>
      </w:r>
      <w:r>
        <w:rPr>
          <w:rFonts w:hint="eastAsia" w:ascii="仿宋" w:hAnsi="仿宋" w:eastAsia="仿宋"/>
          <w:sz w:val="32"/>
          <w:szCs w:val="32"/>
        </w:rPr>
        <w:t>年无三公经费预算。</w:t>
      </w:r>
    </w:p>
    <w:p w14:paraId="210F2153">
      <w:pPr>
        <w:spacing w:line="600" w:lineRule="exact"/>
        <w:ind w:firstLine="640"/>
        <w:outlineLvl w:val="2"/>
        <w:rPr>
          <w:rFonts w:ascii="仿宋" w:hAnsi="仿宋" w:eastAsia="仿宋"/>
          <w:b/>
          <w:sz w:val="32"/>
          <w:szCs w:val="32"/>
        </w:rPr>
      </w:pPr>
      <w:bookmarkStart w:id="55" w:name="_Toc15377217"/>
      <w:r>
        <w:rPr>
          <w:rFonts w:hint="eastAsia" w:ascii="仿宋" w:hAnsi="仿宋" w:eastAsia="仿宋"/>
          <w:b/>
          <w:sz w:val="32"/>
          <w:szCs w:val="32"/>
        </w:rPr>
        <w:t>（二）“三公”经费财政拨款支出决算具体情况说明</w:t>
      </w:r>
      <w:bookmarkEnd w:id="55"/>
    </w:p>
    <w:p w14:paraId="1BDFBD95">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3A40748E">
      <w:pPr>
        <w:pStyle w:val="2"/>
        <w:jc w:val="center"/>
      </w:pPr>
      <w:r>
        <w:drawing>
          <wp:inline distT="0" distB="0" distL="114300" distR="114300">
            <wp:extent cx="4552950" cy="2905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4552950" cy="2905125"/>
                    </a:xfrm>
                    <a:prstGeom prst="rect">
                      <a:avLst/>
                    </a:prstGeom>
                    <a:noFill/>
                    <a:ln>
                      <a:noFill/>
                    </a:ln>
                  </pic:spPr>
                </pic:pic>
              </a:graphicData>
            </a:graphic>
          </wp:inline>
        </w:drawing>
      </w:r>
    </w:p>
    <w:p w14:paraId="50F045B5">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7CD2F9E9">
      <w:pPr>
        <w:spacing w:line="600" w:lineRule="exact"/>
        <w:ind w:firstLine="640"/>
        <w:rPr>
          <w:rFonts w:ascii="仿宋_GB2312" w:eastAsia="仿宋_GB2312"/>
          <w:sz w:val="32"/>
          <w:szCs w:val="32"/>
        </w:rPr>
      </w:pPr>
      <w:bookmarkStart w:id="56" w:name="_Toc15377218"/>
      <w:bookmarkStart w:id="57"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52697B85">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bookmarkStart w:id="104" w:name="_GoBack"/>
      <w:bookmarkEnd w:id="104"/>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2FA4807F">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212D0B89">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万元。主要用于具体工作等所需的公务用车燃料费、维修费、过路过桥费、保险费等支出。</w:t>
      </w:r>
    </w:p>
    <w:p w14:paraId="52392810">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0%</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w:t>
      </w:r>
    </w:p>
    <w:p w14:paraId="5CA1B7C4">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1A298205">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65D422CB">
      <w:pPr>
        <w:spacing w:line="600" w:lineRule="exact"/>
        <w:ind w:firstLine="640"/>
        <w:outlineLvl w:val="9"/>
        <w:rPr>
          <w:rFonts w:ascii="黑体" w:eastAsia="黑体"/>
          <w:sz w:val="32"/>
          <w:szCs w:val="32"/>
        </w:rPr>
      </w:pPr>
    </w:p>
    <w:p w14:paraId="330B94BE">
      <w:pPr>
        <w:spacing w:line="600" w:lineRule="exact"/>
        <w:ind w:firstLine="640"/>
        <w:outlineLvl w:val="1"/>
        <w:rPr>
          <w:rStyle w:val="28"/>
          <w:rFonts w:ascii="黑体" w:hAnsi="黑体" w:eastAsia="黑体"/>
        </w:rPr>
      </w:pPr>
      <w:bookmarkStart w:id="58" w:name="_Toc5856"/>
      <w:r>
        <w:rPr>
          <w:rFonts w:hint="eastAsia" w:ascii="黑体" w:eastAsia="黑体"/>
          <w:sz w:val="32"/>
          <w:szCs w:val="32"/>
        </w:rPr>
        <w:t>八、</w:t>
      </w:r>
      <w:r>
        <w:rPr>
          <w:rStyle w:val="28"/>
          <w:rFonts w:hint="eastAsia" w:ascii="黑体" w:hAnsi="黑体" w:eastAsia="黑体"/>
          <w:b w:val="0"/>
        </w:rPr>
        <w:t>政府性基金预算支出决算情况说明</w:t>
      </w:r>
      <w:bookmarkEnd w:id="56"/>
      <w:bookmarkEnd w:id="57"/>
      <w:bookmarkEnd w:id="58"/>
    </w:p>
    <w:p w14:paraId="77D19C2C">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29025B10">
      <w:pPr>
        <w:spacing w:line="600" w:lineRule="exact"/>
        <w:ind w:firstLine="640"/>
        <w:rPr>
          <w:rFonts w:ascii="仿宋_GB2312" w:eastAsia="仿宋_GB2312"/>
          <w:sz w:val="32"/>
          <w:szCs w:val="32"/>
        </w:rPr>
      </w:pPr>
    </w:p>
    <w:p w14:paraId="52E93050">
      <w:pPr>
        <w:numPr>
          <w:ilvl w:val="0"/>
          <w:numId w:val="3"/>
        </w:numPr>
        <w:spacing w:line="600" w:lineRule="exact"/>
        <w:ind w:firstLine="640"/>
        <w:outlineLvl w:val="1"/>
        <w:rPr>
          <w:rStyle w:val="28"/>
          <w:rFonts w:ascii="黑体" w:hAnsi="黑体" w:eastAsia="黑体"/>
          <w:b w:val="0"/>
        </w:rPr>
      </w:pPr>
      <w:bookmarkStart w:id="59" w:name="_Toc15396611"/>
      <w:bookmarkStart w:id="60" w:name="_Toc20255"/>
      <w:bookmarkStart w:id="61" w:name="_Toc15377219"/>
      <w:r>
        <w:rPr>
          <w:rStyle w:val="28"/>
          <w:rFonts w:hint="eastAsia" w:ascii="黑体" w:hAnsi="黑体" w:eastAsia="黑体"/>
          <w:b w:val="0"/>
        </w:rPr>
        <w:t>国有资本经营预算支出决算情况说明</w:t>
      </w:r>
      <w:bookmarkEnd w:id="59"/>
      <w:bookmarkEnd w:id="60"/>
      <w:bookmarkEnd w:id="61"/>
    </w:p>
    <w:p w14:paraId="6041B0E5">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4B93A09A">
      <w:pPr>
        <w:spacing w:line="580" w:lineRule="exact"/>
        <w:jc w:val="center"/>
        <w:rPr>
          <w:rFonts w:ascii="方正小标宋简体" w:hAnsi="方正小标宋简体" w:eastAsia="方正小标宋简体" w:cs="方正小标宋简体"/>
          <w:sz w:val="44"/>
          <w:szCs w:val="44"/>
        </w:rPr>
      </w:pPr>
    </w:p>
    <w:p w14:paraId="3678C1F8">
      <w:pPr>
        <w:numPr>
          <w:ilvl w:val="0"/>
          <w:numId w:val="3"/>
        </w:numPr>
        <w:spacing w:line="600" w:lineRule="exact"/>
        <w:ind w:firstLine="640"/>
        <w:outlineLvl w:val="1"/>
        <w:rPr>
          <w:rStyle w:val="28"/>
          <w:rFonts w:ascii="黑体" w:hAnsi="黑体" w:eastAsia="黑体"/>
          <w:b w:val="0"/>
        </w:rPr>
      </w:pPr>
      <w:bookmarkStart w:id="62" w:name="_Toc15377221"/>
      <w:bookmarkStart w:id="63" w:name="_Toc28205"/>
      <w:bookmarkStart w:id="64" w:name="_Toc15396612"/>
      <w:r>
        <w:rPr>
          <w:rStyle w:val="28"/>
          <w:rFonts w:hint="eastAsia" w:ascii="黑体" w:hAnsi="黑体" w:eastAsia="黑体"/>
          <w:b w:val="0"/>
        </w:rPr>
        <w:t>其他重要事项的情况说明</w:t>
      </w:r>
      <w:bookmarkEnd w:id="62"/>
      <w:bookmarkEnd w:id="63"/>
      <w:bookmarkEnd w:id="64"/>
    </w:p>
    <w:p w14:paraId="3BC72A39">
      <w:pPr>
        <w:spacing w:line="600" w:lineRule="exact"/>
        <w:ind w:firstLine="643" w:firstLineChars="200"/>
        <w:outlineLvl w:val="2"/>
        <w:rPr>
          <w:rFonts w:ascii="仿宋" w:hAnsi="仿宋" w:eastAsia="仿宋"/>
          <w:sz w:val="32"/>
          <w:szCs w:val="32"/>
        </w:rPr>
      </w:pPr>
      <w:bookmarkStart w:id="65" w:name="_Toc15377222"/>
      <w:r>
        <w:rPr>
          <w:rFonts w:hint="eastAsia" w:ascii="仿宋" w:hAnsi="仿宋" w:eastAsia="仿宋"/>
          <w:b/>
          <w:sz w:val="32"/>
          <w:szCs w:val="32"/>
        </w:rPr>
        <w:t>（一）机关运行经费支出情况</w:t>
      </w:r>
      <w:bookmarkEnd w:id="65"/>
    </w:p>
    <w:p w14:paraId="193FC0D0">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峨边彝族自治县新林镇中心卫生院</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val="en-US" w:eastAsia="zh-CN"/>
        </w:rPr>
        <w:t>与</w:t>
      </w:r>
      <w:r>
        <w:rPr>
          <w:rFonts w:hint="eastAsia" w:ascii="仿宋_GB2312" w:eastAsia="仿宋_GB2312"/>
          <w:sz w:val="32"/>
          <w:szCs w:val="32"/>
        </w:rPr>
        <w:t>2022年度决算数持平。</w:t>
      </w:r>
    </w:p>
    <w:p w14:paraId="788F1CCD">
      <w:pPr>
        <w:autoSpaceDE w:val="0"/>
        <w:autoSpaceDN w:val="0"/>
        <w:adjustRightInd w:val="0"/>
        <w:spacing w:line="600" w:lineRule="exact"/>
        <w:ind w:firstLine="643" w:firstLineChars="200"/>
        <w:jc w:val="left"/>
        <w:outlineLvl w:val="2"/>
        <w:rPr>
          <w:rFonts w:ascii="仿宋" w:hAnsi="仿宋" w:eastAsia="仿宋"/>
          <w:b/>
          <w:sz w:val="32"/>
          <w:szCs w:val="32"/>
        </w:rPr>
      </w:pPr>
      <w:bookmarkStart w:id="66" w:name="_Toc15377223"/>
      <w:r>
        <w:rPr>
          <w:rFonts w:hint="eastAsia" w:ascii="仿宋" w:hAnsi="仿宋" w:eastAsia="仿宋"/>
          <w:b/>
          <w:sz w:val="32"/>
          <w:szCs w:val="32"/>
        </w:rPr>
        <w:t>（二）政府采购支出情况</w:t>
      </w:r>
      <w:bookmarkEnd w:id="66"/>
    </w:p>
    <w:p w14:paraId="1BCCB921">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峨边彝族自治县新林镇中心卫生院</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253F39AA">
      <w:pPr>
        <w:autoSpaceDE w:val="0"/>
        <w:autoSpaceDN w:val="0"/>
        <w:adjustRightInd w:val="0"/>
        <w:spacing w:line="600" w:lineRule="exact"/>
        <w:ind w:firstLine="643" w:firstLineChars="200"/>
        <w:jc w:val="left"/>
        <w:outlineLvl w:val="2"/>
        <w:rPr>
          <w:rFonts w:ascii="仿宋" w:hAnsi="仿宋" w:eastAsia="仿宋"/>
          <w:b/>
          <w:sz w:val="32"/>
          <w:szCs w:val="32"/>
        </w:rPr>
      </w:pPr>
      <w:bookmarkStart w:id="67" w:name="_Toc15377224"/>
      <w:r>
        <w:rPr>
          <w:rFonts w:hint="eastAsia" w:ascii="仿宋" w:hAnsi="仿宋" w:eastAsia="仿宋"/>
          <w:b/>
          <w:sz w:val="32"/>
          <w:szCs w:val="32"/>
        </w:rPr>
        <w:t>（三）国有资产占有使用情况</w:t>
      </w:r>
      <w:bookmarkEnd w:id="67"/>
    </w:p>
    <w:p w14:paraId="3754C853">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峨边彝族自治县新林镇中心卫生院</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3571AA2A">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53557234">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val="en-US" w:eastAsia="zh-CN"/>
        </w:rPr>
        <w:t>0</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0</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0</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0</w:t>
      </w:r>
      <w:r>
        <w:rPr>
          <w:rFonts w:hint="eastAsia" w:ascii="仿宋_GB2312" w:eastAsia="仿宋_GB2312"/>
          <w:sz w:val="32"/>
          <w:szCs w:val="32"/>
        </w:rPr>
        <w:t>个项目开展绩效自评，绩效自评表详见第四部分附件。</w:t>
      </w:r>
    </w:p>
    <w:p w14:paraId="17E99660">
      <w:pPr>
        <w:pStyle w:val="2"/>
        <w:ind w:left="0" w:leftChars="0" w:firstLine="639" w:firstLineChars="213"/>
      </w:pPr>
      <w:r>
        <w:rPr>
          <w:rFonts w:hint="eastAsia"/>
        </w:rPr>
        <w:t>本单位项目主要为基层医疗机构基药补助、基本公共卫生服务补助资金，由主管部门统一进行预算绩效管理。</w:t>
      </w:r>
    </w:p>
    <w:p w14:paraId="4796EBF5">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23A1C3C4">
      <w:pPr>
        <w:numPr>
          <w:ilvl w:val="0"/>
          <w:numId w:val="4"/>
        </w:numPr>
        <w:spacing w:line="600" w:lineRule="exact"/>
        <w:ind w:firstLine="660" w:firstLineChars="150"/>
        <w:jc w:val="center"/>
        <w:outlineLvl w:val="0"/>
        <w:rPr>
          <w:rStyle w:val="27"/>
          <w:rFonts w:ascii="黑体" w:hAnsi="黑体" w:eastAsia="黑体"/>
          <w:b w:val="0"/>
        </w:rPr>
      </w:pPr>
      <w:bookmarkStart w:id="68" w:name="_Toc17624"/>
      <w:bookmarkStart w:id="69" w:name="_Toc15377225"/>
      <w:bookmarkStart w:id="70" w:name="_Toc15396613"/>
      <w:r>
        <w:rPr>
          <w:rFonts w:hint="eastAsia" w:ascii="黑体" w:hAnsi="黑体" w:eastAsia="黑体"/>
          <w:sz w:val="44"/>
          <w:szCs w:val="44"/>
        </w:rPr>
        <w:t>名</w:t>
      </w:r>
      <w:r>
        <w:rPr>
          <w:rStyle w:val="27"/>
          <w:rFonts w:hint="eastAsia" w:ascii="黑体" w:hAnsi="黑体" w:eastAsia="黑体"/>
          <w:b w:val="0"/>
        </w:rPr>
        <w:t>词解释</w:t>
      </w:r>
      <w:bookmarkEnd w:id="68"/>
      <w:bookmarkEnd w:id="69"/>
      <w:bookmarkEnd w:id="70"/>
    </w:p>
    <w:p w14:paraId="05D2D600">
      <w:pPr>
        <w:spacing w:line="600" w:lineRule="exact"/>
        <w:jc w:val="left"/>
        <w:rPr>
          <w:rFonts w:ascii="宋体"/>
          <w:b/>
          <w:sz w:val="44"/>
          <w:szCs w:val="44"/>
        </w:rPr>
      </w:pPr>
    </w:p>
    <w:p w14:paraId="68A51062">
      <w:pPr>
        <w:pStyle w:val="25"/>
        <w:spacing w:line="560" w:lineRule="exact"/>
        <w:ind w:firstLine="640" w:firstLineChars="200"/>
        <w:outlineLvl w:val="1"/>
        <w:rPr>
          <w:rFonts w:hint="eastAsia" w:ascii="仿宋_GB2312" w:eastAsia="仿宋_GB2312"/>
          <w:color w:val="auto"/>
          <w:sz w:val="32"/>
          <w:szCs w:val="32"/>
        </w:rPr>
      </w:pPr>
      <w:bookmarkStart w:id="71" w:name="_Toc17351"/>
      <w:r>
        <w:rPr>
          <w:rFonts w:hint="eastAsia" w:ascii="仿宋_GB2312" w:eastAsia="仿宋_GB2312"/>
          <w:color w:val="auto"/>
          <w:sz w:val="32"/>
          <w:szCs w:val="32"/>
        </w:rPr>
        <w:t>1.财政拨款收入：指单位从同级财政部门取得的财政预算资金。</w:t>
      </w:r>
      <w:bookmarkEnd w:id="71"/>
    </w:p>
    <w:p w14:paraId="545F076A">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2.事业收入：指事业单位开展专业业务活动及辅助活动取得的收入。如卫生院医疗收入等。 </w:t>
      </w:r>
    </w:p>
    <w:p w14:paraId="7728F017">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3.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6131C5F0">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4.年初结转和结余：指以前年度尚未完成、结转到本年按有关规定继续使用的资金。 </w:t>
      </w:r>
    </w:p>
    <w:p w14:paraId="70874C0D">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5.结余分配：指事业单位按照事业单位会计制度的规定从非财政补助结余中分配的事业基金和职工福利基金等。</w:t>
      </w:r>
    </w:p>
    <w:p w14:paraId="36A563C2">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6、年末结转和结余：指单位按有关规定结转到下年或以后年度继续使用的资金。</w:t>
      </w:r>
    </w:p>
    <w:p w14:paraId="5E2ADF38">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7.社会保障和就业支出（类）行政事业单位养老支出（款） 机关事业单位基本养老保险缴费支出（项）：指反映机关事业单位实施养老保险制度由单位缴纳的基本养老保险费支出。</w:t>
      </w:r>
    </w:p>
    <w:p w14:paraId="60E5C997">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8.社会保障和就业支出（类）行政事业单位养老支出（款）机关事业单位职业年金缴费支出（项）：指反映机关事业单位实施养老保险制度由单位实际缴纳的职业年金支出。</w:t>
      </w:r>
    </w:p>
    <w:p w14:paraId="0278685D">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9.社会保障和就业支出（类）其他社会保障和就业支出（款）其他社会保障和就业支出（项）：指反映除上述项目以外用于社会保障和就业方面的支出。</w:t>
      </w:r>
    </w:p>
    <w:p w14:paraId="4923831E">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10.卫生健康支出（类）基层医疗卫生机构（款）乡镇卫生院（项）：指反映乡镇卫生院的支出。</w:t>
      </w:r>
    </w:p>
    <w:p w14:paraId="054989D2">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11.卫生健康支出（类）基层医疗卫生机构（款）其他基层医疗卫生机构支出（项）：指反映除以上项目以外的其他用于基层医疗卫生机构的支出。</w:t>
      </w:r>
    </w:p>
    <w:p w14:paraId="1C7A9209">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12.卫生健康支出（类）公共卫生（款）基本公共卫生服务（项）：指反映基本公共卫生服务支出</w:t>
      </w:r>
    </w:p>
    <w:p w14:paraId="4C92823B">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13.卫生健康支出（类）行政事业单位医疗（款）事业单位医疗（项）：指反映财政部门安排的事业单位基本医疗保险缴费经费，未参加医疗保险的事业单位的公费医疗经费，按国家规定享受离休人员待遇的医疗经费。</w:t>
      </w:r>
    </w:p>
    <w:p w14:paraId="6AC0B292">
      <w:pPr>
        <w:spacing w:line="576" w:lineRule="exact"/>
        <w:ind w:firstLine="640"/>
        <w:rPr>
          <w:rFonts w:hint="eastAsia" w:ascii="仿宋_GB2312" w:hAnsi="Times New Roman" w:eastAsia="仿宋_GB2312"/>
          <w:color w:val="auto"/>
          <w:sz w:val="32"/>
          <w:szCs w:val="24"/>
        </w:rPr>
      </w:pPr>
      <w:r>
        <w:rPr>
          <w:rFonts w:hint="eastAsia" w:ascii="仿宋_GB2312" w:hAnsi="仿宋_GB2312" w:eastAsia="仿宋_GB2312"/>
          <w:color w:val="000000"/>
          <w:sz w:val="32"/>
          <w:szCs w:val="24"/>
          <w:lang w:val="en-US" w:eastAsia="zh-CN"/>
        </w:rPr>
        <w:t>14</w:t>
      </w:r>
      <w:r>
        <w:rPr>
          <w:rFonts w:hint="eastAsia" w:ascii="仿宋_GB2312" w:hAnsi="仿宋_GB2312" w:eastAsia="仿宋_GB2312"/>
          <w:color w:val="000000"/>
          <w:sz w:val="32"/>
          <w:szCs w:val="24"/>
          <w:lang w:val="en-US"/>
        </w:rPr>
        <w:t>.卫生健康支出（类）行政事业单位医疗（款）公务员医疗补助（项）：反映财政部门安排的公务员医疗补助经费。</w:t>
      </w:r>
    </w:p>
    <w:p w14:paraId="28082140">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15.住房保障支出（类）住房改革支出（款）住房公积金（项）：指反映行政事业单位按人力资源和社会保障部、财政部规定的基本工资和津贴补贴以及规定比例为职工缴纳的住房公积金。</w:t>
      </w:r>
    </w:p>
    <w:p w14:paraId="76599FA9">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16.基本支出：指为保障机构正常运转、完成日常工作任务而发生的人员支出和公用支出。</w:t>
      </w:r>
    </w:p>
    <w:p w14:paraId="02327E3B">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17.项目支出：指在基本支出之外为完成特定行政任务和事业发展目标所发生的支出。 </w:t>
      </w:r>
    </w:p>
    <w:p w14:paraId="39B9C4FB">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6775A66">
      <w:pPr>
        <w:pStyle w:val="25"/>
        <w:spacing w:line="560" w:lineRule="exact"/>
        <w:ind w:firstLine="640" w:firstLineChars="200"/>
        <w:rPr>
          <w:rFonts w:ascii="仿宋_GB2312" w:eastAsia="仿宋_GB2312" w:cs="黑体"/>
          <w:color w:val="auto"/>
          <w:sz w:val="32"/>
          <w:szCs w:val="32"/>
        </w:rPr>
      </w:pPr>
    </w:p>
    <w:p w14:paraId="08797236">
      <w:pPr>
        <w:spacing w:line="600" w:lineRule="exact"/>
        <w:jc w:val="center"/>
        <w:outlineLvl w:val="0"/>
        <w:rPr>
          <w:rStyle w:val="27"/>
          <w:rFonts w:ascii="黑体" w:hAnsi="黑体" w:eastAsia="黑体"/>
          <w:b w:val="0"/>
        </w:rPr>
      </w:pPr>
      <w:bookmarkStart w:id="72" w:name="_Toc15377226"/>
      <w:r>
        <w:rPr>
          <w:rFonts w:ascii="宋体"/>
          <w:b/>
          <w:sz w:val="44"/>
          <w:szCs w:val="44"/>
        </w:rPr>
        <w:br w:type="page"/>
      </w:r>
      <w:bookmarkStart w:id="73" w:name="_Toc15396614"/>
      <w:bookmarkStart w:id="74" w:name="_Toc8917"/>
      <w:r>
        <w:rPr>
          <w:rFonts w:hint="eastAsia" w:ascii="黑体" w:hAnsi="黑体" w:eastAsia="黑体"/>
          <w:sz w:val="44"/>
          <w:szCs w:val="44"/>
        </w:rPr>
        <w:t>第</w:t>
      </w:r>
      <w:r>
        <w:rPr>
          <w:rStyle w:val="27"/>
          <w:rFonts w:hint="eastAsia" w:ascii="黑体" w:hAnsi="黑体" w:eastAsia="黑体"/>
          <w:b w:val="0"/>
        </w:rPr>
        <w:t>四部分 附件</w:t>
      </w:r>
      <w:bookmarkEnd w:id="73"/>
      <w:bookmarkEnd w:id="74"/>
    </w:p>
    <w:p w14:paraId="4B414B7E">
      <w:pPr>
        <w:spacing w:line="572" w:lineRule="exact"/>
        <w:jc w:val="left"/>
        <w:outlineLvl w:val="9"/>
        <w:rPr>
          <w:rFonts w:ascii="仿宋_GB2312" w:hAnsi="仿宋_GB2312" w:eastAsia="仿宋_GB2312" w:cs="仿宋_GB2312"/>
          <w:sz w:val="32"/>
          <w:szCs w:val="32"/>
        </w:rPr>
      </w:pPr>
    </w:p>
    <w:p w14:paraId="1FA03604">
      <w:pPr>
        <w:spacing w:line="600" w:lineRule="exact"/>
        <w:jc w:val="center"/>
        <w:outlineLvl w:val="1"/>
        <w:rPr>
          <w:rFonts w:ascii="黑体" w:hAnsi="黑体" w:eastAsia="黑体"/>
          <w:color w:val="FF0000"/>
          <w:sz w:val="44"/>
          <w:szCs w:val="44"/>
        </w:rPr>
      </w:pPr>
      <w:bookmarkStart w:id="75" w:name="_Toc1033"/>
      <w:bookmarkStart w:id="76" w:name="_Toc15396618"/>
      <w:r>
        <w:rPr>
          <w:rFonts w:hint="eastAsia"/>
          <w:sz w:val="32"/>
          <w:szCs w:val="32"/>
        </w:rPr>
        <w:t>部门预算项目支出绩效自评表（2023年度）</w:t>
      </w:r>
      <w:bookmarkEnd w:id="75"/>
    </w:p>
    <w:p w14:paraId="314DE0B8">
      <w:pPr>
        <w:pStyle w:val="13"/>
        <w:spacing w:line="560" w:lineRule="exact"/>
        <w:ind w:left="0" w:leftChars="0" w:firstLine="640"/>
        <w:rPr>
          <w:sz w:val="32"/>
        </w:rPr>
      </w:pPr>
    </w:p>
    <w:p w14:paraId="5072AEE3">
      <w:pPr>
        <w:pStyle w:val="13"/>
        <w:spacing w:line="560" w:lineRule="exact"/>
        <w:ind w:left="0" w:leftChars="0" w:firstLine="640"/>
        <w:rPr>
          <w:rFonts w:hAnsi="Calibri" w:eastAsia="仿宋_GB2312" w:cs="仿宋"/>
          <w:sz w:val="32"/>
          <w:lang w:val="zh-CN"/>
        </w:rPr>
      </w:pPr>
      <w:r>
        <w:rPr>
          <w:rFonts w:hint="eastAsia" w:hAnsi="Calibri" w:eastAsia="仿宋_GB2312" w:cs="仿宋"/>
          <w:sz w:val="32"/>
        </w:rPr>
        <w:t>本单位项目主要为基层医疗机构基药补助、基本公共卫生服务补助资金，由主管部门统一进行绩效管理以及开展项目绩效评价工作。</w:t>
      </w:r>
    </w:p>
    <w:p w14:paraId="09208FB2">
      <w:pPr>
        <w:pStyle w:val="2"/>
        <w:spacing w:before="93"/>
        <w:rPr>
          <w:rFonts w:hAnsi="Calibri" w:cs="仿宋"/>
          <w:sz w:val="32"/>
          <w:szCs w:val="32"/>
        </w:rPr>
      </w:pPr>
    </w:p>
    <w:p w14:paraId="7BEB66A9">
      <w:pPr>
        <w:pStyle w:val="2"/>
        <w:spacing w:before="93"/>
        <w:rPr>
          <w:rFonts w:hAnsi="Calibri" w:cs="仿宋"/>
          <w:sz w:val="32"/>
          <w:szCs w:val="32"/>
        </w:rPr>
      </w:pPr>
    </w:p>
    <w:p w14:paraId="5A7CF6DA">
      <w:pPr>
        <w:pStyle w:val="2"/>
        <w:spacing w:before="93"/>
        <w:rPr>
          <w:rFonts w:hAnsi="Calibri" w:cs="仿宋"/>
          <w:sz w:val="32"/>
          <w:szCs w:val="32"/>
        </w:rPr>
      </w:pPr>
    </w:p>
    <w:p w14:paraId="2864A03D">
      <w:pPr>
        <w:pStyle w:val="2"/>
        <w:spacing w:before="93"/>
        <w:rPr>
          <w:rFonts w:hAnsi="Calibri" w:cs="仿宋"/>
          <w:sz w:val="32"/>
          <w:szCs w:val="32"/>
        </w:rPr>
      </w:pPr>
    </w:p>
    <w:p w14:paraId="63630AF7">
      <w:pPr>
        <w:pStyle w:val="2"/>
        <w:spacing w:before="93"/>
        <w:rPr>
          <w:rFonts w:hAnsi="Calibri" w:cs="仿宋"/>
          <w:sz w:val="32"/>
          <w:szCs w:val="32"/>
        </w:rPr>
      </w:pPr>
    </w:p>
    <w:p w14:paraId="1A41A6A9">
      <w:pPr>
        <w:pStyle w:val="2"/>
        <w:spacing w:before="93"/>
        <w:rPr>
          <w:rFonts w:hAnsi="Calibri" w:cs="仿宋"/>
          <w:sz w:val="32"/>
          <w:szCs w:val="32"/>
        </w:rPr>
      </w:pPr>
    </w:p>
    <w:p w14:paraId="1E9DA6C5">
      <w:pPr>
        <w:pStyle w:val="2"/>
        <w:spacing w:before="93"/>
        <w:rPr>
          <w:rFonts w:hAnsi="Calibri" w:cs="仿宋"/>
          <w:sz w:val="32"/>
          <w:szCs w:val="32"/>
        </w:rPr>
      </w:pPr>
    </w:p>
    <w:p w14:paraId="64D5F9C8">
      <w:pPr>
        <w:pStyle w:val="2"/>
        <w:spacing w:before="93"/>
        <w:rPr>
          <w:rFonts w:hAnsi="Calibri" w:cs="仿宋"/>
          <w:sz w:val="32"/>
          <w:szCs w:val="32"/>
        </w:rPr>
      </w:pPr>
    </w:p>
    <w:p w14:paraId="205C386B">
      <w:pPr>
        <w:pStyle w:val="2"/>
        <w:spacing w:before="93"/>
        <w:rPr>
          <w:rFonts w:hAnsi="Calibri" w:cs="仿宋"/>
          <w:sz w:val="32"/>
          <w:szCs w:val="32"/>
        </w:rPr>
      </w:pPr>
    </w:p>
    <w:p w14:paraId="2243EA7F">
      <w:pPr>
        <w:pStyle w:val="2"/>
        <w:spacing w:before="93"/>
        <w:rPr>
          <w:rFonts w:hAnsi="Calibri" w:cs="仿宋"/>
          <w:sz w:val="32"/>
          <w:szCs w:val="32"/>
        </w:rPr>
      </w:pPr>
    </w:p>
    <w:p w14:paraId="1FF676A4">
      <w:pPr>
        <w:pStyle w:val="2"/>
        <w:spacing w:before="93"/>
        <w:rPr>
          <w:rFonts w:hAnsi="Calibri" w:cs="仿宋"/>
          <w:sz w:val="32"/>
          <w:szCs w:val="32"/>
        </w:rPr>
      </w:pPr>
    </w:p>
    <w:p w14:paraId="3E13BF12">
      <w:pPr>
        <w:pStyle w:val="2"/>
        <w:spacing w:before="93"/>
        <w:rPr>
          <w:rFonts w:hAnsi="Calibri" w:cs="仿宋"/>
          <w:sz w:val="32"/>
          <w:szCs w:val="32"/>
        </w:rPr>
      </w:pPr>
    </w:p>
    <w:p w14:paraId="198431E9">
      <w:pPr>
        <w:pStyle w:val="2"/>
        <w:spacing w:before="93"/>
        <w:rPr>
          <w:rFonts w:hAnsi="Calibri" w:cs="仿宋"/>
          <w:sz w:val="32"/>
          <w:szCs w:val="32"/>
        </w:rPr>
      </w:pPr>
    </w:p>
    <w:p w14:paraId="48119E6D">
      <w:pPr>
        <w:spacing w:line="600" w:lineRule="exact"/>
        <w:jc w:val="center"/>
        <w:outlineLvl w:val="0"/>
        <w:rPr>
          <w:rFonts w:ascii="仿宋" w:hAnsi="仿宋" w:eastAsia="仿宋"/>
        </w:rPr>
      </w:pPr>
      <w:bookmarkStart w:id="77" w:name="_Toc28550"/>
      <w:r>
        <w:rPr>
          <w:rFonts w:hint="eastAsia" w:ascii="黑体" w:hAnsi="黑体" w:eastAsia="黑体"/>
          <w:sz w:val="44"/>
          <w:szCs w:val="44"/>
        </w:rPr>
        <w:t>第</w:t>
      </w:r>
      <w:r>
        <w:rPr>
          <w:rStyle w:val="27"/>
          <w:rFonts w:hint="eastAsia" w:ascii="黑体" w:hAnsi="黑体" w:eastAsia="黑体"/>
          <w:b w:val="0"/>
        </w:rPr>
        <w:t>五部分 附表</w:t>
      </w:r>
      <w:bookmarkEnd w:id="72"/>
      <w:bookmarkEnd w:id="76"/>
      <w:bookmarkEnd w:id="77"/>
      <w:bookmarkStart w:id="78" w:name="_Toc15396619"/>
    </w:p>
    <w:p w14:paraId="26BBFCF5">
      <w:pPr>
        <w:pStyle w:val="4"/>
        <w:rPr>
          <w:rFonts w:ascii="仿宋" w:hAnsi="仿宋" w:eastAsia="仿宋"/>
        </w:rPr>
      </w:pPr>
      <w:bookmarkStart w:id="79" w:name="_Toc8499"/>
      <w:r>
        <w:rPr>
          <w:rFonts w:hint="eastAsia" w:ascii="仿宋" w:hAnsi="仿宋" w:eastAsia="仿宋"/>
          <w:b w:val="0"/>
        </w:rPr>
        <w:t>一、收</w:t>
      </w:r>
      <w:r>
        <w:rPr>
          <w:rStyle w:val="28"/>
          <w:rFonts w:hint="eastAsia" w:ascii="仿宋" w:hAnsi="仿宋" w:eastAsia="仿宋"/>
          <w:b w:val="0"/>
          <w:bCs w:val="0"/>
        </w:rPr>
        <w:t>入支出决算总表</w:t>
      </w:r>
      <w:bookmarkEnd w:id="78"/>
      <w:bookmarkEnd w:id="79"/>
    </w:p>
    <w:p w14:paraId="563ECFB4">
      <w:pPr>
        <w:pStyle w:val="4"/>
        <w:rPr>
          <w:rFonts w:ascii="仿宋" w:hAnsi="仿宋" w:eastAsia="仿宋"/>
        </w:rPr>
      </w:pPr>
      <w:bookmarkStart w:id="80" w:name="_Toc15396620"/>
      <w:bookmarkStart w:id="81" w:name="_Toc2929"/>
      <w:r>
        <w:rPr>
          <w:rFonts w:hint="eastAsia" w:ascii="仿宋" w:hAnsi="仿宋" w:eastAsia="仿宋"/>
          <w:b w:val="0"/>
        </w:rPr>
        <w:t>二、收</w:t>
      </w:r>
      <w:r>
        <w:rPr>
          <w:rStyle w:val="28"/>
          <w:rFonts w:hint="eastAsia" w:ascii="仿宋" w:hAnsi="仿宋" w:eastAsia="仿宋"/>
          <w:b w:val="0"/>
          <w:bCs w:val="0"/>
        </w:rPr>
        <w:t>入决算表</w:t>
      </w:r>
      <w:bookmarkEnd w:id="80"/>
      <w:bookmarkEnd w:id="81"/>
    </w:p>
    <w:p w14:paraId="50FA6D6E">
      <w:pPr>
        <w:pStyle w:val="4"/>
        <w:rPr>
          <w:rFonts w:ascii="仿宋" w:hAnsi="仿宋" w:eastAsia="仿宋"/>
        </w:rPr>
      </w:pPr>
      <w:bookmarkStart w:id="82" w:name="_Toc15396621"/>
      <w:bookmarkStart w:id="83" w:name="_Toc31702"/>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82"/>
      <w:bookmarkEnd w:id="83"/>
    </w:p>
    <w:p w14:paraId="74F71560">
      <w:pPr>
        <w:pStyle w:val="4"/>
        <w:rPr>
          <w:rFonts w:ascii="仿宋" w:hAnsi="仿宋" w:eastAsia="仿宋"/>
          <w:b w:val="0"/>
        </w:rPr>
      </w:pPr>
      <w:bookmarkStart w:id="84" w:name="_Toc15396622"/>
      <w:bookmarkStart w:id="85" w:name="_Toc22145"/>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84"/>
      <w:bookmarkEnd w:id="85"/>
    </w:p>
    <w:p w14:paraId="02650F64">
      <w:pPr>
        <w:pStyle w:val="4"/>
        <w:rPr>
          <w:rStyle w:val="28"/>
          <w:rFonts w:ascii="仿宋" w:hAnsi="仿宋" w:eastAsia="仿宋"/>
          <w:b w:val="0"/>
          <w:bCs w:val="0"/>
        </w:rPr>
      </w:pPr>
      <w:bookmarkStart w:id="86" w:name="_Toc15396623"/>
      <w:bookmarkStart w:id="87" w:name="_Toc22368"/>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86"/>
      <w:bookmarkEnd w:id="87"/>
      <w:bookmarkStart w:id="88" w:name="_Toc15396624"/>
    </w:p>
    <w:p w14:paraId="299BC93B">
      <w:pPr>
        <w:pStyle w:val="4"/>
        <w:rPr>
          <w:rFonts w:ascii="仿宋" w:hAnsi="仿宋" w:eastAsia="仿宋"/>
        </w:rPr>
      </w:pPr>
      <w:bookmarkStart w:id="89" w:name="_Toc9422"/>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88"/>
      <w:bookmarkEnd w:id="89"/>
    </w:p>
    <w:p w14:paraId="1DC1149A">
      <w:pPr>
        <w:pStyle w:val="4"/>
        <w:rPr>
          <w:rFonts w:ascii="仿宋" w:hAnsi="仿宋" w:eastAsia="仿宋"/>
        </w:rPr>
      </w:pPr>
      <w:bookmarkStart w:id="90" w:name="_Toc15396625"/>
      <w:bookmarkStart w:id="91" w:name="_Toc1101"/>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90"/>
      <w:bookmarkEnd w:id="91"/>
    </w:p>
    <w:p w14:paraId="17D21714">
      <w:pPr>
        <w:pStyle w:val="4"/>
        <w:rPr>
          <w:rFonts w:ascii="仿宋" w:hAnsi="仿宋" w:eastAsia="仿宋"/>
        </w:rPr>
      </w:pPr>
      <w:bookmarkStart w:id="92" w:name="_Toc9896"/>
      <w:bookmarkStart w:id="93"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92"/>
      <w:bookmarkEnd w:id="93"/>
    </w:p>
    <w:p w14:paraId="6CD9BC72">
      <w:pPr>
        <w:pStyle w:val="4"/>
        <w:rPr>
          <w:rFonts w:ascii="仿宋" w:hAnsi="仿宋" w:eastAsia="仿宋"/>
        </w:rPr>
      </w:pPr>
      <w:bookmarkStart w:id="94" w:name="_Toc15396627"/>
      <w:bookmarkStart w:id="95" w:name="_Toc29826"/>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94"/>
      <w:bookmarkEnd w:id="95"/>
    </w:p>
    <w:p w14:paraId="3018C49E">
      <w:pPr>
        <w:pStyle w:val="4"/>
        <w:rPr>
          <w:rFonts w:ascii="仿宋" w:hAnsi="仿宋" w:eastAsia="仿宋"/>
        </w:rPr>
      </w:pPr>
      <w:bookmarkStart w:id="96" w:name="_Toc15396628"/>
      <w:bookmarkStart w:id="97" w:name="_Toc17893"/>
      <w:r>
        <w:rPr>
          <w:rStyle w:val="28"/>
          <w:rFonts w:hint="eastAsia" w:ascii="仿宋" w:hAnsi="仿宋" w:eastAsia="仿宋"/>
          <w:b w:val="0"/>
          <w:bCs w:val="0"/>
        </w:rPr>
        <w:t>十、</w:t>
      </w:r>
      <w:bookmarkEnd w:id="96"/>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97"/>
    </w:p>
    <w:p w14:paraId="4847D9A4">
      <w:pPr>
        <w:pStyle w:val="4"/>
        <w:rPr>
          <w:rFonts w:ascii="仿宋" w:hAnsi="仿宋" w:eastAsia="仿宋"/>
        </w:rPr>
      </w:pPr>
      <w:bookmarkStart w:id="98" w:name="_Toc15396629"/>
      <w:bookmarkStart w:id="99" w:name="_Toc21468"/>
      <w:r>
        <w:rPr>
          <w:rStyle w:val="28"/>
          <w:rFonts w:hint="eastAsia" w:ascii="仿宋" w:hAnsi="仿宋" w:eastAsia="仿宋"/>
          <w:b w:val="0"/>
          <w:bCs w:val="0"/>
        </w:rPr>
        <w:t>十一、</w:t>
      </w:r>
      <w:bookmarkEnd w:id="98"/>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99"/>
    </w:p>
    <w:p w14:paraId="727CBA46">
      <w:pPr>
        <w:pStyle w:val="4"/>
        <w:rPr>
          <w:rFonts w:ascii="仿宋" w:hAnsi="仿宋" w:eastAsia="仿宋"/>
        </w:rPr>
      </w:pPr>
      <w:bookmarkStart w:id="100" w:name="_Toc15396630"/>
      <w:bookmarkStart w:id="101" w:name="_Toc19143"/>
      <w:r>
        <w:rPr>
          <w:rStyle w:val="28"/>
          <w:rFonts w:hint="eastAsia" w:ascii="仿宋" w:hAnsi="仿宋" w:eastAsia="仿宋"/>
          <w:b w:val="0"/>
          <w:bCs w:val="0"/>
        </w:rPr>
        <w:t>十二、</w:t>
      </w:r>
      <w:bookmarkEnd w:id="100"/>
      <w:r>
        <w:rPr>
          <w:rStyle w:val="28"/>
          <w:rFonts w:hint="eastAsia" w:ascii="仿宋" w:hAnsi="仿宋" w:eastAsia="仿宋"/>
          <w:b w:val="0"/>
          <w:bCs w:val="0"/>
        </w:rPr>
        <w:t>国有资本经营预算财政拨款支出决算表</w:t>
      </w:r>
      <w:bookmarkEnd w:id="101"/>
    </w:p>
    <w:p w14:paraId="38D46825">
      <w:pPr>
        <w:pStyle w:val="4"/>
        <w:rPr>
          <w:rFonts w:eastAsia="仿宋"/>
        </w:rPr>
      </w:pPr>
      <w:bookmarkStart w:id="102" w:name="_Toc15396631"/>
      <w:bookmarkStart w:id="103" w:name="_Toc19973"/>
      <w:r>
        <w:rPr>
          <w:rStyle w:val="28"/>
          <w:rFonts w:hint="eastAsia" w:ascii="仿宋" w:hAnsi="仿宋" w:eastAsia="仿宋"/>
          <w:b w:val="0"/>
          <w:bCs w:val="0"/>
        </w:rPr>
        <w:t>十三、</w:t>
      </w:r>
      <w:bookmarkEnd w:id="102"/>
      <w:r>
        <w:rPr>
          <w:rStyle w:val="28"/>
          <w:rFonts w:hint="eastAsia" w:ascii="仿宋" w:hAnsi="仿宋" w:eastAsia="仿宋"/>
          <w:b w:val="0"/>
          <w:bCs w:val="0"/>
        </w:rPr>
        <w:t>财政拨款“三公”经费支出决算表</w:t>
      </w:r>
      <w:bookmarkEnd w:id="10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068946A">
        <w:pPr>
          <w:pStyle w:val="9"/>
          <w:jc w:val="center"/>
        </w:pPr>
        <w:r>
          <w:fldChar w:fldCharType="begin"/>
        </w:r>
        <w:r>
          <w:instrText xml:space="preserve">PAGE   \* MERGEFORMAT</w:instrText>
        </w:r>
        <w:r>
          <w:fldChar w:fldCharType="separate"/>
        </w:r>
        <w:r>
          <w:rPr>
            <w:lang w:val="zh-CN"/>
          </w:rPr>
          <w:t>15</w:t>
        </w:r>
        <w:r>
          <w:fldChar w:fldCharType="end"/>
        </w:r>
      </w:p>
    </w:sdtContent>
  </w:sdt>
  <w:p w14:paraId="0BA34058">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5E99F">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2NzI0OThiMDhjYjY1YmFkNWU1MGU3NjJiZGZmMW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81B5E94"/>
    <w:rsid w:val="0A2032A3"/>
    <w:rsid w:val="0B8A37D8"/>
    <w:rsid w:val="0EBD01F0"/>
    <w:rsid w:val="0F5FFB2F"/>
    <w:rsid w:val="0FFFCF60"/>
    <w:rsid w:val="10C055FF"/>
    <w:rsid w:val="118107EC"/>
    <w:rsid w:val="11DD6519"/>
    <w:rsid w:val="13B05D34"/>
    <w:rsid w:val="16BB723D"/>
    <w:rsid w:val="17FC309C"/>
    <w:rsid w:val="18015F3F"/>
    <w:rsid w:val="1BE8440E"/>
    <w:rsid w:val="1D155CEE"/>
    <w:rsid w:val="1FDBBF84"/>
    <w:rsid w:val="20F57F95"/>
    <w:rsid w:val="240371BF"/>
    <w:rsid w:val="25711CC6"/>
    <w:rsid w:val="25C741E6"/>
    <w:rsid w:val="276F80C0"/>
    <w:rsid w:val="27842671"/>
    <w:rsid w:val="29FD04D3"/>
    <w:rsid w:val="2ABE7A3E"/>
    <w:rsid w:val="2AFF09B6"/>
    <w:rsid w:val="2CA234A8"/>
    <w:rsid w:val="2EFA178C"/>
    <w:rsid w:val="2EFDF86C"/>
    <w:rsid w:val="2F9D17E1"/>
    <w:rsid w:val="30B46D73"/>
    <w:rsid w:val="319F7F4E"/>
    <w:rsid w:val="356A28F1"/>
    <w:rsid w:val="357C035A"/>
    <w:rsid w:val="368E000D"/>
    <w:rsid w:val="383D272C"/>
    <w:rsid w:val="39AE70AB"/>
    <w:rsid w:val="3A4DCE41"/>
    <w:rsid w:val="3BCB56FA"/>
    <w:rsid w:val="3C0C0783"/>
    <w:rsid w:val="3D0D2B85"/>
    <w:rsid w:val="3EE7C2F4"/>
    <w:rsid w:val="3F371B56"/>
    <w:rsid w:val="3F792ED8"/>
    <w:rsid w:val="3F9F3A96"/>
    <w:rsid w:val="3FECA4B2"/>
    <w:rsid w:val="3FF58C48"/>
    <w:rsid w:val="42FF6694"/>
    <w:rsid w:val="43E33430"/>
    <w:rsid w:val="477D00DA"/>
    <w:rsid w:val="48BF60AB"/>
    <w:rsid w:val="48C2368B"/>
    <w:rsid w:val="493C27E9"/>
    <w:rsid w:val="496F39ED"/>
    <w:rsid w:val="49FF41D3"/>
    <w:rsid w:val="4BE068DB"/>
    <w:rsid w:val="4BF6002B"/>
    <w:rsid w:val="4BFFC6BE"/>
    <w:rsid w:val="4ECE2238"/>
    <w:rsid w:val="4F1F41F3"/>
    <w:rsid w:val="4FA24A63"/>
    <w:rsid w:val="51DB4B86"/>
    <w:rsid w:val="51F64DB0"/>
    <w:rsid w:val="523379DC"/>
    <w:rsid w:val="52F22F73"/>
    <w:rsid w:val="55333C3E"/>
    <w:rsid w:val="576265C3"/>
    <w:rsid w:val="5A6720DD"/>
    <w:rsid w:val="5F67802D"/>
    <w:rsid w:val="5F7DC4F2"/>
    <w:rsid w:val="5FB36814"/>
    <w:rsid w:val="5FBB8E56"/>
    <w:rsid w:val="5FFB5535"/>
    <w:rsid w:val="64CA39A1"/>
    <w:rsid w:val="69630ADE"/>
    <w:rsid w:val="69BD5F13"/>
    <w:rsid w:val="69FB0B4B"/>
    <w:rsid w:val="6BFFE1FB"/>
    <w:rsid w:val="6C4A05C8"/>
    <w:rsid w:val="6D3B1A89"/>
    <w:rsid w:val="6DAC1835"/>
    <w:rsid w:val="6DB7D8A3"/>
    <w:rsid w:val="6EC78701"/>
    <w:rsid w:val="6F7A5481"/>
    <w:rsid w:val="6FFE07A9"/>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3"/>
    <w:qFormat/>
    <w:uiPriority w:val="9"/>
    <w:rPr>
      <w:rFonts w:ascii="Times New Roman" w:hAnsi="Times New Roman"/>
      <w:b/>
      <w:bCs/>
      <w:kern w:val="44"/>
      <w:sz w:val="44"/>
      <w:szCs w:val="44"/>
    </w:rPr>
  </w:style>
  <w:style w:type="character" w:customStyle="1" w:styleId="28">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4773</Words>
  <Characters>5159</Characters>
  <Lines>54</Lines>
  <Paragraphs>15</Paragraphs>
  <TotalTime>5</TotalTime>
  <ScaleCrop>false</ScaleCrop>
  <LinksUpToDate>false</LinksUpToDate>
  <CharactersWithSpaces>5275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晓凤</cp:lastModifiedBy>
  <cp:lastPrinted>2023-08-03T02:35:00Z</cp:lastPrinted>
  <dcterms:modified xsi:type="dcterms:W3CDTF">2024-10-24T03:41:08Z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9F02AED328AE496D88D31B41A8F9C601_12</vt:lpwstr>
  </property>
</Properties>
</file>