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30"/>
          <w:szCs w:val="30"/>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639"/>
      <w:bookmarkStart w:id="2" w:name="_Toc15396597"/>
      <w:bookmarkStart w:id="3" w:name="_Toc15378441"/>
      <w:bookmarkStart w:id="4" w:name="_Toc15396475"/>
      <w:bookmarkStart w:id="5" w:name="_Toc15377425"/>
      <w:bookmarkStart w:id="6"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default" w:ascii="方正小标宋简体" w:hAnsi="方正小标宋简体" w:eastAsia="方正小标宋简体" w:cs="方正小标宋简体"/>
          <w:color w:val="auto"/>
          <w:sz w:val="72"/>
          <w:szCs w:val="72"/>
          <w:highlight w:val="none"/>
          <w:lang w:val="en-US" w:eastAsia="zh-CN"/>
        </w:rPr>
      </w:pPr>
      <w:bookmarkStart w:id="7" w:name="_Toc15377426"/>
      <w:bookmarkStart w:id="8" w:name="_Toc15396598"/>
      <w:bookmarkStart w:id="9" w:name="_Toc15377194"/>
      <w:bookmarkStart w:id="10" w:name="_Toc15306268"/>
      <w:bookmarkStart w:id="11" w:name="_Toc15396476"/>
      <w:bookmarkStart w:id="12" w:name="_Toc25733"/>
      <w:bookmarkStart w:id="13" w:name="_Toc15378442"/>
      <w:r>
        <w:rPr>
          <w:rFonts w:hint="eastAsia" w:ascii="方正小标宋简体" w:hAnsi="方正小标宋简体" w:eastAsia="方正小标宋简体" w:cs="方正小标宋简体"/>
          <w:color w:val="auto"/>
          <w:sz w:val="72"/>
          <w:szCs w:val="72"/>
          <w:highlight w:val="none"/>
        </w:rPr>
        <w:t>峨边彝族自治县杨河乡卫生院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lang w:val="en-US" w:eastAsia="zh-CN"/>
        </w:rPr>
        <w:t>编制说明</w:t>
      </w:r>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5118"/>
        <w15:color w:val="DBDBDB"/>
        <w:docPartObj>
          <w:docPartGallery w:val="Table of Contents"/>
          <w:docPartUnique/>
        </w:docPartObj>
      </w:sdtPr>
      <w:sdtEndPr>
        <w:rPr>
          <w:rFonts w:ascii="仿宋" w:hAnsi="仿宋" w:eastAsia="仿宋" w:cs="Times New Roman"/>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sz w:val="24"/>
              <w:szCs w:val="24"/>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TOC \o "1-2" \h \u </w:instrText>
          </w:r>
          <w:r>
            <w:rPr>
              <w:rFonts w:ascii="仿宋" w:hAnsi="仿宋" w:eastAsia="仿宋"/>
              <w:color w:val="auto"/>
              <w:sz w:val="24"/>
              <w:szCs w:val="24"/>
              <w:highlight w:val="none"/>
            </w:rPr>
            <w:fldChar w:fldCharType="separate"/>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_Toc25818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_Toc25818 \h </w:instrText>
          </w:r>
          <w:r>
            <w:rPr>
              <w:b/>
              <w:sz w:val="24"/>
              <w:szCs w:val="24"/>
            </w:rPr>
            <w:fldChar w:fldCharType="separate"/>
          </w:r>
          <w:r>
            <w:rPr>
              <w:b/>
              <w:sz w:val="24"/>
              <w:szCs w:val="24"/>
            </w:rPr>
            <w:t>3</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_Toc21437 </w:instrText>
          </w:r>
          <w:r>
            <w:rPr>
              <w:rFonts w:ascii="仿宋" w:hAnsi="仿宋" w:eastAsia="仿宋"/>
              <w:sz w:val="24"/>
              <w:szCs w:val="24"/>
              <w:highlight w:val="none"/>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_Toc21437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_Toc14237 </w:instrText>
          </w:r>
          <w:r>
            <w:rPr>
              <w:rFonts w:ascii="仿宋" w:hAnsi="仿宋" w:eastAsia="仿宋"/>
              <w:sz w:val="24"/>
              <w:szCs w:val="24"/>
              <w:highlight w:val="none"/>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_Toc14237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_Toc14801 </w:instrText>
          </w:r>
          <w:r>
            <w:rPr>
              <w:rFonts w:ascii="仿宋" w:hAnsi="仿宋" w:eastAsia="仿宋"/>
              <w:b/>
              <w:sz w:val="24"/>
              <w:szCs w:val="24"/>
              <w:highlight w:val="none"/>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_Toc14801 \h </w:instrText>
          </w:r>
          <w:r>
            <w:rPr>
              <w:b/>
              <w:sz w:val="24"/>
              <w:szCs w:val="24"/>
            </w:rPr>
            <w:fldChar w:fldCharType="separate"/>
          </w:r>
          <w:r>
            <w:rPr>
              <w:b/>
              <w:sz w:val="24"/>
              <w:szCs w:val="24"/>
            </w:rPr>
            <w:t>7</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_Toc11111 </w:instrText>
          </w:r>
          <w:r>
            <w:rPr>
              <w:rFonts w:ascii="仿宋" w:hAnsi="仿宋" w:eastAsia="仿宋"/>
              <w:sz w:val="24"/>
              <w:szCs w:val="24"/>
              <w:highlight w:val="none"/>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_Toc11111 \h </w:instrText>
          </w:r>
          <w:r>
            <w:rPr>
              <w:sz w:val="24"/>
              <w:szCs w:val="24"/>
            </w:rPr>
            <w:fldChar w:fldCharType="separate"/>
          </w:r>
          <w:r>
            <w:rPr>
              <w:sz w:val="24"/>
              <w:szCs w:val="24"/>
            </w:rPr>
            <w:t>7</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_Toc10496 </w:instrText>
          </w:r>
          <w:r>
            <w:rPr>
              <w:rFonts w:ascii="仿宋" w:hAnsi="仿宋" w:eastAsia="仿宋"/>
              <w:sz w:val="24"/>
              <w:szCs w:val="24"/>
              <w:highlight w:val="none"/>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_Toc10496 \h </w:instrText>
          </w:r>
          <w:r>
            <w:rPr>
              <w:sz w:val="24"/>
              <w:szCs w:val="24"/>
            </w:rPr>
            <w:fldChar w:fldCharType="separate"/>
          </w:r>
          <w:r>
            <w:rPr>
              <w:sz w:val="24"/>
              <w:szCs w:val="24"/>
            </w:rPr>
            <w:t>7</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_Toc6886 </w:instrText>
          </w:r>
          <w:r>
            <w:rPr>
              <w:rFonts w:ascii="仿宋" w:hAnsi="仿宋" w:eastAsia="仿宋"/>
              <w:sz w:val="24"/>
              <w:szCs w:val="24"/>
              <w:highlight w:val="none"/>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_Toc6886 \h </w:instrText>
          </w:r>
          <w:r>
            <w:rPr>
              <w:sz w:val="24"/>
              <w:szCs w:val="24"/>
            </w:rPr>
            <w:fldChar w:fldCharType="separate"/>
          </w:r>
          <w:r>
            <w:rPr>
              <w:sz w:val="24"/>
              <w:szCs w:val="24"/>
            </w:rPr>
            <w:t>8</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_Toc18745 </w:instrText>
          </w:r>
          <w:r>
            <w:rPr>
              <w:rFonts w:ascii="仿宋" w:hAnsi="仿宋" w:eastAsia="仿宋"/>
              <w:sz w:val="24"/>
              <w:szCs w:val="24"/>
              <w:highlight w:val="none"/>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_Toc18745 \h </w:instrText>
          </w:r>
          <w:r>
            <w:rPr>
              <w:sz w:val="24"/>
              <w:szCs w:val="24"/>
            </w:rPr>
            <w:fldChar w:fldCharType="separate"/>
          </w:r>
          <w:r>
            <w:rPr>
              <w:sz w:val="24"/>
              <w:szCs w:val="24"/>
            </w:rPr>
            <w:t>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_Toc6034 </w:instrText>
          </w:r>
          <w:r>
            <w:rPr>
              <w:rFonts w:ascii="仿宋" w:hAnsi="仿宋" w:eastAsia="仿宋"/>
              <w:sz w:val="24"/>
              <w:szCs w:val="24"/>
              <w:highlight w:val="none"/>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_Toc6034 \h </w:instrText>
          </w:r>
          <w:r>
            <w:rPr>
              <w:sz w:val="24"/>
              <w:szCs w:val="24"/>
            </w:rPr>
            <w:fldChar w:fldCharType="separate"/>
          </w:r>
          <w:r>
            <w:rPr>
              <w:sz w:val="24"/>
              <w:szCs w:val="24"/>
            </w:rPr>
            <w:t>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_Toc6229 </w:instrText>
          </w:r>
          <w:r>
            <w:rPr>
              <w:rFonts w:ascii="仿宋" w:hAnsi="仿宋" w:eastAsia="仿宋"/>
              <w:sz w:val="24"/>
              <w:szCs w:val="24"/>
              <w:highlight w:val="none"/>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_Toc6229 \h </w:instrText>
          </w:r>
          <w:r>
            <w:rPr>
              <w:sz w:val="24"/>
              <w:szCs w:val="24"/>
            </w:rPr>
            <w:fldChar w:fldCharType="separate"/>
          </w:r>
          <w:r>
            <w:rPr>
              <w:sz w:val="24"/>
              <w:szCs w:val="24"/>
            </w:rPr>
            <w:t>12</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_Toc1392 </w:instrText>
          </w:r>
          <w:r>
            <w:rPr>
              <w:rFonts w:ascii="仿宋" w:hAnsi="仿宋" w:eastAsia="仿宋"/>
              <w:sz w:val="24"/>
              <w:szCs w:val="24"/>
              <w:highlight w:val="none"/>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_Toc1392 \h </w:instrText>
          </w:r>
          <w:r>
            <w:rPr>
              <w:sz w:val="24"/>
              <w:szCs w:val="24"/>
            </w:rPr>
            <w:fldChar w:fldCharType="separate"/>
          </w:r>
          <w:r>
            <w:rPr>
              <w:sz w:val="24"/>
              <w:szCs w:val="24"/>
            </w:rPr>
            <w:t>13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_Toc23297 </w:instrText>
          </w:r>
          <w:r>
            <w:rPr>
              <w:rFonts w:ascii="仿宋" w:hAnsi="仿宋" w:eastAsia="仿宋"/>
              <w:sz w:val="24"/>
              <w:szCs w:val="24"/>
              <w:highlight w:val="none"/>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_Toc23297 \h </w:instrText>
          </w:r>
          <w:r>
            <w:rPr>
              <w:sz w:val="24"/>
              <w:szCs w:val="24"/>
            </w:rPr>
            <w:fldChar w:fldCharType="separate"/>
          </w:r>
          <w:r>
            <w:rPr>
              <w:sz w:val="24"/>
              <w:szCs w:val="24"/>
            </w:rPr>
            <w:t>14</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_Toc20374 </w:instrText>
          </w:r>
          <w:r>
            <w:rPr>
              <w:rFonts w:ascii="仿宋" w:hAnsi="仿宋" w:eastAsia="仿宋"/>
              <w:sz w:val="24"/>
              <w:szCs w:val="24"/>
              <w:highlight w:val="none"/>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_Toc20374 \h </w:instrText>
          </w:r>
          <w:r>
            <w:rPr>
              <w:sz w:val="24"/>
              <w:szCs w:val="24"/>
            </w:rPr>
            <w:fldChar w:fldCharType="separate"/>
          </w:r>
          <w:r>
            <w:rPr>
              <w:sz w:val="24"/>
              <w:szCs w:val="24"/>
            </w:rPr>
            <w:t>15</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_Toc28202 </w:instrText>
          </w:r>
          <w:r>
            <w:rPr>
              <w:rFonts w:ascii="仿宋" w:hAnsi="仿宋" w:eastAsia="仿宋"/>
              <w:sz w:val="24"/>
              <w:szCs w:val="24"/>
              <w:highlight w:val="none"/>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_Toc28202 \h </w:instrText>
          </w:r>
          <w:r>
            <w:rPr>
              <w:sz w:val="24"/>
              <w:szCs w:val="24"/>
            </w:rPr>
            <w:fldChar w:fldCharType="separate"/>
          </w:r>
          <w:r>
            <w:rPr>
              <w:sz w:val="24"/>
              <w:szCs w:val="24"/>
            </w:rPr>
            <w:t>15</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_Toc18658 </w:instrText>
          </w:r>
          <w:r>
            <w:rPr>
              <w:rFonts w:ascii="仿宋" w:hAnsi="仿宋" w:eastAsia="仿宋"/>
              <w:b/>
              <w:sz w:val="24"/>
              <w:szCs w:val="24"/>
              <w:highlight w:val="none"/>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_Toc18658 \h </w:instrText>
          </w:r>
          <w:r>
            <w:rPr>
              <w:b/>
              <w:sz w:val="24"/>
              <w:szCs w:val="24"/>
            </w:rPr>
            <w:fldChar w:fldCharType="separate"/>
          </w:r>
          <w:r>
            <w:rPr>
              <w:b/>
              <w:sz w:val="24"/>
              <w:szCs w:val="24"/>
            </w:rPr>
            <w:t>16</w:t>
          </w:r>
          <w:r>
            <w:rPr>
              <w:b/>
              <w:sz w:val="24"/>
              <w:szCs w:val="24"/>
            </w:rPr>
            <w:fldChar w:fldCharType="end"/>
          </w:r>
          <w:r>
            <w:rPr>
              <w:rFonts w:ascii="仿宋" w:hAnsi="仿宋" w:eastAsia="仿宋"/>
              <w:b/>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_Toc21263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_Toc21263 \h </w:instrText>
          </w:r>
          <w:r>
            <w:rPr>
              <w:b/>
              <w:sz w:val="24"/>
              <w:szCs w:val="24"/>
            </w:rPr>
            <w:fldChar w:fldCharType="separate"/>
          </w:r>
          <w:r>
            <w:rPr>
              <w:b/>
              <w:sz w:val="24"/>
              <w:szCs w:val="24"/>
            </w:rPr>
            <w:t>19</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_Toc27771 </w:instrText>
          </w:r>
          <w:r>
            <w:rPr>
              <w:rFonts w:ascii="仿宋" w:hAnsi="仿宋" w:eastAsia="仿宋"/>
              <w:sz w:val="24"/>
              <w:szCs w:val="24"/>
              <w:highlight w:val="none"/>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_Toc27771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_Toc9107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_Toc9107 \h </w:instrText>
          </w:r>
          <w:r>
            <w:rPr>
              <w:b/>
              <w:sz w:val="24"/>
              <w:szCs w:val="24"/>
            </w:rPr>
            <w:fldChar w:fldCharType="separate"/>
          </w:r>
          <w:r>
            <w:rPr>
              <w:b/>
              <w:sz w:val="24"/>
              <w:szCs w:val="24"/>
            </w:rPr>
            <w:t>20</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_Toc12963 </w:instrText>
          </w:r>
          <w:r>
            <w:rPr>
              <w:rFonts w:ascii="仿宋" w:hAnsi="仿宋" w:eastAsia="仿宋"/>
              <w:sz w:val="24"/>
              <w:szCs w:val="24"/>
              <w:highlight w:val="none"/>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_Toc12963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_Toc27928 </w:instrText>
          </w:r>
          <w:r>
            <w:rPr>
              <w:rFonts w:ascii="仿宋" w:hAnsi="仿宋" w:eastAsia="仿宋"/>
              <w:sz w:val="24"/>
              <w:szCs w:val="24"/>
              <w:highlight w:val="none"/>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_Toc27928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_Toc14527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_Toc14527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_Toc3819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_Toc3819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_Toc8818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_Toc8818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_Toc8554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_Toc8554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_Toc17608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_Toc17608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_Toc29572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_Toc29572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_Toc21241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_Toc21241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_Toc18954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_Toc18954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_Toc23735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_Toc23735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_Toc21636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_Toc21636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_Toc22357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_Toc22357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_Toc25385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_Toc25385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widowControl/>
            <w:adjustRightInd w:val="0"/>
            <w:snapToGrid w:val="0"/>
            <w:spacing w:line="440" w:lineRule="exact"/>
            <w:ind w:firstLine="1325" w:firstLineChars="550"/>
            <w:jc w:val="left"/>
            <w:rPr>
              <w:rFonts w:ascii="仿宋" w:hAnsi="仿宋" w:eastAsia="仿宋"/>
              <w:color w:val="auto"/>
              <w:sz w:val="24"/>
              <w:szCs w:val="24"/>
              <w:highlight w:val="none"/>
            </w:rPr>
          </w:pPr>
          <w:r>
            <w:rPr>
              <w:rFonts w:ascii="仿宋" w:hAnsi="仿宋" w:eastAsia="仿宋"/>
              <w:b/>
              <w:color w:val="auto"/>
              <w:sz w:val="24"/>
              <w:szCs w:val="24"/>
              <w:highlight w:val="none"/>
            </w:rPr>
            <w:fldChar w:fldCharType="end"/>
          </w:r>
        </w:p>
      </w:sdtContent>
    </w:sdt>
    <w:p>
      <w:pPr>
        <w:widowControl/>
        <w:spacing w:line="440" w:lineRule="exact"/>
        <w:jc w:val="left"/>
        <w:rPr>
          <w:rFonts w:ascii="仿宋" w:hAnsi="仿宋" w:eastAsia="仿宋"/>
          <w:bCs/>
          <w:color w:val="auto"/>
          <w:kern w:val="44"/>
          <w:sz w:val="24"/>
          <w:highlight w:val="none"/>
        </w:rPr>
      </w:pPr>
      <w:bookmarkStart w:id="14" w:name="_Toc15377196"/>
      <w:bookmarkStart w:id="15" w:name="_Toc15396599"/>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25818"/>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21437"/>
      <w:bookmarkStart w:id="18" w:name="_Toc15377197"/>
      <w:bookmarkStart w:id="19" w:name="_Toc15396600"/>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杨河乡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主要承担所辖范围的疾病预防控制、妇幼保健、健康教育以及对村级卫生机构人员培训指导等公共卫生工作职责，为全乡人民群众提供计划生育技术和基本医疗等综合性医疗卫生服务。</w:t>
      </w:r>
    </w:p>
    <w:p>
      <w:pPr>
        <w:pStyle w:val="4"/>
        <w:numPr>
          <w:ilvl w:val="0"/>
          <w:numId w:val="0"/>
        </w:numPr>
        <w:rPr>
          <w:rFonts w:hint="eastAsia" w:ascii="黑体" w:hAnsi="黑体" w:eastAsia="黑体"/>
          <w:b w:val="0"/>
          <w:color w:val="auto"/>
          <w:highlight w:val="none"/>
        </w:rPr>
      </w:pPr>
      <w:bookmarkStart w:id="20" w:name="_Toc14237"/>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2021年在县卫健局和乡党委、政府正确领导下，紧紧围绕年初下达的目标任务，积极应对新型冠状肺炎疫情防控，开展贫困户体检和慢性病特殊门诊办理，在全院干部职工共同努力下取得了较好的社会效益和经济效益。现将本年度主要工作总结如下：</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一、狠抓行动、树新风、全面提升我院整体形象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征求意见卡和社会问卷调查，为使意见和建议落到实处，严格按查处制度处理，使我院行风有了很大改善，整体形象明显提升。</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开展卫生大扫除，积极参加创省级卫生城市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收集转运处理。并进行灭鼠灭蝇，为患者提供一个温馨、舒适就医环境。</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二、进一步加强医疗质量管理，不断提高技术水平</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通过专业技术人员培训学习，和医疗设备添置更新、使我院技术力量得到加强，在此基础上我们狠抓医疗质量管理，严格医疗文件书写，门诊日志要求项目齐全，处方书写规范，用药合理安全，病历书写及时规范，护理记录详实，积极参加危急症病人抢救，医疗质量考核小组严格按考核方案每半月进行一次督导检查，发现问题及时处理，全年没有发生医务差错和纠纷。</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三、切实做好新型农村合作医疗工作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1、新型农村合作医疗这一惠民政策实施以来，深受广大农民欢迎，进行参合信息的录入与整合，及时建立了参合信息档案。</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2、积极做好参合农民就医补偿工作。对来我院就医参合农民，当日兑现补偿，对定点乡医上报的门诊小额补助我院及时先行垫付。</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为广大参合农民提供一个监督平台，在门诊大厅走廊醒目位置悬挂农合就诊程序、补偿范围、补偿标准及补偿所需提供材料，每日对当日发生农合补偿信息进行人村公式，并公布举报电话，接受社会各界监督。</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四、制定措施，积极完成项目工作，着力应对突发公共卫生事件。</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1、村卫生室建设项目工作要求高、时间短、难度大。为此我们高度重视，及时制定选址方案，加快工程进度。</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在应对今年新型冠状肺炎疫情防控工作中，我院认真组织，广泛宣传卫生科普知识，成立预检分诊、发热门诊，设置发热病人专用通道、留观隔离病房。发动乡村医生，严格按照防控要求对返乡人员进行体温监测和居家观察，同时做好疫情调查上报、监测工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五、按照目标，扎实做好防保工作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坚持例会制度，每月召开一次乡村医生例会，并以会代培的方式加强卫生法规、规章制度、计免知识的学习和培训。全年共召开乡村医会议15次，积极组织村医参加卫生局举办的继续教育卫生法规、专业知识培训和学习教育，完成全乡4个村卫生室考核办证工作，按照上级要求，每月一次入村督导检查，严格管理，从而使我乡的村医管理工作和防保网建设进一步加强。</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2、抓好传染病管理和监测，做好新生儿童破伤风、麻疹等传染病的主动监测和被动监测任务，开展死因调查，严格规范院内门诊日志管理，及时填报疫情报告卡，做好网络直报。</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配合各职能部门做好相关工作。配合卫生监督所对全镇食品市场的检查和监测，从业人员体检办证工作，并做好各村卫生诊所的消毒监测工作。狠抓结核病筛查工作，采取下乡查、村医报等措施，及时发现护送转诊，督导化疗方式，超额完成了结核病转诊任务。</w:t>
      </w:r>
    </w:p>
    <w:p>
      <w:pPr>
        <w:widowControl/>
        <w:ind w:left="0" w:leftChars="0"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rPr>
        <w:t>4、在县妇保院指导下开展妇幼工作，借“降消”项目实施有力推动，加强孕产妇保健，切实做好产前健康检查，积极完成各种妇幼保健报表，做到及时准确“降消”项目补偿工作及时兑现，无克扣虚报现象，较好地完成了全年妇幼保健任务。</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15377204"/>
      <w:bookmarkStart w:id="22" w:name="_Toc14801"/>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1111"/>
      <w:bookmarkStart w:id="25" w:name="_Toc15396603"/>
      <w:bookmarkStart w:id="26"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年度收、支总计147.48万元。与20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27.11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22.52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人员经费与公用经费预算收支增加。</w:t>
      </w:r>
    </w:p>
    <w:p>
      <w:pPr>
        <w:spacing w:line="240" w:lineRule="auto"/>
        <w:ind w:firstLine="0" w:firstLineChars="0"/>
        <w:jc w:val="center"/>
        <w:rPr>
          <w:rFonts w:hint="eastAsia" w:ascii="仿宋" w:hAnsi="仿宋" w:eastAsia="仿宋"/>
          <w:color w:val="auto"/>
          <w:sz w:val="32"/>
          <w:szCs w:val="32"/>
          <w:highlight w:val="none"/>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15396604"/>
      <w:bookmarkStart w:id="28" w:name="_Toc10496"/>
      <w:bookmarkStart w:id="29"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852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年本年收入合计147.48万元，其中：一般公共预算财政拨款收入132.68万元，占</w:t>
      </w:r>
      <w:r>
        <w:rPr>
          <w:rFonts w:hint="eastAsia" w:ascii="仿宋" w:hAnsi="仿宋" w:eastAsia="仿宋"/>
          <w:color w:val="auto"/>
          <w:sz w:val="32"/>
          <w:szCs w:val="32"/>
          <w:highlight w:val="none"/>
          <w:lang w:val="en-US" w:eastAsia="zh-CN"/>
        </w:rPr>
        <w:t>89.96</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；事业收入14.8</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15396605"/>
      <w:bookmarkStart w:id="32" w:name="_Toc15377207"/>
      <w:bookmarkStart w:id="33" w:name="_Toc6886"/>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345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147.48</w:t>
      </w:r>
      <w:r>
        <w:rPr>
          <w:rFonts w:hint="eastAsia" w:ascii="仿宋" w:hAnsi="仿宋" w:eastAsia="仿宋"/>
          <w:color w:val="auto"/>
          <w:sz w:val="32"/>
          <w:szCs w:val="32"/>
          <w:highlight w:val="none"/>
        </w:rPr>
        <w:t>万元，其中：基本支出147.48万元，占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firstLineChars="0"/>
        <w:jc w:val="center"/>
        <w:rPr>
          <w:rFonts w:hint="eastAsia" w:ascii="仿宋" w:hAnsi="仿宋" w:eastAsia="仿宋"/>
          <w:color w:val="auto"/>
          <w:sz w:val="32"/>
          <w:szCs w:val="32"/>
          <w:highlight w:val="none"/>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15377208"/>
      <w:bookmarkStart w:id="37" w:name="_Toc18745"/>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年财政拨款收、支总计132.68万元。与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15.91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。主要变动原因是人员经费与公用经费预算收支增加。</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15377209"/>
      <w:bookmarkStart w:id="39" w:name="_Toc15396607"/>
      <w:bookmarkStart w:id="40" w:name="_Toc603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年一般公共预算财政拨款支出132.68万元，占本年支出合计的</w:t>
      </w:r>
      <w:r>
        <w:rPr>
          <w:rFonts w:hint="eastAsia" w:ascii="仿宋" w:hAnsi="仿宋" w:eastAsia="仿宋"/>
          <w:color w:val="auto"/>
          <w:sz w:val="32"/>
          <w:szCs w:val="32"/>
          <w:highlight w:val="none"/>
          <w:lang w:val="en-US" w:eastAsia="zh-CN"/>
        </w:rPr>
        <w:t>89.96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15.91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。主要变动原因是人员经费与公用经费预算收支增加。</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年一般公共预算财政拨款支出132.68万元，主要用于以下方面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支出14.08万元，占</w:t>
      </w:r>
      <w:r>
        <w:rPr>
          <w:rFonts w:hint="eastAsia" w:ascii="仿宋" w:hAnsi="仿宋" w:eastAsia="仿宋"/>
          <w:color w:val="auto"/>
          <w:sz w:val="32"/>
          <w:szCs w:val="32"/>
          <w:highlight w:val="none"/>
          <w:lang w:val="en-US" w:eastAsia="zh-CN"/>
        </w:rPr>
        <w:t>10.61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108.15万元，占</w:t>
      </w:r>
      <w:r>
        <w:rPr>
          <w:rFonts w:hint="eastAsia" w:ascii="仿宋" w:hAnsi="仿宋" w:eastAsia="仿宋"/>
          <w:color w:val="auto"/>
          <w:sz w:val="32"/>
          <w:szCs w:val="32"/>
          <w:highlight w:val="none"/>
          <w:lang w:val="en-US" w:eastAsia="zh-CN"/>
        </w:rPr>
        <w:t>81.52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10.44万元，占</w:t>
      </w:r>
      <w:r>
        <w:rPr>
          <w:rFonts w:hint="eastAsia" w:ascii="仿宋" w:hAnsi="仿宋" w:eastAsia="仿宋"/>
          <w:color w:val="auto"/>
          <w:sz w:val="32"/>
          <w:szCs w:val="32"/>
          <w:highlight w:val="none"/>
          <w:lang w:val="en-US" w:eastAsia="zh-CN"/>
        </w:rPr>
        <w:t>7.87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3" w:firstLineChars="200"/>
        <w:outlineLvl w:val="1"/>
        <w:rPr>
          <w:rFonts w:ascii="仿宋" w:hAnsi="仿宋" w:eastAsia="仿宋"/>
          <w:color w:val="auto"/>
          <w:sz w:val="32"/>
          <w:szCs w:val="32"/>
          <w:highlight w:val="none"/>
        </w:rPr>
      </w:pPr>
      <w:bookmarkStart w:id="44" w:name="_Toc15377444"/>
      <w:bookmarkStart w:id="45" w:name="_Toc15377213"/>
      <w:bookmarkStart w:id="46" w:name="_Toc15378460"/>
      <w:bookmarkStart w:id="47" w:name="_Toc18901"/>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般公共预算支出决算数为132.68</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社会保障和就业（类）行政事业单位养老支出（款）机关事业单位基本养老保险缴费支出（项）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8.65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社会保障和就业（类）行政事业单位养老支出（款）机关事业单位职业年金缴费支出（项）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4.33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社会保障和就业（类）其他社会保障和就业支出（款）其他社会保障和就业支出（项）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1.10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pP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（类）卫生健康管理事务（款）行政运行（项）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0.60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ind w:left="0" w:leftChars="0" w:firstLine="643" w:firstLineChars="200"/>
        <w:rPr>
          <w:rFonts w:hint="eastAsia"/>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（类）卫生健康管理事务（款）其他卫生健康管理事务支出（项）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1.00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（类）基层医疗卫生机构（款）乡镇卫生院（项）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99.38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（类）基层医疗卫生机构（款）其他基层医疗卫生机构支出（项）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2.40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ind w:left="0" w:leftChars="0"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（类）行政事业单位医疗（款）事业单位医疗（项）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4.11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ind w:left="0" w:leftChars="0" w:firstLine="643" w:firstLineChars="200"/>
      </w:pPr>
      <w:r>
        <w:rPr>
          <w:rStyle w:val="14"/>
          <w:rFonts w:hint="eastAsia" w:ascii="仿宋" w:hAnsi="仿宋" w:eastAsia="仿宋"/>
          <w:bCs/>
          <w:color w:val="auto"/>
          <w:sz w:val="32"/>
          <w:szCs w:val="32"/>
          <w:highlight w:val="none"/>
          <w:lang w:val="en-US" w:eastAsia="zh-CN"/>
        </w:rPr>
        <w:t>9</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（类）行政事业单位医疗（款）公务员医疗补助（项）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0.66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color w:val="auto"/>
          <w:sz w:val="32"/>
          <w:szCs w:val="32"/>
          <w:highlight w:val="none"/>
        </w:rPr>
      </w:pPr>
      <w:r>
        <w:rPr>
          <w:rStyle w:val="14"/>
          <w:rFonts w:hint="eastAsia" w:ascii="仿宋" w:hAnsi="仿宋" w:eastAsia="仿宋"/>
          <w:bCs/>
          <w:color w:val="auto"/>
          <w:sz w:val="32"/>
          <w:szCs w:val="32"/>
          <w:highlight w:val="none"/>
          <w:lang w:val="en-US" w:eastAsia="zh-CN"/>
        </w:rPr>
        <w:t>10</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4"/>
          <w:rFonts w:hint="eastAsia" w:ascii="仿宋" w:hAnsi="仿宋" w:eastAsia="仿宋"/>
          <w:bCs/>
          <w:color w:val="auto"/>
          <w:sz w:val="32"/>
          <w:szCs w:val="32"/>
          <w:highlight w:val="none"/>
        </w:rPr>
        <w:t>（类）住房改革支出（款）住房公积金（项）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10.44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15377214"/>
      <w:bookmarkStart w:id="49" w:name="_Toc15396608"/>
      <w:bookmarkStart w:id="50" w:name="_Toc622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132.68</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121.43</w:t>
      </w:r>
      <w:r>
        <w:rPr>
          <w:rFonts w:hint="eastAsia" w:ascii="仿宋" w:hAnsi="仿宋" w:eastAsia="仿宋"/>
          <w:color w:val="auto"/>
          <w:sz w:val="32"/>
          <w:szCs w:val="32"/>
          <w:highlight w:val="none"/>
        </w:rPr>
        <w:t>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11.25</w:t>
      </w:r>
      <w:r>
        <w:rPr>
          <w:rFonts w:hint="eastAsia" w:ascii="仿宋" w:hAnsi="仿宋" w:eastAsia="仿宋"/>
          <w:color w:val="auto"/>
          <w:sz w:val="32"/>
          <w:szCs w:val="32"/>
          <w:highlight w:val="none"/>
        </w:rPr>
        <w:t>万元，主要包括：工会经费、福利费、公务用车运行维护费等。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15377215"/>
      <w:bookmarkStart w:id="52" w:name="_Toc15396609"/>
      <w:bookmarkStart w:id="53" w:name="_Toc1392"/>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6.60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合理预算三公经费开支</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6.60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6.60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4.50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214.29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2021年业务量增加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其他用车1辆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6.60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开展医疗业务工作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77218"/>
      <w:bookmarkStart w:id="57" w:name="_Toc15396610"/>
    </w:p>
    <w:p>
      <w:pPr>
        <w:spacing w:line="600" w:lineRule="exact"/>
        <w:ind w:firstLine="640"/>
        <w:outlineLvl w:val="1"/>
        <w:rPr>
          <w:rStyle w:val="25"/>
          <w:rFonts w:ascii="黑体" w:hAnsi="黑体" w:eastAsia="黑体"/>
          <w:color w:val="auto"/>
          <w:highlight w:val="none"/>
        </w:rPr>
      </w:pPr>
      <w:bookmarkStart w:id="58" w:name="_Toc23297"/>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15396611"/>
      <w:bookmarkStart w:id="60" w:name="_Toc15377219"/>
      <w:bookmarkStart w:id="61" w:name="_Toc20374"/>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15396612"/>
      <w:bookmarkStart w:id="63" w:name="_Toc15377221"/>
      <w:bookmarkStart w:id="64" w:name="_Toc28202"/>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年，峨边彝族自治县杨河乡卫生院机关运行经费支出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bookmarkStart w:id="104" w:name="_GoBack"/>
      <w:bookmarkEnd w:id="104"/>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年，峨边彝族自治县杨河乡卫生院政府采购支出总额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日，峨边彝族自治县杨河乡卫生院共有车辆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15377225"/>
      <w:bookmarkStart w:id="69" w:name="_Toc18658"/>
      <w:bookmarkStart w:id="7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21263"/>
      <w:bookmarkStart w:id="73"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4" w:name="_Toc27771"/>
      <w:r>
        <w:rPr>
          <w:rFonts w:hint="eastAsia" w:ascii="黑体" w:hAnsi="黑体" w:eastAsia="黑体" w:cs="黑体"/>
          <w:color w:val="auto"/>
          <w:sz w:val="32"/>
          <w:szCs w:val="32"/>
          <w:highlight w:val="none"/>
        </w:rPr>
        <w:t>附件</w:t>
      </w:r>
      <w:bookmarkEnd w:id="74"/>
    </w:p>
    <w:p>
      <w:pPr>
        <w:spacing w:line="600" w:lineRule="exact"/>
        <w:jc w:val="center"/>
        <w:outlineLvl w:val="9"/>
        <w:rPr>
          <w:rFonts w:hint="eastAsia" w:ascii="黑体" w:hAnsi="黑体" w:eastAsia="黑体"/>
          <w:color w:val="auto"/>
          <w:sz w:val="44"/>
          <w:szCs w:val="44"/>
          <w:highlight w:val="none"/>
          <w:lang w:val="en-US" w:eastAsia="zh-CN"/>
        </w:rPr>
      </w:pPr>
      <w:bookmarkStart w:id="75" w:name="_Toc15396618"/>
    </w:p>
    <w:p>
      <w:pPr>
        <w:spacing w:line="600" w:lineRule="exact"/>
        <w:ind w:left="0" w:leftChars="0" w:firstLine="640" w:firstLineChars="200"/>
        <w:jc w:val="left"/>
        <w:outlineLvl w:val="9"/>
        <w:rPr>
          <w:rFonts w:hint="eastAsia" w:ascii="黑体" w:hAnsi="黑体" w:eastAsia="黑体"/>
          <w:color w:val="auto"/>
          <w:sz w:val="44"/>
          <w:szCs w:val="44"/>
          <w:highlight w:val="none"/>
        </w:rPr>
      </w:pPr>
      <w:r>
        <w:rPr>
          <w:rFonts w:hint="eastAsia" w:ascii="仿宋_GB2312" w:hAnsi="仿宋_GB2312" w:eastAsia="仿宋_GB2312" w:cs="仿宋_GB2312"/>
          <w:color w:val="auto"/>
          <w:sz w:val="32"/>
          <w:szCs w:val="32"/>
        </w:rPr>
        <w:t>根据预算绩效管理要求，本单位在2021年度预算编制阶段，</w:t>
      </w:r>
      <w:r>
        <w:rPr>
          <w:rFonts w:hint="eastAsia" w:ascii="仿宋_GB2312" w:hAnsi="仿宋_GB2312" w:eastAsia="仿宋_GB2312" w:cs="仿宋_GB2312"/>
          <w:color w:val="auto"/>
          <w:sz w:val="32"/>
          <w:szCs w:val="32"/>
          <w:lang w:eastAsia="zh-CN"/>
        </w:rPr>
        <w:t>无项目支出预算，因此未开展项目绩效评价工作。</w:t>
      </w: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9107"/>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12963"/>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15396620"/>
      <w:bookmarkStart w:id="80" w:name="_Toc27928"/>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4527"/>
      <w:bookmarkStart w:id="82"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3819"/>
      <w:bookmarkStart w:id="8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8818"/>
      <w:bookmarkStart w:id="86"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8554"/>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15396625"/>
      <w:bookmarkStart w:id="90" w:name="_Toc17608"/>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15396626"/>
      <w:bookmarkStart w:id="92" w:name="_Toc29572"/>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21241"/>
      <w:bookmarkStart w:id="94"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18954"/>
      <w:bookmarkStart w:id="96"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5396629"/>
      <w:bookmarkStart w:id="98" w:name="_Toc23735"/>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15396630"/>
      <w:bookmarkStart w:id="100" w:name="_Toc21636"/>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15396631"/>
      <w:bookmarkStart w:id="102" w:name="_Toc22357"/>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25385"/>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641966"/>
    <w:rsid w:val="1B6C1DAC"/>
    <w:rsid w:val="1BB3050D"/>
    <w:rsid w:val="1BE8440E"/>
    <w:rsid w:val="1D155CEE"/>
    <w:rsid w:val="20F57F95"/>
    <w:rsid w:val="240371BF"/>
    <w:rsid w:val="25C741E6"/>
    <w:rsid w:val="27842671"/>
    <w:rsid w:val="29FD04D3"/>
    <w:rsid w:val="2ABE7A3E"/>
    <w:rsid w:val="2EFA178C"/>
    <w:rsid w:val="30B46D73"/>
    <w:rsid w:val="319F7F4E"/>
    <w:rsid w:val="350A56C5"/>
    <w:rsid w:val="39AE70AB"/>
    <w:rsid w:val="3A5B6DF6"/>
    <w:rsid w:val="3C0C0783"/>
    <w:rsid w:val="3F9F3A96"/>
    <w:rsid w:val="493C27E9"/>
    <w:rsid w:val="496F39ED"/>
    <w:rsid w:val="49FF41D3"/>
    <w:rsid w:val="4BE068DB"/>
    <w:rsid w:val="4BF6002B"/>
    <w:rsid w:val="4ECE2238"/>
    <w:rsid w:val="50DA1909"/>
    <w:rsid w:val="51DB4B86"/>
    <w:rsid w:val="55333C3E"/>
    <w:rsid w:val="57817115"/>
    <w:rsid w:val="6063313B"/>
    <w:rsid w:val="6389059D"/>
    <w:rsid w:val="64CA39A1"/>
    <w:rsid w:val="65B71766"/>
    <w:rsid w:val="67C65DF0"/>
    <w:rsid w:val="67DC4A63"/>
    <w:rsid w:val="68546DE0"/>
    <w:rsid w:val="6C4A05C8"/>
    <w:rsid w:val="72734D90"/>
    <w:rsid w:val="79E7B28D"/>
    <w:rsid w:val="7E216390"/>
    <w:rsid w:val="7F3D707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6229</Words>
  <Characters>6637</Characters>
  <Lines>61</Lines>
  <Paragraphs>17</Paragraphs>
  <TotalTime>2</TotalTime>
  <ScaleCrop>false</ScaleCrop>
  <LinksUpToDate>false</LinksUpToDate>
  <CharactersWithSpaces>6758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2022-10-26T10:49:10Z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CF8D97ADC1C042A197E612EC896DBC6F</vt:lpwstr>
  </property>
</Properties>
</file>