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0A25A">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0" w:name="_Toc15306267"/>
    </w:p>
    <w:p w14:paraId="339EAD6E">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0A769354">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105" w:name="_GoBack"/>
      <w:bookmarkEnd w:id="105"/>
    </w:p>
    <w:p w14:paraId="4A37720C">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38A4204F">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0BAADA14">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1" w:name="_Toc15396475"/>
      <w:bookmarkStart w:id="2" w:name="_Toc16616"/>
      <w:bookmarkStart w:id="3" w:name="_Toc15377193"/>
      <w:bookmarkStart w:id="4" w:name="_Toc15378441"/>
      <w:bookmarkStart w:id="5" w:name="_Toc15396597"/>
      <w:bookmarkStart w:id="6" w:name="_Toc15377425"/>
      <w:r>
        <w:rPr>
          <w:rFonts w:hint="eastAsia" w:ascii="方正小标宋简体" w:hAnsi="方正小标宋简体" w:eastAsia="方正小标宋简体" w:cs="方正小标宋简体"/>
          <w:color w:val="auto"/>
          <w:kern w:val="2"/>
          <w:sz w:val="44"/>
          <w:szCs w:val="44"/>
          <w:highlight w:val="none"/>
          <w:lang w:val="en-US" w:eastAsia="zh-CN" w:bidi="ar-SA"/>
        </w:rPr>
        <w:t>2024年度</w:t>
      </w:r>
      <w:bookmarkEnd w:id="1"/>
      <w:bookmarkEnd w:id="2"/>
      <w:bookmarkEnd w:id="3"/>
      <w:bookmarkEnd w:id="4"/>
      <w:bookmarkEnd w:id="5"/>
      <w:bookmarkEnd w:id="6"/>
    </w:p>
    <w:bookmarkEnd w:id="0"/>
    <w:p w14:paraId="7E63D7CD">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7" w:name="_Toc14720"/>
      <w:bookmarkStart w:id="8" w:name="_Toc15377426"/>
      <w:bookmarkStart w:id="9" w:name="_Toc15377194"/>
      <w:bookmarkStart w:id="10" w:name="_Toc15306268"/>
      <w:bookmarkStart w:id="11" w:name="_Toc15378442"/>
      <w:bookmarkStart w:id="12" w:name="_Toc15396476"/>
      <w:bookmarkStart w:id="13" w:name="_Toc15396598"/>
      <w:r>
        <w:rPr>
          <w:rFonts w:hint="eastAsia" w:ascii="方正小标宋简体" w:hAnsi="方正小标宋简体" w:eastAsia="方正小标宋简体" w:cs="方正小标宋简体"/>
          <w:color w:val="auto"/>
          <w:kern w:val="2"/>
          <w:sz w:val="44"/>
          <w:szCs w:val="44"/>
          <w:highlight w:val="none"/>
          <w:lang w:val="en-US" w:eastAsia="zh-CN" w:bidi="ar-SA"/>
        </w:rPr>
        <w:t>峨边彝族自治县红旗镇中心小学</w:t>
      </w:r>
      <w:bookmarkEnd w:id="7"/>
    </w:p>
    <w:p w14:paraId="7EEBD062">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14" w:name="_Toc7202"/>
      <w:r>
        <w:rPr>
          <w:rFonts w:hint="eastAsia" w:ascii="方正小标宋简体" w:hAnsi="方正小标宋简体" w:eastAsia="方正小标宋简体" w:cs="方正小标宋简体"/>
          <w:color w:val="auto"/>
          <w:kern w:val="2"/>
          <w:sz w:val="44"/>
          <w:szCs w:val="44"/>
          <w:highlight w:val="none"/>
          <w:lang w:val="en-US" w:eastAsia="zh-CN" w:bidi="ar-SA"/>
        </w:rPr>
        <w:t>单位决算</w:t>
      </w:r>
      <w:bookmarkEnd w:id="8"/>
      <w:bookmarkEnd w:id="9"/>
      <w:bookmarkEnd w:id="10"/>
      <w:bookmarkEnd w:id="11"/>
      <w:bookmarkEnd w:id="12"/>
      <w:bookmarkEnd w:id="13"/>
      <w:bookmarkEnd w:id="14"/>
    </w:p>
    <w:p w14:paraId="1FDFF62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9DDB04B">
      <w:pPr>
        <w:pStyle w:val="13"/>
      </w:pPr>
      <w:r>
        <w:rPr>
          <w:rFonts w:hint="eastAsia"/>
        </w:rPr>
        <w:t>公开时间：202</w:t>
      </w:r>
      <w:r>
        <w:rPr>
          <w:rFonts w:hint="eastAsia"/>
          <w:lang w:val="en-US" w:eastAsia="zh-CN"/>
        </w:rPr>
        <w:t>5</w:t>
      </w:r>
      <w:r>
        <w:rPr>
          <w:rFonts w:hint="eastAsia"/>
        </w:rPr>
        <w:t>年1</w:t>
      </w:r>
      <w:r>
        <w:rPr>
          <w:rFonts w:hint="eastAsia"/>
          <w:lang w:val="en-US" w:eastAsia="zh-CN"/>
        </w:rPr>
        <w:t>1</w:t>
      </w:r>
      <w:r>
        <w:rPr>
          <w:rFonts w:hint="eastAsia"/>
        </w:rPr>
        <w:t>月</w:t>
      </w:r>
      <w:r>
        <w:rPr>
          <w:rFonts w:hint="eastAsia"/>
          <w:lang w:val="en-US" w:eastAsia="zh-CN"/>
        </w:rPr>
        <w:t>27</w:t>
      </w:r>
      <w:r>
        <w:rPr>
          <w:rFonts w:hint="eastAsia"/>
        </w:rPr>
        <w:t>日</w:t>
      </w:r>
    </w:p>
    <w:p w14:paraId="70EEE883"/>
    <w:p w14:paraId="49D6761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bookmarkStart w:id="15" w:name="_Toc15396599"/>
      <w:bookmarkStart w:id="16" w:name="_Toc15377196"/>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389E88CB">
      <w:pPr>
        <w:rPr>
          <w:rFonts w:hint="eastAsia"/>
        </w:rPr>
      </w:pPr>
    </w:p>
    <w:p w14:paraId="4342875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...................................5</w:t>
      </w:r>
    </w:p>
    <w:p w14:paraId="1897F5B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6</w:t>
      </w:r>
    </w:p>
    <w:p w14:paraId="6DC24FA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6</w:t>
      </w:r>
    </w:p>
    <w:p w14:paraId="1178823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6</w:t>
      </w:r>
    </w:p>
    <w:p w14:paraId="1117E4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6</w:t>
      </w:r>
    </w:p>
    <w:p w14:paraId="60F23B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7</w:t>
      </w:r>
    </w:p>
    <w:p w14:paraId="1966AC2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7</w:t>
      </w:r>
    </w:p>
    <w:p w14:paraId="1BE5EB9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8</w:t>
      </w:r>
    </w:p>
    <w:p w14:paraId="53F4BAB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8</w:t>
      </w:r>
    </w:p>
    <w:p w14:paraId="030F459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9</w:t>
      </w:r>
    </w:p>
    <w:p w14:paraId="51561A9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12</w:t>
      </w:r>
    </w:p>
    <w:p w14:paraId="02DB7CE2">
      <w:pPr>
        <w:pStyle w:val="13"/>
        <w:keepNext w:val="0"/>
        <w:keepLines w:val="0"/>
        <w:pageBreakBefore w:val="0"/>
        <w:kinsoku/>
        <w:wordWrap/>
        <w:overflowPunct/>
        <w:topLinePunct w:val="0"/>
        <w:autoSpaceDE/>
        <w:autoSpaceDN/>
        <w:bidi w:val="0"/>
        <w:adjustRightInd w:val="0"/>
        <w:snapToGrid w:val="0"/>
        <w:spacing w:before="0" w:line="560" w:lineRule="exact"/>
        <w:jc w:val="righ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.................................................................14</w:t>
      </w: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.........................................................................17</w:t>
      </w:r>
    </w:p>
    <w:p w14:paraId="30613660">
      <w:pPr>
        <w:pStyle w:val="13"/>
        <w:keepNext w:val="0"/>
        <w:keepLines w:val="0"/>
        <w:pageBreakBefore w:val="0"/>
        <w:kinsoku/>
        <w:wordWrap/>
        <w:overflowPunct/>
        <w:topLinePunct w:val="0"/>
        <w:autoSpaceDE/>
        <w:autoSpaceDN/>
        <w:bidi w:val="0"/>
        <w:adjustRightInd w:val="0"/>
        <w:snapToGrid w:val="0"/>
        <w:spacing w:before="0" w:line="560" w:lineRule="exact"/>
        <w:jc w:val="righ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.........................................................................28</w:t>
      </w:r>
    </w:p>
    <w:p w14:paraId="00A4A86E">
      <w:pPr>
        <w:pStyle w:val="14"/>
        <w:keepNext w:val="0"/>
        <w:keepLines w:val="0"/>
        <w:pageBreakBefore w:val="0"/>
        <w:widowControl w:val="0"/>
        <w:kinsoku/>
        <w:wordWrap/>
        <w:overflowPunct/>
        <w:topLinePunct w:val="0"/>
        <w:autoSpaceDE/>
        <w:autoSpaceDN/>
        <w:bidi w:val="0"/>
        <w:adjustRightInd w:val="0"/>
        <w:snapToGrid w:val="0"/>
        <w:spacing w:line="560" w:lineRule="exact"/>
        <w:ind w:left="428" w:leftChars="204" w:firstLine="0" w:firstLineChars="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395A0249">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rPr>
        <w:t>、支出决算表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05C3677E">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rPr>
        <w:t>财政拨款收入支出决算总表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3DDE53F7">
      <w:pPr>
        <w:pStyle w:val="14"/>
        <w:keepNext w:val="0"/>
        <w:keepLines w:val="0"/>
        <w:pageBreakBefore w:val="0"/>
        <w:widowControl w:val="0"/>
        <w:kinsoku/>
        <w:wordWrap/>
        <w:overflowPunct/>
        <w:topLinePunct w:val="0"/>
        <w:autoSpaceDE/>
        <w:autoSpaceDN/>
        <w:bidi w:val="0"/>
        <w:adjustRightInd w:val="0"/>
        <w:snapToGrid w:val="0"/>
        <w:spacing w:line="560" w:lineRule="exact"/>
        <w:ind w:left="428" w:leftChars="204" w:firstLine="0" w:firstLineChars="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5F94C218">
      <w:pPr>
        <w:pStyle w:val="14"/>
        <w:keepNext w:val="0"/>
        <w:keepLines w:val="0"/>
        <w:pageBreakBefore w:val="0"/>
        <w:widowControl w:val="0"/>
        <w:kinsoku/>
        <w:wordWrap/>
        <w:overflowPunct/>
        <w:topLinePunct w:val="0"/>
        <w:autoSpaceDE/>
        <w:autoSpaceDN/>
        <w:bidi w:val="0"/>
        <w:adjustRightInd w:val="0"/>
        <w:snapToGrid w:val="0"/>
        <w:spacing w:line="560" w:lineRule="exact"/>
        <w:ind w:left="428" w:leftChars="2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rPr>
        <w:t>一般公共预算财政拨款支出决算表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72E5D733">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18FD78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60EE1A9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66CF2F89">
      <w:pPr>
        <w:pStyle w:val="14"/>
        <w:keepNext w:val="0"/>
        <w:keepLines w:val="0"/>
        <w:pageBreakBefore w:val="0"/>
        <w:widowControl w:val="0"/>
        <w:kinsoku/>
        <w:wordWrap/>
        <w:overflowPunct/>
        <w:topLinePunct w:val="0"/>
        <w:autoSpaceDE/>
        <w:autoSpaceDN/>
        <w:bidi w:val="0"/>
        <w:adjustRightInd w:val="0"/>
        <w:snapToGrid w:val="0"/>
        <w:spacing w:line="560" w:lineRule="exact"/>
        <w:ind w:left="958" w:leftChars="304" w:hanging="320" w:hangingChars="1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1B29D3A3">
      <w:pPr>
        <w:pStyle w:val="14"/>
        <w:keepNext w:val="0"/>
        <w:keepLines w:val="0"/>
        <w:pageBreakBefore w:val="0"/>
        <w:widowControl w:val="0"/>
        <w:kinsoku/>
        <w:wordWrap/>
        <w:overflowPunct/>
        <w:topLinePunct w:val="0"/>
        <w:autoSpaceDE/>
        <w:autoSpaceDN/>
        <w:bidi w:val="0"/>
        <w:adjustRightInd w:val="0"/>
        <w:snapToGrid w:val="0"/>
        <w:spacing w:line="560" w:lineRule="exact"/>
        <w:ind w:left="958" w:leftChars="304" w:hanging="320" w:hangingChars="1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43E4975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28</w:t>
      </w:r>
    </w:p>
    <w:p w14:paraId="1F184E64">
      <w:pPr>
        <w:pStyle w:val="5"/>
        <w:ind w:firstLine="2200" w:firstLineChars="500"/>
        <w:jc w:val="both"/>
        <w:outlineLvl w:val="9"/>
        <w:rPr>
          <w:rFonts w:hint="eastAsia" w:ascii="黑体" w:hAnsi="黑体" w:eastAsia="黑体"/>
          <w:b w:val="0"/>
        </w:rPr>
      </w:pPr>
    </w:p>
    <w:p w14:paraId="1B10D325">
      <w:pPr>
        <w:rPr>
          <w:rFonts w:hint="eastAsia" w:ascii="黑体" w:hAnsi="黑体" w:eastAsia="黑体"/>
          <w:b w:val="0"/>
        </w:rPr>
      </w:pPr>
    </w:p>
    <w:p w14:paraId="3966D2D7">
      <w:pPr>
        <w:rPr>
          <w:rFonts w:hint="eastAsia" w:ascii="黑体" w:hAnsi="黑体" w:eastAsia="黑体"/>
          <w:b w:val="0"/>
        </w:rPr>
      </w:pPr>
    </w:p>
    <w:p w14:paraId="4A875F93">
      <w:pPr>
        <w:pStyle w:val="5"/>
        <w:ind w:firstLine="2200" w:firstLineChars="500"/>
        <w:jc w:val="both"/>
        <w:rPr>
          <w:rFonts w:hint="eastAsia" w:ascii="黑体" w:hAnsi="黑体" w:eastAsia="黑体"/>
          <w:b w:val="0"/>
        </w:rPr>
      </w:pPr>
      <w:bookmarkStart w:id="17" w:name="_Toc22714"/>
    </w:p>
    <w:p w14:paraId="5B29A785">
      <w:pPr>
        <w:rPr>
          <w:rFonts w:hint="eastAsia" w:ascii="黑体" w:hAnsi="黑体" w:eastAsia="黑体"/>
          <w:b w:val="0"/>
        </w:rPr>
      </w:pPr>
    </w:p>
    <w:p w14:paraId="049A99C2">
      <w:pPr>
        <w:rPr>
          <w:rFonts w:hint="eastAsia" w:ascii="黑体" w:hAnsi="黑体" w:eastAsia="黑体"/>
          <w:b w:val="0"/>
        </w:rPr>
      </w:pPr>
    </w:p>
    <w:p w14:paraId="58548DCB">
      <w:pPr>
        <w:rPr>
          <w:rFonts w:hint="eastAsia" w:ascii="黑体" w:hAnsi="黑体" w:eastAsia="黑体"/>
          <w:b w:val="0"/>
        </w:rPr>
      </w:pPr>
    </w:p>
    <w:p w14:paraId="7A554CDA">
      <w:pPr>
        <w:pStyle w:val="5"/>
        <w:ind w:firstLine="2200" w:firstLineChars="500"/>
        <w:jc w:val="both"/>
        <w:rPr>
          <w:rFonts w:hint="eastAsia" w:ascii="黑体" w:hAnsi="黑体" w:eastAsia="黑体"/>
          <w:b w:val="0"/>
        </w:rPr>
      </w:pPr>
    </w:p>
    <w:p w14:paraId="6F2554F4">
      <w:pPr>
        <w:pStyle w:val="5"/>
        <w:jc w:val="both"/>
        <w:rPr>
          <w:rFonts w:hint="eastAsia" w:ascii="黑体" w:hAnsi="黑体" w:eastAsia="黑体"/>
          <w:b w:val="0"/>
        </w:rPr>
      </w:pPr>
    </w:p>
    <w:p w14:paraId="549E9F67">
      <w:pPr>
        <w:rPr>
          <w:rFonts w:hint="eastAsia"/>
        </w:rPr>
      </w:pPr>
    </w:p>
    <w:p w14:paraId="6BEF3EDD">
      <w:pPr>
        <w:pStyle w:val="5"/>
        <w:ind w:firstLine="2200" w:firstLineChars="500"/>
        <w:jc w:val="both"/>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5"/>
      <w:bookmarkEnd w:id="16"/>
      <w:bookmarkEnd w:id="17"/>
    </w:p>
    <w:p w14:paraId="76581BEE">
      <w:pPr>
        <w:pStyle w:val="6"/>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eastAsia="zh-CN"/>
        </w:rPr>
      </w:pPr>
      <w:bookmarkStart w:id="18" w:name="_Toc3739"/>
      <w:bookmarkStart w:id="19" w:name="_Toc15396602"/>
      <w:bookmarkStart w:id="20" w:name="_Toc15377204"/>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部门职责</w:t>
      </w:r>
    </w:p>
    <w:p w14:paraId="570A8A95">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宣传贯彻执行党和国家的教育方针、政策、法律法规等，坚持依法治教、依法治学，贯彻执行县教体局的行政规章制度。</w:t>
      </w:r>
    </w:p>
    <w:p w14:paraId="7E2AFC02">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配合县、镇人民政府制定符合党的教育方针和国家教育法律法规以及本校实际的教育发展规划和学校布局调整规划，并抓好组织实施和落实工作。</w:t>
      </w:r>
    </w:p>
    <w:p w14:paraId="0836DF2D">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巩固提高“两基”工作成果和整体水平，配合各级人民政府依法动员、组织适龄儿童少年入学，严格控制辍学。</w:t>
      </w:r>
    </w:p>
    <w:p w14:paraId="048393B1">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组织开展本校的教育教学科研和教育教学改革，科研兴教，科研兴校。负责对本校教育教学业务的具体管理，负责教育教学管理及教研教改工作，全力推进素质教育实施。</w:t>
      </w:r>
    </w:p>
    <w:p w14:paraId="7983BE62">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按照干部和教师的职数、编制和管理权限，负责本校教师人事管理、继续教育、考核考评等工作。</w:t>
      </w:r>
    </w:p>
    <w:p w14:paraId="393DE587">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负责本校财务和基建管理，筹措资金，改善办学条件等工作。</w:t>
      </w:r>
    </w:p>
    <w:p w14:paraId="0FDA35BE">
      <w:pPr>
        <w:snapToGrid w:val="0"/>
        <w:spacing w:line="5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指导、管理、检查、评价本校的教育教学工作，提高办学质量和办学效益。按照义务教育课程计划，开齐课程，开足课时，认真实施中小学的教育教学管理，全面推进素质教育，全面提高教育教学质量。</w:t>
      </w:r>
    </w:p>
    <w:p w14:paraId="73023414">
      <w:pPr>
        <w:ind w:firstLine="640" w:firstLineChars="200"/>
        <w:rPr>
          <w:rFonts w:hint="eastAsia" w:ascii="仿宋" w:hAnsi="仿宋" w:eastAsia="仿宋" w:cs="仿宋"/>
          <w:sz w:val="32"/>
          <w:szCs w:val="32"/>
        </w:rPr>
      </w:pPr>
      <w:r>
        <w:rPr>
          <w:rFonts w:hint="eastAsia" w:ascii="仿宋" w:hAnsi="仿宋" w:eastAsia="仿宋" w:cs="仿宋"/>
          <w:bCs/>
          <w:color w:val="000000"/>
          <w:sz w:val="32"/>
          <w:szCs w:val="32"/>
          <w:lang w:val="en-US" w:eastAsia="zh-CN"/>
        </w:rPr>
        <w:t>8.</w:t>
      </w:r>
      <w:r>
        <w:rPr>
          <w:rFonts w:hint="eastAsia" w:ascii="仿宋" w:hAnsi="仿宋" w:eastAsia="仿宋" w:cs="仿宋"/>
          <w:bCs/>
          <w:color w:val="000000"/>
          <w:sz w:val="32"/>
          <w:szCs w:val="32"/>
        </w:rPr>
        <w:t>完成主管部门和各级上级组织交办的其他事项</w:t>
      </w:r>
    </w:p>
    <w:p w14:paraId="4ACA2A06">
      <w:pPr>
        <w:rPr>
          <w:rFonts w:hint="eastAsia"/>
          <w:lang w:eastAsia="zh-CN"/>
        </w:rPr>
      </w:pPr>
    </w:p>
    <w:p w14:paraId="018D9E90">
      <w:pPr>
        <w:pStyle w:val="6"/>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9"/>
          <w:rFonts w:ascii="Times New Roman" w:hAnsi="Times New Roman"/>
          <w:b w:val="0"/>
          <w:bCs w:val="0"/>
          <w:color w:val="auto"/>
          <w:highlight w:val="none"/>
        </w:rPr>
      </w:pPr>
      <w:bookmarkStart w:id="21" w:name="_Toc15396601"/>
      <w:bookmarkStart w:id="22"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21"/>
      <w:bookmarkEnd w:id="22"/>
    </w:p>
    <w:p w14:paraId="2185D4ED">
      <w:pPr>
        <w:snapToGrid w:val="0"/>
        <w:spacing w:line="520" w:lineRule="exact"/>
        <w:ind w:firstLine="640" w:firstLineChars="200"/>
        <w:rPr>
          <w:rFonts w:hint="eastAsia" w:ascii="仿宋" w:hAnsi="仿宋" w:eastAsia="仿宋" w:cs="仿宋"/>
          <w:b/>
          <w:bCs/>
          <w:sz w:val="32"/>
          <w:szCs w:val="32"/>
          <w:lang w:val="en-US" w:eastAsia="zh-CN"/>
        </w:rPr>
      </w:pPr>
      <w:bookmarkStart w:id="23" w:name="_Toc15306275"/>
      <w:bookmarkStart w:id="24" w:name="_Toc15378448"/>
      <w:bookmarkStart w:id="25" w:name="_Toc15377432"/>
      <w:bookmarkStart w:id="26" w:name="_Toc15377201"/>
      <w:r>
        <w:rPr>
          <w:rFonts w:hint="eastAsia" w:ascii="仿宋" w:hAnsi="仿宋" w:eastAsia="仿宋" w:cs="仿宋"/>
          <w:sz w:val="32"/>
          <w:szCs w:val="32"/>
        </w:rPr>
        <w:t>峨边彝族自治县</w:t>
      </w:r>
      <w:r>
        <w:rPr>
          <w:rFonts w:hint="eastAsia" w:ascii="仿宋" w:hAnsi="仿宋" w:eastAsia="仿宋" w:cs="仿宋"/>
          <w:sz w:val="32"/>
          <w:szCs w:val="32"/>
          <w:lang w:val="en-US" w:eastAsia="zh-CN"/>
        </w:rPr>
        <w:t>红旗镇中心小学属峨边彝族自治县教育局下属单位。核定内设机构为：校长办、教导处、学校安办、德育处、财务室、工会、团支部、少队8个部门。</w:t>
      </w:r>
    </w:p>
    <w:bookmarkEnd w:id="23"/>
    <w:bookmarkEnd w:id="24"/>
    <w:bookmarkEnd w:id="25"/>
    <w:bookmarkEnd w:id="26"/>
    <w:p w14:paraId="30D0E76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DE7D28B">
      <w:pPr>
        <w:pStyle w:val="5"/>
        <w:ind w:right="440"/>
        <w:jc w:val="center"/>
      </w:pP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18"/>
      <w:bookmarkEnd w:id="19"/>
      <w:bookmarkEnd w:id="20"/>
    </w:p>
    <w:p w14:paraId="41865554">
      <w:pPr>
        <w:pStyle w:val="27"/>
        <w:numPr>
          <w:ilvl w:val="0"/>
          <w:numId w:val="1"/>
        </w:numPr>
        <w:spacing w:line="600" w:lineRule="exact"/>
        <w:ind w:firstLineChars="0"/>
        <w:outlineLvl w:val="1"/>
        <w:rPr>
          <w:rStyle w:val="29"/>
          <w:rFonts w:ascii="黑体" w:hAnsi="黑体" w:eastAsia="黑体"/>
          <w:b w:val="0"/>
        </w:rPr>
      </w:pPr>
      <w:bookmarkStart w:id="27" w:name="_Toc11240"/>
      <w:bookmarkStart w:id="28" w:name="_Toc15377205"/>
      <w:bookmarkStart w:id="2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7"/>
      <w:bookmarkEnd w:id="28"/>
      <w:bookmarkEnd w:id="29"/>
    </w:p>
    <w:p w14:paraId="27C608AE">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val="0"/>
          <w:bCs/>
          <w:sz w:val="32"/>
          <w:szCs w:val="32"/>
        </w:rPr>
        <w:t>20</w:t>
      </w:r>
      <w:r>
        <w:rPr>
          <w:rFonts w:hint="eastAsia" w:ascii="仿宋" w:hAnsi="仿宋" w:eastAsia="仿宋" w:cs="仿宋"/>
          <w:b w:val="0"/>
          <w:bCs/>
          <w:sz w:val="32"/>
          <w:szCs w:val="32"/>
          <w:lang w:val="en-US" w:eastAsia="zh-CN"/>
        </w:rPr>
        <w:t>24</w:t>
      </w:r>
      <w:r>
        <w:rPr>
          <w:rFonts w:hint="eastAsia" w:ascii="仿宋" w:hAnsi="仿宋" w:eastAsia="仿宋" w:cs="仿宋"/>
          <w:b w:val="0"/>
          <w:bCs/>
          <w:sz w:val="32"/>
          <w:szCs w:val="32"/>
        </w:rPr>
        <w:t>年一般公共预算财政拨款收入</w:t>
      </w:r>
      <w:r>
        <w:rPr>
          <w:rFonts w:hint="eastAsia" w:ascii="仿宋_GB2312" w:hAnsi="仿宋_GB2312" w:eastAsia="仿宋_GB2312" w:cs="仿宋_GB2312"/>
          <w:sz w:val="32"/>
          <w:szCs w:val="32"/>
        </w:rPr>
        <w:t>1114.69</w:t>
      </w:r>
      <w:r>
        <w:rPr>
          <w:rFonts w:hint="eastAsia" w:ascii="仿宋" w:hAnsi="仿宋" w:eastAsia="仿宋" w:cs="仿宋"/>
          <w:b w:val="0"/>
          <w:bCs/>
          <w:sz w:val="32"/>
          <w:szCs w:val="32"/>
        </w:rPr>
        <w:t>万元，202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年一般公共预算财政拨款收入</w:t>
      </w:r>
      <w:r>
        <w:rPr>
          <w:rFonts w:hint="eastAsia" w:ascii="仿宋" w:hAnsi="仿宋" w:eastAsia="仿宋" w:cs="仿宋"/>
          <w:b w:val="0"/>
          <w:bCs/>
          <w:sz w:val="32"/>
          <w:szCs w:val="32"/>
          <w:lang w:val="en-US" w:eastAsia="zh-CN"/>
        </w:rPr>
        <w:t>1022.52</w:t>
      </w:r>
      <w:r>
        <w:rPr>
          <w:rFonts w:hint="eastAsia" w:ascii="仿宋" w:hAnsi="仿宋" w:eastAsia="仿宋" w:cs="仿宋"/>
          <w:b w:val="0"/>
          <w:bCs/>
          <w:sz w:val="32"/>
          <w:szCs w:val="32"/>
        </w:rPr>
        <w:t>万元，比上年</w:t>
      </w:r>
      <w:r>
        <w:rPr>
          <w:rFonts w:hint="eastAsia" w:ascii="仿宋" w:hAnsi="仿宋" w:eastAsia="仿宋" w:cs="仿宋"/>
          <w:b w:val="0"/>
          <w:bCs/>
          <w:sz w:val="32"/>
          <w:szCs w:val="32"/>
          <w:lang w:val="en-US" w:eastAsia="zh-CN"/>
        </w:rPr>
        <w:t>增加92.17.</w:t>
      </w:r>
      <w:r>
        <w:rPr>
          <w:rFonts w:hint="eastAsia" w:ascii="仿宋" w:hAnsi="仿宋" w:eastAsia="仿宋" w:cs="仿宋"/>
          <w:b w:val="0"/>
          <w:bCs/>
          <w:sz w:val="32"/>
          <w:szCs w:val="32"/>
        </w:rPr>
        <w:t>万元，</w:t>
      </w:r>
      <w:r>
        <w:rPr>
          <w:rFonts w:hint="eastAsia" w:ascii="仿宋" w:hAnsi="仿宋" w:eastAsia="仿宋" w:cs="仿宋"/>
          <w:b w:val="0"/>
          <w:bCs/>
          <w:sz w:val="32"/>
          <w:szCs w:val="32"/>
          <w:lang w:val="en-US" w:eastAsia="zh-CN"/>
        </w:rPr>
        <w:t>增加8</w:t>
      </w:r>
      <w:r>
        <w:rPr>
          <w:rFonts w:hint="eastAsia" w:ascii="仿宋" w:hAnsi="仿宋" w:eastAsia="仿宋" w:cs="仿宋"/>
          <w:b w:val="0"/>
          <w:bCs/>
          <w:sz w:val="32"/>
          <w:szCs w:val="32"/>
        </w:rPr>
        <w:t>%。</w:t>
      </w:r>
      <w:r>
        <w:rPr>
          <w:rFonts w:hint="eastAsia" w:ascii="仿宋" w:hAnsi="仿宋" w:eastAsia="仿宋" w:cs="仿宋"/>
          <w:color w:val="000000" w:themeColor="text1"/>
          <w:sz w:val="32"/>
          <w:szCs w:val="32"/>
          <w14:textFill>
            <w14:solidFill>
              <w14:schemeClr w14:val="tx1"/>
            </w14:solidFill>
          </w14:textFill>
        </w:rPr>
        <w:t>主要原因</w:t>
      </w:r>
      <w:r>
        <w:rPr>
          <w:rFonts w:hint="eastAsia" w:ascii="仿宋" w:hAnsi="仿宋" w:eastAsia="仿宋" w:cs="仿宋"/>
          <w:color w:val="000000" w:themeColor="text1"/>
          <w:sz w:val="32"/>
          <w:szCs w:val="32"/>
          <w:lang w:val="en-US" w:eastAsia="zh-CN"/>
          <w14:textFill>
            <w14:solidFill>
              <w14:schemeClr w14:val="tx1"/>
            </w14:solidFill>
          </w14:textFill>
        </w:rPr>
        <w:t>是</w:t>
      </w:r>
      <w:r>
        <w:rPr>
          <w:rFonts w:hint="eastAsia" w:ascii="仿宋" w:hAnsi="仿宋" w:eastAsia="仿宋" w:cs="仿宋"/>
          <w:color w:val="auto"/>
          <w:kern w:val="2"/>
          <w:sz w:val="32"/>
          <w:szCs w:val="32"/>
          <w:highlight w:val="none"/>
          <w:lang w:val="en-US" w:eastAsia="zh-CN" w:bidi="ar-SA"/>
        </w:rPr>
        <w:t>学校人员增加，学校进行校舍维修。</w:t>
      </w:r>
    </w:p>
    <w:p w14:paraId="5DA86A94">
      <w:pPr>
        <w:snapToGrid w:val="0"/>
        <w:spacing w:line="360" w:lineRule="auto"/>
        <w:ind w:firstLine="643" w:firstLineChars="200"/>
        <w:rPr>
          <w:rFonts w:hint="eastAsia" w:ascii="仿宋" w:hAnsi="仿宋" w:eastAsia="仿宋" w:cs="仿宋"/>
          <w:b/>
          <w:sz w:val="32"/>
          <w:szCs w:val="32"/>
        </w:rPr>
      </w:pPr>
    </w:p>
    <w:p w14:paraId="7F911106">
      <w:pPr>
        <w:snapToGrid w:val="0"/>
        <w:spacing w:line="520" w:lineRule="exact"/>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drawing>
          <wp:anchor distT="0" distB="0" distL="114300" distR="114300" simplePos="0" relativeHeight="251661312" behindDoc="0" locked="0" layoutInCell="1" allowOverlap="1">
            <wp:simplePos x="0" y="0"/>
            <wp:positionH relativeFrom="column">
              <wp:posOffset>433705</wp:posOffset>
            </wp:positionH>
            <wp:positionV relativeFrom="paragraph">
              <wp:posOffset>187960</wp:posOffset>
            </wp:positionV>
            <wp:extent cx="4502150" cy="2323465"/>
            <wp:effectExtent l="5080" t="5080" r="19050" b="1841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97CFB46">
      <w:pPr>
        <w:snapToGrid w:val="0"/>
        <w:spacing w:line="520" w:lineRule="exact"/>
        <w:ind w:firstLine="643" w:firstLineChars="200"/>
        <w:jc w:val="center"/>
        <w:rPr>
          <w:rFonts w:hint="eastAsia" w:ascii="仿宋" w:hAnsi="仿宋" w:eastAsia="仿宋" w:cs="仿宋"/>
          <w:b/>
          <w:sz w:val="32"/>
          <w:szCs w:val="32"/>
        </w:rPr>
      </w:pPr>
    </w:p>
    <w:p w14:paraId="3366988F">
      <w:pPr>
        <w:snapToGrid w:val="0"/>
        <w:spacing w:line="520" w:lineRule="exact"/>
        <w:ind w:firstLine="643" w:firstLineChars="200"/>
        <w:jc w:val="center"/>
        <w:rPr>
          <w:rFonts w:hint="eastAsia" w:ascii="仿宋" w:hAnsi="仿宋" w:eastAsia="仿宋" w:cs="仿宋"/>
          <w:b/>
          <w:sz w:val="32"/>
          <w:szCs w:val="32"/>
        </w:rPr>
      </w:pPr>
    </w:p>
    <w:p w14:paraId="6A261DCC">
      <w:pPr>
        <w:snapToGrid w:val="0"/>
        <w:spacing w:line="520" w:lineRule="exact"/>
        <w:ind w:firstLine="643" w:firstLineChars="200"/>
        <w:jc w:val="center"/>
        <w:rPr>
          <w:rFonts w:hint="eastAsia" w:ascii="仿宋" w:hAnsi="仿宋" w:eastAsia="仿宋" w:cs="仿宋"/>
          <w:b/>
          <w:sz w:val="32"/>
          <w:szCs w:val="32"/>
        </w:rPr>
      </w:pPr>
    </w:p>
    <w:p w14:paraId="26AE6BB2">
      <w:pPr>
        <w:snapToGrid w:val="0"/>
        <w:spacing w:line="520" w:lineRule="exact"/>
        <w:ind w:firstLine="643" w:firstLineChars="200"/>
        <w:rPr>
          <w:rFonts w:hint="eastAsia" w:ascii="仿宋" w:hAnsi="仿宋" w:eastAsia="仿宋" w:cs="仿宋"/>
          <w:b/>
          <w:sz w:val="32"/>
          <w:szCs w:val="32"/>
        </w:rPr>
      </w:pPr>
    </w:p>
    <w:p w14:paraId="0249B38F">
      <w:pPr>
        <w:pStyle w:val="8"/>
        <w:rPr>
          <w:rFonts w:hint="eastAsia" w:ascii="仿宋" w:hAnsi="仿宋" w:eastAsia="仿宋" w:cs="仿宋"/>
          <w:b w:val="0"/>
          <w:bCs/>
          <w:sz w:val="32"/>
          <w:szCs w:val="32"/>
        </w:rPr>
      </w:pPr>
    </w:p>
    <w:p w14:paraId="558A758E">
      <w:pPr>
        <w:spacing w:line="600" w:lineRule="exact"/>
        <w:ind w:firstLine="640" w:firstLineChars="200"/>
        <w:jc w:val="left"/>
        <w:rPr>
          <w:rFonts w:hint="eastAsia" w:ascii="黑体" w:hAnsi="黑体" w:eastAsia="黑体"/>
          <w:sz w:val="32"/>
          <w:szCs w:val="32"/>
          <w:lang w:val="en-US" w:eastAsia="zh-CN"/>
        </w:rPr>
      </w:pPr>
    </w:p>
    <w:p w14:paraId="04425F6B">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sz w:val="32"/>
          <w:szCs w:val="32"/>
          <w:lang w:val="en-US" w:eastAsia="zh-CN"/>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208965F0">
      <w:pPr>
        <w:spacing w:line="600" w:lineRule="exact"/>
        <w:ind w:firstLine="643" w:firstLineChars="200"/>
        <w:jc w:val="left"/>
        <w:rPr>
          <w:rStyle w:val="29"/>
          <w:rFonts w:ascii="黑体" w:hAnsi="黑体" w:eastAsia="黑体"/>
          <w:b w:val="0"/>
        </w:rPr>
      </w:pPr>
      <w:r>
        <w:rPr>
          <w:rFonts w:hint="eastAsia" w:ascii="仿宋" w:hAnsi="仿宋" w:eastAsia="仿宋" w:cs="仿宋"/>
          <w:b/>
          <w:sz w:val="32"/>
          <w:szCs w:val="32"/>
        </w:rPr>
        <w:drawing>
          <wp:anchor distT="0" distB="0" distL="114300" distR="114300" simplePos="0" relativeHeight="251660288" behindDoc="0" locked="0" layoutInCell="1" allowOverlap="1">
            <wp:simplePos x="0" y="0"/>
            <wp:positionH relativeFrom="column">
              <wp:posOffset>-6075045</wp:posOffset>
            </wp:positionH>
            <wp:positionV relativeFrom="paragraph">
              <wp:posOffset>-914400</wp:posOffset>
            </wp:positionV>
            <wp:extent cx="4662170" cy="2955290"/>
            <wp:effectExtent l="4445" t="4445" r="19685" b="1206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30" w:name="_Toc15396604"/>
      <w:bookmarkStart w:id="31" w:name="_Toc15377206"/>
      <w:r>
        <w:rPr>
          <w:rFonts w:hint="eastAsia" w:ascii="黑体" w:hAnsi="黑体" w:eastAsia="黑体"/>
          <w:sz w:val="32"/>
          <w:szCs w:val="32"/>
          <w:lang w:val="en-US" w:eastAsia="zh-CN"/>
        </w:rPr>
        <w:t>二、</w:t>
      </w:r>
      <w:r>
        <w:rPr>
          <w:rFonts w:hint="eastAsia" w:ascii="黑体" w:hAnsi="黑体" w:eastAsia="黑体"/>
          <w:sz w:val="32"/>
          <w:szCs w:val="32"/>
        </w:rPr>
        <w:t>收</w:t>
      </w:r>
      <w:r>
        <w:rPr>
          <w:rStyle w:val="29"/>
          <w:rFonts w:hint="eastAsia" w:ascii="黑体" w:hAnsi="黑体" w:eastAsia="黑体"/>
          <w:b w:val="0"/>
        </w:rPr>
        <w:t>入决算情况说明</w:t>
      </w:r>
      <w:bookmarkEnd w:id="30"/>
      <w:bookmarkEnd w:id="31"/>
    </w:p>
    <w:p w14:paraId="43389C0C">
      <w:pPr>
        <w:spacing w:line="600" w:lineRule="exact"/>
        <w:ind w:firstLine="640" w:firstLineChars="200"/>
        <w:outlineLvl w:val="1"/>
        <w:rPr>
          <w:rFonts w:hint="eastAsia" w:ascii="仿宋" w:hAnsi="仿宋" w:eastAsia="仿宋" w:cs="仿宋"/>
          <w:b/>
          <w:sz w:val="32"/>
          <w:szCs w:val="32"/>
        </w:rPr>
      </w:pPr>
      <w:bookmarkStart w:id="32" w:name="_Toc6273"/>
      <w:bookmarkStart w:id="33" w:name="_Toc15311"/>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年本年收入合计1075.26</w:t>
      </w:r>
      <w:r>
        <w:rPr>
          <w:rFonts w:hint="eastAsia" w:ascii="仿宋" w:hAnsi="仿宋" w:eastAsia="仿宋" w:cs="仿宋"/>
          <w:sz w:val="32"/>
          <w:szCs w:val="32"/>
          <w:lang w:val="en-US" w:eastAsia="zh-CN"/>
        </w:rPr>
        <w:t>万</w:t>
      </w:r>
      <w:r>
        <w:rPr>
          <w:rFonts w:hint="eastAsia" w:ascii="仿宋" w:hAnsi="仿宋" w:eastAsia="仿宋" w:cs="仿宋"/>
          <w:sz w:val="32"/>
          <w:szCs w:val="32"/>
        </w:rPr>
        <w:t>元，其中：一般公共预算财政拨款收入1038.14</w:t>
      </w:r>
      <w:r>
        <w:rPr>
          <w:rFonts w:hint="eastAsia" w:ascii="仿宋" w:hAnsi="仿宋" w:eastAsia="仿宋" w:cs="仿宋"/>
          <w:sz w:val="32"/>
          <w:szCs w:val="32"/>
          <w:lang w:val="en-US" w:eastAsia="zh-CN"/>
        </w:rPr>
        <w:t>万</w:t>
      </w:r>
      <w:r>
        <w:rPr>
          <w:rFonts w:hint="eastAsia" w:ascii="仿宋" w:hAnsi="仿宋" w:eastAsia="仿宋" w:cs="仿宋"/>
          <w:sz w:val="32"/>
          <w:szCs w:val="32"/>
        </w:rPr>
        <w:t>元，占96.54%</w:t>
      </w:r>
      <w:r>
        <w:rPr>
          <w:rFonts w:hint="eastAsia" w:ascii="仿宋" w:hAnsi="仿宋" w:eastAsia="仿宋" w:cs="仿宋"/>
          <w:sz w:val="32"/>
          <w:szCs w:val="32"/>
          <w:lang w:eastAsia="zh-CN"/>
        </w:rPr>
        <w:t>，</w:t>
      </w:r>
      <w:r>
        <w:rPr>
          <w:rFonts w:hint="eastAsia" w:ascii="仿宋" w:hAnsi="仿宋" w:eastAsia="仿宋" w:cs="仿宋"/>
          <w:color w:val="auto"/>
          <w:sz w:val="32"/>
          <w:szCs w:val="32"/>
          <w:highlight w:val="none"/>
          <w:lang w:eastAsia="zh-CN"/>
        </w:rPr>
        <w:t>其他收入</w:t>
      </w:r>
      <w:r>
        <w:rPr>
          <w:rFonts w:hint="eastAsia" w:ascii="仿宋" w:hAnsi="仿宋" w:eastAsia="仿宋" w:cs="仿宋"/>
          <w:sz w:val="32"/>
          <w:szCs w:val="32"/>
        </w:rPr>
        <w:t>37.12</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3.45</w:t>
      </w:r>
      <w:r>
        <w:rPr>
          <w:rFonts w:hint="eastAsia" w:ascii="仿宋" w:hAnsi="仿宋" w:eastAsia="仿宋" w:cs="仿宋"/>
          <w:color w:val="auto"/>
          <w:sz w:val="32"/>
          <w:szCs w:val="32"/>
          <w:highlight w:val="none"/>
          <w:lang w:eastAsia="zh-CN"/>
        </w:rPr>
        <w:t>%。</w:t>
      </w:r>
      <w:bookmarkEnd w:id="32"/>
      <w:bookmarkEnd w:id="33"/>
    </w:p>
    <w:p w14:paraId="1D9D5AAF">
      <w:pPr>
        <w:spacing w:line="600" w:lineRule="exact"/>
        <w:ind w:firstLine="640" w:firstLineChars="200"/>
        <w:rPr>
          <w:rFonts w:ascii="仿宋" w:hAnsi="仿宋" w:eastAsia="仿宋"/>
          <w:sz w:val="32"/>
          <w:szCs w:val="32"/>
        </w:rPr>
      </w:pPr>
    </w:p>
    <w:p w14:paraId="61315101">
      <w:pPr>
        <w:pStyle w:val="8"/>
        <w:spacing w:before="93"/>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drawing>
          <wp:inline distT="0" distB="0" distL="114300" distR="114300">
            <wp:extent cx="5219700" cy="2207260"/>
            <wp:effectExtent l="4445" t="4445" r="18415"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8850EE">
      <w:pPr>
        <w:ind w:firstLine="800" w:firstLineChars="250"/>
        <w:jc w:val="center"/>
        <w:rPr>
          <w:rFonts w:hint="eastAsia" w:ascii="仿宋" w:hAnsi="仿宋" w:eastAsia="仿宋" w:cs="仿宋"/>
          <w:color w:val="000000"/>
          <w:sz w:val="32"/>
          <w:szCs w:val="32"/>
          <w:lang w:eastAsia="zh-CN"/>
        </w:rPr>
      </w:pPr>
      <w:r>
        <w:rPr>
          <w:rFonts w:hint="eastAsia" w:ascii="Times New Roman" w:hAnsi="Times New Roman" w:eastAsia="仿宋_GB2312" w:cs="仿宋_GB2312"/>
          <w:color w:val="auto"/>
          <w:sz w:val="32"/>
          <w:szCs w:val="32"/>
          <w:highlight w:val="none"/>
          <w:lang w:eastAsia="zh-CN"/>
        </w:rPr>
        <w:t>（图2：收入决算结构图）</w:t>
      </w:r>
    </w:p>
    <w:p w14:paraId="351AEDA1">
      <w:pPr>
        <w:pStyle w:val="27"/>
        <w:numPr>
          <w:ilvl w:val="0"/>
          <w:numId w:val="0"/>
        </w:numPr>
        <w:spacing w:line="600" w:lineRule="exact"/>
        <w:ind w:firstLine="640" w:firstLineChars="200"/>
        <w:outlineLvl w:val="1"/>
        <w:rPr>
          <w:rStyle w:val="29"/>
          <w:rFonts w:ascii="黑体" w:hAnsi="黑体" w:eastAsia="黑体"/>
          <w:b w:val="0"/>
        </w:rPr>
      </w:pPr>
      <w:bookmarkStart w:id="34" w:name="_Toc15377207"/>
      <w:bookmarkStart w:id="35" w:name="_Toc15396605"/>
      <w:bookmarkStart w:id="36" w:name="_Toc24042"/>
      <w:r>
        <w:rPr>
          <w:rFonts w:hint="eastAsia" w:ascii="黑体" w:hAnsi="黑体" w:eastAsia="黑体"/>
          <w:sz w:val="32"/>
          <w:szCs w:val="32"/>
          <w:lang w:val="en-US" w:eastAsia="zh-CN"/>
        </w:rPr>
        <w:t>三、</w:t>
      </w:r>
      <w:r>
        <w:rPr>
          <w:rFonts w:hint="eastAsia" w:ascii="黑体" w:hAnsi="黑体" w:eastAsia="黑体"/>
          <w:sz w:val="32"/>
          <w:szCs w:val="32"/>
        </w:rPr>
        <w:t>支</w:t>
      </w:r>
      <w:r>
        <w:rPr>
          <w:rStyle w:val="29"/>
          <w:rFonts w:hint="eastAsia" w:ascii="黑体" w:hAnsi="黑体" w:eastAsia="黑体"/>
          <w:b w:val="0"/>
        </w:rPr>
        <w:t>出决算情况说明</w:t>
      </w:r>
      <w:bookmarkEnd w:id="34"/>
      <w:bookmarkEnd w:id="35"/>
      <w:bookmarkEnd w:id="36"/>
    </w:p>
    <w:p w14:paraId="3813FD6D">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2024年度本年支出合计</w:t>
      </w:r>
      <w:r>
        <w:rPr>
          <w:rFonts w:hint="eastAsia" w:ascii="仿宋" w:hAnsi="仿宋" w:eastAsia="仿宋" w:cs="仿宋"/>
          <w:sz w:val="32"/>
          <w:szCs w:val="32"/>
        </w:rPr>
        <w:t>1084.14</w:t>
      </w:r>
      <w:r>
        <w:rPr>
          <w:rFonts w:hint="eastAsia" w:ascii="仿宋" w:hAnsi="仿宋" w:eastAsia="仿宋" w:cs="仿宋"/>
          <w:color w:val="auto"/>
          <w:sz w:val="32"/>
          <w:szCs w:val="32"/>
          <w:highlight w:val="none"/>
          <w:lang w:eastAsia="zh-CN"/>
        </w:rPr>
        <w:t>万元，其中：基本支出</w:t>
      </w:r>
      <w:r>
        <w:rPr>
          <w:rFonts w:hint="eastAsia" w:ascii="仿宋" w:hAnsi="仿宋" w:eastAsia="仿宋" w:cs="仿宋"/>
          <w:sz w:val="32"/>
          <w:szCs w:val="32"/>
        </w:rPr>
        <w:t>836.46</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77.15</w:t>
      </w:r>
      <w:r>
        <w:rPr>
          <w:rFonts w:hint="eastAsia" w:ascii="仿宋" w:hAnsi="仿宋" w:eastAsia="仿宋" w:cs="仿宋"/>
          <w:color w:val="auto"/>
          <w:sz w:val="32"/>
          <w:szCs w:val="32"/>
          <w:highlight w:val="none"/>
          <w:lang w:eastAsia="zh-CN"/>
        </w:rPr>
        <w:t>%；项目支出</w:t>
      </w:r>
      <w:r>
        <w:rPr>
          <w:rFonts w:hint="eastAsia" w:ascii="仿宋" w:hAnsi="仿宋" w:eastAsia="仿宋" w:cs="仿宋"/>
          <w:sz w:val="32"/>
          <w:szCs w:val="32"/>
        </w:rPr>
        <w:t>247.69</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22.8</w:t>
      </w:r>
      <w:r>
        <w:rPr>
          <w:rFonts w:hint="eastAsia" w:ascii="仿宋" w:hAnsi="仿宋" w:eastAsia="仿宋" w:cs="仿宋"/>
          <w:sz w:val="32"/>
          <w:szCs w:val="32"/>
          <w:lang w:val="en-US" w:eastAsia="zh-CN"/>
        </w:rPr>
        <w:t>5</w:t>
      </w:r>
      <w:r>
        <w:rPr>
          <w:rFonts w:hint="eastAsia" w:ascii="仿宋" w:hAnsi="仿宋" w:eastAsia="仿宋" w:cs="仿宋"/>
          <w:color w:val="auto"/>
          <w:sz w:val="32"/>
          <w:szCs w:val="32"/>
          <w:highlight w:val="none"/>
          <w:lang w:eastAsia="zh-CN"/>
        </w:rPr>
        <w:t>%。</w:t>
      </w:r>
    </w:p>
    <w:p w14:paraId="33F75E5A">
      <w:pPr>
        <w:spacing w:line="600" w:lineRule="exact"/>
        <w:ind w:firstLine="640"/>
        <w:rPr>
          <w:rFonts w:hint="eastAsia" w:ascii="仿宋_GB2312" w:hAnsi="仿宋_GB2312" w:eastAsia="仿宋_GB2312" w:cs="仿宋_GB2312"/>
          <w:color w:val="auto"/>
          <w:sz w:val="32"/>
          <w:szCs w:val="32"/>
          <w:highlight w:val="none"/>
          <w:lang w:eastAsia="zh-CN"/>
        </w:rPr>
      </w:pPr>
    </w:p>
    <w:p w14:paraId="5ECA1390">
      <w:pPr>
        <w:pStyle w:val="8"/>
        <w:spacing w:before="93"/>
        <w:rPr>
          <w:sz w:val="32"/>
          <w:szCs w:val="32"/>
        </w:rPr>
      </w:pPr>
      <w:r>
        <w:rPr>
          <w:rFonts w:hint="eastAsia" w:ascii="仿宋" w:hAnsi="仿宋" w:eastAsia="仿宋" w:cs="仿宋"/>
          <w:sz w:val="32"/>
          <w:szCs w:val="32"/>
        </w:rPr>
        <w:drawing>
          <wp:inline distT="0" distB="0" distL="114300" distR="114300">
            <wp:extent cx="5135880" cy="2409190"/>
            <wp:effectExtent l="4445" t="4445" r="10795"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E771D3">
      <w:pPr>
        <w:spacing w:line="600" w:lineRule="exact"/>
        <w:ind w:firstLine="640" w:firstLineChars="200"/>
        <w:outlineLvl w:val="1"/>
        <w:rPr>
          <w:rStyle w:val="29"/>
          <w:rFonts w:ascii="黑体" w:hAnsi="黑体" w:eastAsia="黑体"/>
          <w:b w:val="0"/>
        </w:rPr>
      </w:pPr>
      <w:bookmarkStart w:id="37" w:name="_Toc8706"/>
      <w:bookmarkStart w:id="38" w:name="_Toc15377208"/>
      <w:bookmarkStart w:id="3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7"/>
      <w:bookmarkEnd w:id="38"/>
      <w:bookmarkEnd w:id="39"/>
    </w:p>
    <w:p w14:paraId="2880D94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2024年度财政拨款收入、支出总计均为</w:t>
      </w:r>
      <w:r>
        <w:rPr>
          <w:rFonts w:hint="eastAsia" w:ascii="仿宋" w:hAnsi="仿宋" w:eastAsia="仿宋" w:cs="仿宋"/>
          <w:sz w:val="32"/>
          <w:szCs w:val="32"/>
        </w:rPr>
        <w:t>1077.56</w:t>
      </w:r>
      <w:r>
        <w:rPr>
          <w:rFonts w:hint="eastAsia" w:ascii="仿宋" w:hAnsi="仿宋" w:eastAsia="仿宋" w:cs="仿宋"/>
          <w:color w:val="auto"/>
          <w:kern w:val="2"/>
          <w:sz w:val="32"/>
          <w:szCs w:val="32"/>
          <w:highlight w:val="none"/>
          <w:lang w:val="en-US" w:eastAsia="zh-CN" w:bidi="ar-SA"/>
        </w:rPr>
        <w:t>万元。与2023年度的772.71万元相比，财政拨款收入总计、支出总计各增加304.85万元，增长25.9%。主要变动原因是学校人员增加，学校进行校舍维修。</w:t>
      </w:r>
    </w:p>
    <w:p w14:paraId="5480E9ED">
      <w:pPr>
        <w:pStyle w:val="8"/>
        <w:rPr>
          <w:rFonts w:hint="eastAsia" w:ascii="仿宋" w:hAnsi="仿宋" w:eastAsia="仿宋" w:cs="Times New Roman"/>
          <w:sz w:val="32"/>
          <w:szCs w:val="32"/>
        </w:rPr>
      </w:pPr>
      <w:r>
        <w:rPr>
          <w:rFonts w:hint="eastAsia" w:ascii="仿宋" w:hAnsi="仿宋" w:eastAsia="仿宋" w:cs="仿宋"/>
          <w:b/>
          <w:sz w:val="32"/>
          <w:szCs w:val="32"/>
        </w:rPr>
        <w:drawing>
          <wp:anchor distT="0" distB="0" distL="114300" distR="114300" simplePos="0" relativeHeight="251662336" behindDoc="0" locked="0" layoutInCell="1" allowOverlap="1">
            <wp:simplePos x="0" y="0"/>
            <wp:positionH relativeFrom="column">
              <wp:posOffset>357505</wp:posOffset>
            </wp:positionH>
            <wp:positionV relativeFrom="paragraph">
              <wp:posOffset>125095</wp:posOffset>
            </wp:positionV>
            <wp:extent cx="4815205" cy="1828165"/>
            <wp:effectExtent l="4445" t="4445" r="11430" b="1143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2529192">
      <w:pPr>
        <w:pStyle w:val="8"/>
        <w:rPr>
          <w:rFonts w:hint="eastAsia" w:ascii="仿宋" w:hAnsi="仿宋" w:eastAsia="仿宋" w:cs="Times New Roman"/>
          <w:sz w:val="32"/>
          <w:szCs w:val="32"/>
        </w:rPr>
      </w:pPr>
    </w:p>
    <w:p w14:paraId="06940EFE">
      <w:pPr>
        <w:pStyle w:val="8"/>
        <w:rPr>
          <w:rFonts w:hint="eastAsia" w:ascii="仿宋" w:hAnsi="仿宋" w:eastAsia="仿宋" w:cs="Times New Roman"/>
          <w:sz w:val="32"/>
          <w:szCs w:val="32"/>
        </w:rPr>
      </w:pPr>
    </w:p>
    <w:p w14:paraId="5B61CFE8">
      <w:pPr>
        <w:pStyle w:val="8"/>
        <w:rPr>
          <w:rFonts w:hint="eastAsia" w:ascii="仿宋" w:hAnsi="仿宋" w:eastAsia="仿宋" w:cs="Times New Roman"/>
          <w:sz w:val="32"/>
          <w:szCs w:val="32"/>
        </w:rPr>
      </w:pPr>
    </w:p>
    <w:p w14:paraId="1586A970">
      <w:pPr>
        <w:spacing w:line="600" w:lineRule="exact"/>
        <w:rPr>
          <w:rFonts w:hint="eastAsia" w:ascii="黑体" w:hAnsi="黑体" w:eastAsia="黑体"/>
          <w:sz w:val="32"/>
          <w:szCs w:val="32"/>
        </w:rPr>
      </w:pPr>
      <w:bookmarkStart w:id="40" w:name="_Toc15377209"/>
      <w:bookmarkStart w:id="41" w:name="_Toc15396607"/>
    </w:p>
    <w:bookmarkEnd w:id="40"/>
    <w:bookmarkEnd w:id="41"/>
    <w:p w14:paraId="422CD7FE">
      <w:pPr>
        <w:spacing w:line="600" w:lineRule="exact"/>
        <w:ind w:firstLine="640" w:firstLineChars="200"/>
        <w:outlineLvl w:val="1"/>
        <w:rPr>
          <w:rFonts w:hint="eastAsia" w:ascii="Times New Roman" w:hAnsi="Times New Roman" w:eastAsia="黑体"/>
          <w:color w:val="auto"/>
          <w:sz w:val="32"/>
          <w:szCs w:val="32"/>
          <w:highlight w:val="none"/>
        </w:rPr>
      </w:pPr>
      <w:bookmarkStart w:id="42" w:name="_Toc14067"/>
      <w:bookmarkStart w:id="43" w:name="_Toc15377210"/>
      <w:r>
        <w:rPr>
          <w:rFonts w:hint="eastAsia" w:ascii="Times New Roman" w:hAnsi="Times New Roman" w:eastAsia="黑体"/>
          <w:color w:val="auto"/>
          <w:sz w:val="32"/>
          <w:szCs w:val="32"/>
          <w:highlight w:val="none"/>
        </w:rPr>
        <w:t>五、一般公共预算财政拨款支出决算情况说明</w:t>
      </w:r>
      <w:bookmarkEnd w:id="42"/>
    </w:p>
    <w:p w14:paraId="3269A632">
      <w:pPr>
        <w:spacing w:line="600" w:lineRule="exact"/>
        <w:ind w:firstLine="640" w:firstLineChars="200"/>
        <w:outlineLvl w:val="2"/>
        <w:rPr>
          <w:rFonts w:hint="eastAsia" w:ascii="楷体" w:hAnsi="楷体" w:eastAsia="楷体" w:cs="楷体"/>
          <w:b w:val="0"/>
          <w:bCs/>
          <w:color w:val="00B0F0"/>
          <w:sz w:val="32"/>
          <w:szCs w:val="32"/>
        </w:rPr>
      </w:pPr>
      <w:r>
        <w:rPr>
          <w:rFonts w:hint="eastAsia" w:ascii="楷体" w:hAnsi="楷体" w:eastAsia="楷体" w:cs="楷体"/>
          <w:b w:val="0"/>
          <w:bCs/>
          <w:sz w:val="32"/>
          <w:szCs w:val="32"/>
        </w:rPr>
        <w:t>（一）一般公共预算财政拨款支出决算总体情况</w:t>
      </w:r>
      <w:bookmarkEnd w:id="43"/>
    </w:p>
    <w:p w14:paraId="0C5C6FB0">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1047.02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96.57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%。与2023年度相比，一般公共预算财政拨款支出增加24.5万元，增长23%。主要变动原因是</w:t>
      </w:r>
      <w:r>
        <w:rPr>
          <w:rFonts w:hint="eastAsia" w:ascii="仿宋" w:hAnsi="仿宋" w:eastAsia="仿宋" w:cs="仿宋"/>
          <w:color w:val="auto"/>
          <w:kern w:val="2"/>
          <w:sz w:val="32"/>
          <w:szCs w:val="32"/>
          <w:highlight w:val="none"/>
          <w:lang w:val="en-US" w:eastAsia="zh-CN" w:bidi="ar-SA"/>
        </w:rPr>
        <w:t>学校人员增加，学校进行校舍维修。</w:t>
      </w:r>
    </w:p>
    <w:p w14:paraId="57AB28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108B85E9">
      <w:pPr>
        <w:spacing w:line="600" w:lineRule="exact"/>
        <w:ind w:firstLine="643" w:firstLineChars="200"/>
        <w:rPr>
          <w:rFonts w:ascii="仿宋" w:hAnsi="仿宋" w:eastAsia="仿宋"/>
          <w:sz w:val="32"/>
          <w:szCs w:val="32"/>
        </w:rPr>
      </w:pPr>
      <w:r>
        <w:rPr>
          <w:rFonts w:hint="eastAsia" w:ascii="仿宋" w:hAnsi="仿宋" w:eastAsia="仿宋" w:cs="仿宋"/>
          <w:b/>
          <w:sz w:val="32"/>
          <w:szCs w:val="32"/>
        </w:rPr>
        <w:drawing>
          <wp:anchor distT="0" distB="0" distL="114300" distR="114300" simplePos="0" relativeHeight="251663360" behindDoc="0" locked="0" layoutInCell="1" allowOverlap="1">
            <wp:simplePos x="0" y="0"/>
            <wp:positionH relativeFrom="column">
              <wp:posOffset>327025</wp:posOffset>
            </wp:positionH>
            <wp:positionV relativeFrom="paragraph">
              <wp:posOffset>100330</wp:posOffset>
            </wp:positionV>
            <wp:extent cx="4851400" cy="2288540"/>
            <wp:effectExtent l="5080" t="4445" r="5080" b="825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6FAC414">
      <w:pPr>
        <w:spacing w:line="600" w:lineRule="exact"/>
        <w:ind w:firstLine="640" w:firstLineChars="200"/>
        <w:rPr>
          <w:rFonts w:ascii="仿宋" w:hAnsi="仿宋" w:eastAsia="仿宋"/>
          <w:sz w:val="32"/>
          <w:szCs w:val="32"/>
        </w:rPr>
      </w:pPr>
    </w:p>
    <w:p w14:paraId="14460D1E">
      <w:pPr>
        <w:spacing w:line="600" w:lineRule="exact"/>
        <w:ind w:firstLine="640" w:firstLineChars="200"/>
        <w:rPr>
          <w:rFonts w:ascii="仿宋" w:hAnsi="仿宋" w:eastAsia="仿宋"/>
          <w:sz w:val="32"/>
          <w:szCs w:val="32"/>
        </w:rPr>
      </w:pPr>
    </w:p>
    <w:p w14:paraId="4CA1E902">
      <w:pPr>
        <w:spacing w:line="600" w:lineRule="exact"/>
        <w:ind w:firstLine="640" w:firstLineChars="200"/>
        <w:rPr>
          <w:rFonts w:ascii="仿宋" w:hAnsi="仿宋" w:eastAsia="仿宋"/>
          <w:sz w:val="32"/>
          <w:szCs w:val="32"/>
        </w:rPr>
      </w:pPr>
    </w:p>
    <w:p w14:paraId="771C838B">
      <w:pPr>
        <w:spacing w:line="600" w:lineRule="exact"/>
        <w:ind w:firstLine="640" w:firstLineChars="200"/>
        <w:rPr>
          <w:rFonts w:ascii="仿宋" w:hAnsi="仿宋" w:eastAsia="仿宋"/>
          <w:sz w:val="32"/>
          <w:szCs w:val="32"/>
        </w:rPr>
      </w:pPr>
    </w:p>
    <w:p w14:paraId="578D61FE">
      <w:pPr>
        <w:spacing w:line="600" w:lineRule="exact"/>
        <w:ind w:firstLine="643" w:firstLineChars="200"/>
        <w:outlineLvl w:val="9"/>
        <w:rPr>
          <w:rFonts w:hint="eastAsia" w:ascii="仿宋" w:hAnsi="仿宋" w:eastAsia="仿宋"/>
          <w:b/>
          <w:sz w:val="32"/>
          <w:szCs w:val="32"/>
        </w:rPr>
      </w:pPr>
      <w:bookmarkStart w:id="44" w:name="_Toc15377211"/>
    </w:p>
    <w:p w14:paraId="38D6D8EC">
      <w:pPr>
        <w:spacing w:line="600" w:lineRule="exact"/>
        <w:ind w:firstLine="640" w:firstLineChars="200"/>
        <w:outlineLvl w:val="2"/>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bookmarkEnd w:id="44"/>
    </w:p>
    <w:p w14:paraId="5325B9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2024年度一般公共预算财政拨款支出</w:t>
      </w:r>
      <w:r>
        <w:rPr>
          <w:rFonts w:hint="eastAsia" w:ascii="仿宋" w:hAnsi="仿宋" w:eastAsia="仿宋" w:cs="仿宋"/>
          <w:sz w:val="32"/>
          <w:szCs w:val="32"/>
        </w:rPr>
        <w:t>1047.02</w:t>
      </w:r>
      <w:r>
        <w:rPr>
          <w:rFonts w:hint="eastAsia" w:ascii="仿宋" w:hAnsi="仿宋" w:eastAsia="仿宋" w:cs="仿宋"/>
          <w:color w:val="auto"/>
          <w:kern w:val="2"/>
          <w:sz w:val="32"/>
          <w:szCs w:val="32"/>
          <w:highlight w:val="none"/>
          <w:lang w:val="en-US" w:eastAsia="zh-CN" w:bidi="ar-SA"/>
        </w:rPr>
        <w:t>万元，主要用于以下方面：教育支出831.37万元，占79.36%；社会保障和就业支出130.58万元，占12.5%；卫生健康支出25.29万元，占2.42%；住房保障支出59.79万元，占5.72%</w:t>
      </w:r>
      <w:r>
        <w:rPr>
          <w:rFonts w:hint="eastAsia" w:ascii="Times New Roman" w:hAnsi="Times New Roman" w:eastAsia="仿宋_GB2312" w:cs="仿宋_GB2312"/>
          <w:color w:val="auto"/>
          <w:kern w:val="2"/>
          <w:sz w:val="32"/>
          <w:szCs w:val="32"/>
          <w:highlight w:val="none"/>
          <w:lang w:val="en-US" w:eastAsia="zh-CN" w:bidi="ar-SA"/>
        </w:rPr>
        <w:t>；</w:t>
      </w:r>
    </w:p>
    <w:p w14:paraId="1AA74EDF">
      <w:pPr>
        <w:pStyle w:val="8"/>
        <w:spacing w:before="93"/>
      </w:pPr>
      <w:r>
        <w:rPr>
          <w:rFonts w:hint="eastAsia" w:ascii="仿宋" w:hAnsi="仿宋" w:eastAsia="仿宋" w:cs="仿宋"/>
          <w:color w:val="000000"/>
          <w:sz w:val="32"/>
          <w:szCs w:val="32"/>
          <w:lang w:eastAsia="zh-CN"/>
        </w:rPr>
        <w:drawing>
          <wp:inline distT="0" distB="0" distL="114300" distR="114300">
            <wp:extent cx="5020945" cy="2559685"/>
            <wp:effectExtent l="4445" t="4445" r="19050" b="1143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1E897A">
      <w:pPr>
        <w:spacing w:line="600" w:lineRule="exact"/>
        <w:ind w:firstLine="640"/>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0A2D89C">
      <w:pPr>
        <w:spacing w:line="600" w:lineRule="exact"/>
        <w:ind w:firstLine="640" w:firstLineChars="200"/>
        <w:outlineLvl w:val="2"/>
        <w:rPr>
          <w:rFonts w:hint="eastAsia" w:ascii="楷体" w:hAnsi="楷体" w:eastAsia="楷体" w:cs="楷体"/>
          <w:b w:val="0"/>
          <w:bCs/>
          <w:sz w:val="32"/>
          <w:szCs w:val="32"/>
        </w:rPr>
      </w:pPr>
      <w:bookmarkStart w:id="45" w:name="_Toc15377212"/>
      <w:r>
        <w:rPr>
          <w:rFonts w:hint="eastAsia" w:ascii="楷体" w:hAnsi="楷体" w:eastAsia="楷体" w:cs="楷体"/>
          <w:b w:val="0"/>
          <w:bCs/>
          <w:sz w:val="32"/>
          <w:szCs w:val="32"/>
        </w:rPr>
        <w:t>（三）一般公共预算财政拨款支出决算具体情况</w:t>
      </w:r>
      <w:bookmarkEnd w:id="45"/>
    </w:p>
    <w:p w14:paraId="1FD3BDFD">
      <w:pPr>
        <w:spacing w:line="600" w:lineRule="exact"/>
        <w:ind w:firstLine="640"/>
        <w:rPr>
          <w:rFonts w:hint="eastAsia" w:ascii="仿宋" w:hAnsi="仿宋" w:eastAsia="仿宋" w:cs="仿宋"/>
          <w:color w:val="auto"/>
          <w:kern w:val="2"/>
          <w:sz w:val="32"/>
          <w:szCs w:val="32"/>
          <w:highlight w:val="none"/>
          <w:lang w:val="en-US" w:eastAsia="zh-CN" w:bidi="ar-SA"/>
        </w:rPr>
      </w:pPr>
      <w:bookmarkStart w:id="46" w:name="_Toc15377444"/>
      <w:bookmarkStart w:id="47" w:name="_Toc15377213"/>
      <w:bookmarkStart w:id="48" w:name="_Toc15378460"/>
      <w:bookmarkStart w:id="49" w:name="_Toc15396608"/>
      <w:bookmarkStart w:id="50" w:name="_Toc15377214"/>
      <w:r>
        <w:rPr>
          <w:rFonts w:hint="eastAsia" w:ascii="仿宋" w:hAnsi="仿宋" w:eastAsia="仿宋" w:cs="仿宋"/>
          <w:color w:val="auto"/>
          <w:kern w:val="2"/>
          <w:sz w:val="32"/>
          <w:szCs w:val="32"/>
          <w:highlight w:val="none"/>
          <w:lang w:val="en-US" w:eastAsia="zh-CN" w:bidi="ar-SA"/>
        </w:rPr>
        <w:t>2024年度一般公共预算财政拨款支出决算数为1047.02万元，完成预算100%。其中：</w:t>
      </w:r>
      <w:bookmarkEnd w:id="46"/>
      <w:bookmarkEnd w:id="47"/>
      <w:bookmarkEnd w:id="48"/>
    </w:p>
    <w:p w14:paraId="3B9CA185">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1.教育（类）普通教育（款）学前教育（项）： 本年收入90.14万元，支出决算数为90.14万元，完成预算100%。</w:t>
      </w:r>
    </w:p>
    <w:p w14:paraId="77134094">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2.教育（类）普通教育（款）小学教育（项）： 本年收入670.38万元，支出决算数为670.38万元，完成预算100%。</w:t>
      </w:r>
    </w:p>
    <w:p w14:paraId="119B777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3.教育（类）普通教育（款）初中教育（项）： 本年收入70.85万元，支出决算数为70.85万元，完成预算100%。</w:t>
      </w:r>
    </w:p>
    <w:p w14:paraId="607AE216">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4.社会保障和就业（类）行政事业单位养老支出（款）机关事业单位基本养老保险缴费支出（项）： 本年收入96.57万元，支出决算为96.57万元，完成预算100%。</w:t>
      </w:r>
    </w:p>
    <w:p w14:paraId="5F06B007">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5.社会保障和就业（类）行政事业单位养老支出（款）机关事业单位职业年金缴费支出（项）： 本收入32.22万元，支出决算为32.22万元，完成预算100%。</w:t>
      </w:r>
    </w:p>
    <w:p w14:paraId="702B3C59">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6.社会保障和就业（类）其他社会保障和就业支出（99款）其他社会保障和就业支出（款）： 本年收入14.96万元，支出决算数为14.96万元，完成预算100%。</w:t>
      </w:r>
    </w:p>
    <w:p w14:paraId="5A33378C">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7.卫生健康（类）行政事业单位医疗（款）事业单位医疗（项）：本年收入25.29万元，支出决算数为25.29万元，完成预算100%。</w:t>
      </w:r>
    </w:p>
    <w:p w14:paraId="2665AD5C">
      <w:pPr>
        <w:tabs>
          <w:tab w:val="right" w:pos="8306"/>
        </w:tabs>
        <w:spacing w:line="600" w:lineRule="exact"/>
        <w:ind w:firstLine="640"/>
        <w:outlineLvl w:val="1"/>
        <w:rPr>
          <w:rStyle w:val="29"/>
        </w:rPr>
      </w:pPr>
      <w:bookmarkStart w:id="51" w:name="_Toc1481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9"/>
      <w:bookmarkEnd w:id="50"/>
      <w:bookmarkEnd w:id="51"/>
      <w:r>
        <w:rPr>
          <w:rStyle w:val="29"/>
          <w:rFonts w:ascii="黑体" w:hAnsi="黑体" w:eastAsia="黑体"/>
          <w:b w:val="0"/>
        </w:rPr>
        <w:tab/>
      </w:r>
    </w:p>
    <w:p w14:paraId="122004C9">
      <w:pPr>
        <w:spacing w:line="600" w:lineRule="exact"/>
        <w:ind w:firstLine="640"/>
        <w:rPr>
          <w:rFonts w:hint="eastAsia" w:ascii="仿宋" w:hAnsi="仿宋" w:eastAsia="仿宋" w:cs="仿宋"/>
          <w:color w:val="auto"/>
          <w:kern w:val="2"/>
          <w:sz w:val="32"/>
          <w:szCs w:val="32"/>
          <w:highlight w:val="none"/>
          <w:lang w:val="en-US" w:eastAsia="zh-CN" w:bidi="ar-SA"/>
        </w:rPr>
      </w:pPr>
      <w:bookmarkStart w:id="52" w:name="_Toc15377215"/>
      <w:bookmarkStart w:id="53" w:name="_Toc15396609"/>
      <w:r>
        <w:rPr>
          <w:rFonts w:hint="eastAsia" w:ascii="仿宋" w:hAnsi="仿宋" w:eastAsia="仿宋" w:cs="仿宋"/>
          <w:color w:val="auto"/>
          <w:kern w:val="2"/>
          <w:sz w:val="32"/>
          <w:szCs w:val="32"/>
          <w:highlight w:val="none"/>
          <w:lang w:val="en-US" w:eastAsia="zh-CN" w:bidi="ar-SA"/>
        </w:rPr>
        <w:t>2024年度一般公共预算财政拨款基本支出</w:t>
      </w:r>
      <w:r>
        <w:rPr>
          <w:rFonts w:hint="eastAsia" w:ascii="仿宋" w:hAnsi="仿宋" w:eastAsia="仿宋" w:cs="仿宋"/>
          <w:sz w:val="32"/>
          <w:szCs w:val="32"/>
        </w:rPr>
        <w:t>836.46</w:t>
      </w:r>
      <w:r>
        <w:rPr>
          <w:rFonts w:hint="eastAsia" w:ascii="仿宋" w:hAnsi="仿宋" w:eastAsia="仿宋" w:cs="仿宋"/>
          <w:color w:val="auto"/>
          <w:kern w:val="2"/>
          <w:sz w:val="32"/>
          <w:szCs w:val="32"/>
          <w:highlight w:val="none"/>
          <w:lang w:val="en-US" w:eastAsia="zh-CN" w:bidi="ar-SA"/>
        </w:rPr>
        <w:t>万元，其中：</w:t>
      </w:r>
    </w:p>
    <w:p w14:paraId="34E39959">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人员经费</w:t>
      </w:r>
      <w:r>
        <w:rPr>
          <w:rFonts w:hint="eastAsia" w:ascii="仿宋" w:hAnsi="仿宋" w:eastAsia="仿宋" w:cs="仿宋"/>
          <w:sz w:val="32"/>
          <w:szCs w:val="32"/>
        </w:rPr>
        <w:t>807.12</w:t>
      </w:r>
      <w:r>
        <w:rPr>
          <w:rFonts w:hint="eastAsia" w:ascii="仿宋" w:hAnsi="仿宋" w:eastAsia="仿宋" w:cs="仿宋"/>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6B99FAF">
      <w:pPr>
        <w:spacing w:line="60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公用经费</w:t>
      </w:r>
      <w:r>
        <w:rPr>
          <w:rFonts w:hint="eastAsia" w:ascii="仿宋" w:hAnsi="仿宋" w:eastAsia="仿宋" w:cs="仿宋"/>
          <w:sz w:val="32"/>
          <w:szCs w:val="32"/>
        </w:rPr>
        <w:t>29.34</w:t>
      </w:r>
      <w:r>
        <w:rPr>
          <w:rFonts w:hint="eastAsia" w:ascii="仿宋" w:hAnsi="仿宋" w:eastAsia="仿宋" w:cs="仿宋"/>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A548DFB">
      <w:pPr>
        <w:spacing w:line="600" w:lineRule="exact"/>
        <w:ind w:firstLine="640"/>
        <w:outlineLvl w:val="1"/>
        <w:rPr>
          <w:rStyle w:val="29"/>
          <w:rFonts w:ascii="黑体" w:hAnsi="黑体" w:eastAsia="黑体"/>
          <w:b w:val="0"/>
        </w:rPr>
      </w:pPr>
      <w:bookmarkStart w:id="54" w:name="_Toc31626"/>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2"/>
      <w:bookmarkEnd w:id="53"/>
      <w:bookmarkEnd w:id="54"/>
    </w:p>
    <w:p w14:paraId="06A51F54">
      <w:pPr>
        <w:spacing w:line="600" w:lineRule="exact"/>
        <w:ind w:firstLine="640" w:firstLineChars="200"/>
        <w:outlineLvl w:val="2"/>
        <w:rPr>
          <w:rFonts w:hint="eastAsia" w:ascii="楷体" w:hAnsi="楷体" w:eastAsia="楷体" w:cs="楷体"/>
          <w:b w:val="0"/>
          <w:bCs/>
          <w:sz w:val="32"/>
          <w:szCs w:val="32"/>
        </w:rPr>
      </w:pPr>
      <w:bookmarkStart w:id="55" w:name="_Toc15377216"/>
      <w:r>
        <w:rPr>
          <w:rFonts w:hint="eastAsia" w:ascii="楷体" w:hAnsi="楷体" w:eastAsia="楷体" w:cs="楷体"/>
          <w:b w:val="0"/>
          <w:bCs/>
          <w:sz w:val="32"/>
          <w:szCs w:val="32"/>
        </w:rPr>
        <w:t>（一）“三公”经费财政拨款支出决算总体情况说明</w:t>
      </w:r>
      <w:bookmarkEnd w:id="55"/>
    </w:p>
    <w:p w14:paraId="457FB3D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0.32万</w:t>
      </w:r>
      <w:r>
        <w:rPr>
          <w:rFonts w:hint="eastAsia" w:ascii="仿宋" w:hAnsi="仿宋" w:eastAsia="仿宋"/>
          <w:sz w:val="32"/>
          <w:szCs w:val="32"/>
        </w:rPr>
        <w:t>元，完成预算100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于预算数的主要原因是严格管控，节约开支。</w:t>
      </w:r>
    </w:p>
    <w:p w14:paraId="71CC5EC3">
      <w:pPr>
        <w:spacing w:line="600" w:lineRule="exact"/>
        <w:ind w:firstLine="640" w:firstLineChars="200"/>
        <w:outlineLvl w:val="2"/>
        <w:rPr>
          <w:rFonts w:hint="eastAsia" w:ascii="楷体" w:hAnsi="楷体" w:eastAsia="楷体" w:cs="楷体"/>
          <w:b w:val="0"/>
          <w:bCs/>
          <w:sz w:val="32"/>
          <w:szCs w:val="32"/>
        </w:rPr>
      </w:pPr>
      <w:bookmarkStart w:id="56" w:name="_Toc15377217"/>
      <w:r>
        <w:rPr>
          <w:rFonts w:hint="eastAsia" w:ascii="楷体" w:hAnsi="楷体" w:eastAsia="楷体" w:cs="楷体"/>
          <w:b w:val="0"/>
          <w:bCs/>
          <w:sz w:val="32"/>
          <w:szCs w:val="32"/>
        </w:rPr>
        <w:t>（二）“三公”经费财政拨款支出决算具体情况说明</w:t>
      </w:r>
      <w:bookmarkEnd w:id="56"/>
    </w:p>
    <w:p w14:paraId="47F5470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0.32万</w:t>
      </w:r>
      <w:r>
        <w:rPr>
          <w:rFonts w:hint="eastAsia" w:ascii="仿宋" w:hAnsi="仿宋" w:eastAsia="仿宋"/>
          <w:sz w:val="32"/>
          <w:szCs w:val="32"/>
        </w:rPr>
        <w:t>元，占100.00</w:t>
      </w:r>
      <w:r>
        <w:rPr>
          <w:rFonts w:ascii="仿宋" w:hAnsi="仿宋" w:eastAsia="仿宋"/>
          <w:sz w:val="32"/>
          <w:szCs w:val="32"/>
        </w:rPr>
        <w:t>%</w:t>
      </w:r>
      <w:r>
        <w:rPr>
          <w:rFonts w:hint="eastAsia" w:ascii="仿宋" w:hAnsi="仿宋" w:eastAsia="仿宋"/>
          <w:sz w:val="32"/>
          <w:szCs w:val="32"/>
        </w:rPr>
        <w:t>。具体情况如下：</w:t>
      </w:r>
    </w:p>
    <w:p w14:paraId="3ED6F285">
      <w:pPr>
        <w:pStyle w:val="8"/>
        <w:spacing w:before="93"/>
      </w:pPr>
      <w:r>
        <w:rPr>
          <w:rFonts w:hint="eastAsia"/>
        </w:rPr>
        <w:drawing>
          <wp:anchor distT="0" distB="0" distL="114300" distR="114300" simplePos="0" relativeHeight="251659264" behindDoc="0" locked="0" layoutInCell="1" allowOverlap="1">
            <wp:simplePos x="0" y="0"/>
            <wp:positionH relativeFrom="column">
              <wp:posOffset>743585</wp:posOffset>
            </wp:positionH>
            <wp:positionV relativeFrom="paragraph">
              <wp:posOffset>116205</wp:posOffset>
            </wp:positionV>
            <wp:extent cx="3762375" cy="2185035"/>
            <wp:effectExtent l="0" t="0" r="9525" b="2476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1469EDE">
      <w:pPr>
        <w:pStyle w:val="8"/>
        <w:spacing w:before="93"/>
      </w:pPr>
    </w:p>
    <w:p w14:paraId="0BC7E657">
      <w:pPr>
        <w:pStyle w:val="8"/>
        <w:spacing w:before="93"/>
      </w:pPr>
    </w:p>
    <w:p w14:paraId="66A868D9">
      <w:pPr>
        <w:pStyle w:val="8"/>
        <w:spacing w:before="93"/>
      </w:pPr>
    </w:p>
    <w:p w14:paraId="0F958118">
      <w:pPr>
        <w:pStyle w:val="8"/>
        <w:spacing w:before="93"/>
      </w:pPr>
    </w:p>
    <w:p w14:paraId="1843D175">
      <w:pPr>
        <w:spacing w:line="600" w:lineRule="exact"/>
        <w:ind w:firstLine="640"/>
        <w:rPr>
          <w:rFonts w:ascii="仿宋_GB2312" w:eastAsia="仿宋_GB2312"/>
          <w:b/>
          <w:sz w:val="32"/>
          <w:szCs w:val="32"/>
        </w:rPr>
      </w:pPr>
    </w:p>
    <w:p w14:paraId="3D12CB70">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8"/>
          <w:rFonts w:hint="eastAsia" w:ascii="仿宋" w:hAnsi="仿宋" w:eastAsia="仿宋" w:cs="仿宋"/>
          <w:b w:val="0"/>
          <w:bCs/>
          <w:sz w:val="32"/>
          <w:szCs w:val="32"/>
        </w:rPr>
        <w:t>完成预算0%。</w:t>
      </w:r>
      <w:r>
        <w:rPr>
          <w:rFonts w:hint="eastAsia" w:ascii="仿宋" w:hAnsi="仿宋" w:eastAsia="仿宋" w:cs="仿宋"/>
          <w:sz w:val="32"/>
          <w:szCs w:val="32"/>
        </w:rPr>
        <w:t>全年安排因公出国（境）团组0次，出国（境）0人。因公出国（境）支出决算比202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年增加0万元，增长0%。</w:t>
      </w:r>
    </w:p>
    <w:p w14:paraId="1E9C8C2F">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w:t>
      </w:r>
      <w:r>
        <w:rPr>
          <w:rFonts w:hint="eastAsia" w:ascii="仿宋" w:hAnsi="仿宋" w:eastAsia="仿宋" w:cs="仿宋"/>
          <w:sz w:val="32"/>
          <w:szCs w:val="32"/>
          <w:lang w:eastAsia="zh-CN"/>
        </w:rPr>
        <w:t>，</w:t>
      </w:r>
      <w:r>
        <w:rPr>
          <w:rStyle w:val="18"/>
          <w:rFonts w:hint="eastAsia" w:ascii="仿宋" w:hAnsi="仿宋" w:eastAsia="仿宋" w:cs="仿宋"/>
          <w:b w:val="0"/>
          <w:bCs/>
          <w:sz w:val="32"/>
          <w:szCs w:val="32"/>
        </w:rPr>
        <w:t>完成预算0%。</w:t>
      </w:r>
      <w:r>
        <w:rPr>
          <w:rFonts w:hint="eastAsia" w:ascii="仿宋" w:hAnsi="仿宋" w:eastAsia="仿宋" w:cs="仿宋"/>
          <w:sz w:val="32"/>
          <w:szCs w:val="32"/>
        </w:rPr>
        <w:t>公务用车购置及运行维护费支出决算比202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年增加0万元，增长0%。</w:t>
      </w:r>
    </w:p>
    <w:p w14:paraId="4C28BDDE">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0万元。全年按规定更新购置公务用车0辆，其中：轿车0辆、金额0万元，越野车0辆、金额0万元，载客汽车0辆、金额0万元。截至202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年12月底，单位共有公务用车0辆，其中：轿车0辆、越野车0辆、载客汽车0辆。</w:t>
      </w:r>
    </w:p>
    <w:p w14:paraId="6C33969F">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p>
    <w:p w14:paraId="7121F5D3">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lang w:val="en-US" w:eastAsia="zh-CN"/>
        </w:rPr>
        <w:t>0.32万</w:t>
      </w:r>
      <w:r>
        <w:rPr>
          <w:rFonts w:hint="eastAsia" w:ascii="仿宋" w:hAnsi="仿宋" w:eastAsia="仿宋" w:cs="仿宋"/>
          <w:sz w:val="32"/>
          <w:szCs w:val="32"/>
        </w:rPr>
        <w:t>元，</w:t>
      </w:r>
      <w:r>
        <w:rPr>
          <w:rStyle w:val="18"/>
          <w:rFonts w:hint="eastAsia" w:ascii="仿宋" w:hAnsi="仿宋" w:eastAsia="仿宋" w:cs="仿宋"/>
          <w:b w:val="0"/>
          <w:bCs/>
          <w:sz w:val="32"/>
          <w:szCs w:val="32"/>
        </w:rPr>
        <w:t>完成预算100%。</w:t>
      </w:r>
      <w:r>
        <w:rPr>
          <w:rFonts w:hint="eastAsia" w:ascii="仿宋" w:hAnsi="仿宋" w:eastAsia="仿宋" w:cs="仿宋"/>
          <w:sz w:val="32"/>
          <w:szCs w:val="32"/>
        </w:rPr>
        <w:t>公务接待费支出决算比202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增加0.2万</w:t>
      </w:r>
      <w:r>
        <w:rPr>
          <w:rFonts w:hint="eastAsia" w:ascii="仿宋" w:hAnsi="仿宋" w:eastAsia="仿宋" w:cs="仿宋"/>
          <w:sz w:val="32"/>
          <w:szCs w:val="32"/>
        </w:rPr>
        <w:t>元，较上年</w:t>
      </w:r>
      <w:r>
        <w:rPr>
          <w:rFonts w:hint="eastAsia" w:ascii="仿宋" w:hAnsi="仿宋" w:eastAsia="仿宋" w:cs="仿宋"/>
          <w:sz w:val="32"/>
          <w:szCs w:val="32"/>
          <w:lang w:val="en-US" w:eastAsia="zh-CN"/>
        </w:rPr>
        <w:t>增加166.7</w:t>
      </w:r>
      <w:r>
        <w:rPr>
          <w:rFonts w:hint="eastAsia" w:ascii="仿宋" w:hAnsi="仿宋" w:eastAsia="仿宋" w:cs="仿宋"/>
          <w:sz w:val="32"/>
          <w:szCs w:val="32"/>
        </w:rPr>
        <w:t>%。</w:t>
      </w:r>
      <w:r>
        <w:rPr>
          <w:rFonts w:hint="eastAsia" w:ascii="仿宋" w:hAnsi="仿宋" w:eastAsia="仿宋" w:cs="仿宋"/>
          <w:sz w:val="32"/>
          <w:szCs w:val="32"/>
          <w:lang w:eastAsia="zh-CN"/>
        </w:rPr>
        <w:t>原因是</w:t>
      </w:r>
      <w:r>
        <w:rPr>
          <w:rFonts w:hint="eastAsia" w:ascii="仿宋" w:hAnsi="仿宋" w:eastAsia="仿宋" w:cs="仿宋"/>
          <w:sz w:val="32"/>
          <w:szCs w:val="32"/>
          <w:lang w:val="en-US" w:eastAsia="zh-CN"/>
        </w:rPr>
        <w:t>2024年我校迎接普及普惠检查2批次39人次。</w:t>
      </w:r>
    </w:p>
    <w:p w14:paraId="6184C33A">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0万元，外事接待0批次，0人，共计支出0万元。</w:t>
      </w:r>
    </w:p>
    <w:p w14:paraId="419B864D">
      <w:pPr>
        <w:spacing w:line="600" w:lineRule="exact"/>
        <w:ind w:firstLine="640"/>
        <w:outlineLvl w:val="1"/>
        <w:rPr>
          <w:rStyle w:val="29"/>
          <w:rFonts w:ascii="黑体" w:hAnsi="黑体" w:eastAsia="黑体"/>
        </w:rPr>
      </w:pPr>
      <w:bookmarkStart w:id="57" w:name="_Toc26669"/>
      <w:bookmarkStart w:id="58" w:name="_Toc15377218"/>
      <w:bookmarkStart w:id="59"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57"/>
      <w:bookmarkEnd w:id="58"/>
      <w:bookmarkEnd w:id="59"/>
    </w:p>
    <w:p w14:paraId="2328BABA">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年政府性基金预算财政拨款支出0万元。</w:t>
      </w:r>
    </w:p>
    <w:p w14:paraId="6B5158F2">
      <w:pPr>
        <w:numPr>
          <w:ilvl w:val="0"/>
          <w:numId w:val="2"/>
        </w:numPr>
        <w:spacing w:line="600" w:lineRule="exact"/>
        <w:ind w:firstLine="640"/>
        <w:outlineLvl w:val="1"/>
        <w:rPr>
          <w:rStyle w:val="29"/>
          <w:rFonts w:ascii="黑体" w:hAnsi="黑体" w:eastAsia="黑体"/>
          <w:b w:val="0"/>
        </w:rPr>
      </w:pPr>
      <w:bookmarkStart w:id="60" w:name="_Toc15377219"/>
      <w:bookmarkStart w:id="61" w:name="_Toc15396611"/>
      <w:bookmarkStart w:id="62" w:name="_Toc6798"/>
      <w:r>
        <w:rPr>
          <w:rStyle w:val="29"/>
          <w:rFonts w:hint="eastAsia" w:ascii="黑体" w:hAnsi="黑体" w:eastAsia="黑体"/>
          <w:b w:val="0"/>
        </w:rPr>
        <w:t>国有资本经营预算支出决算情况说明</w:t>
      </w:r>
      <w:bookmarkEnd w:id="60"/>
      <w:bookmarkEnd w:id="61"/>
      <w:bookmarkEnd w:id="62"/>
    </w:p>
    <w:p w14:paraId="24DFB782">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年国有资本经营预算财政拨款支出0万元。</w:t>
      </w:r>
    </w:p>
    <w:p w14:paraId="77B3F5C7">
      <w:pPr>
        <w:numPr>
          <w:ilvl w:val="0"/>
          <w:numId w:val="2"/>
        </w:numPr>
        <w:spacing w:line="600" w:lineRule="exact"/>
        <w:ind w:firstLine="640"/>
        <w:outlineLvl w:val="1"/>
        <w:rPr>
          <w:rStyle w:val="29"/>
          <w:rFonts w:ascii="黑体" w:hAnsi="黑体" w:eastAsia="黑体"/>
          <w:b w:val="0"/>
        </w:rPr>
      </w:pPr>
      <w:bookmarkStart w:id="63" w:name="_Toc15377221"/>
      <w:bookmarkStart w:id="64" w:name="_Toc15396612"/>
      <w:bookmarkStart w:id="65" w:name="_Toc13050"/>
      <w:r>
        <w:rPr>
          <w:rStyle w:val="29"/>
          <w:rFonts w:hint="eastAsia" w:ascii="黑体" w:hAnsi="黑体" w:eastAsia="黑体"/>
          <w:b w:val="0"/>
        </w:rPr>
        <w:t>其他重要事项的情况说明</w:t>
      </w:r>
      <w:bookmarkEnd w:id="63"/>
      <w:bookmarkEnd w:id="64"/>
      <w:bookmarkEnd w:id="65"/>
    </w:p>
    <w:p w14:paraId="758BA744">
      <w:pPr>
        <w:spacing w:line="600" w:lineRule="exact"/>
        <w:ind w:firstLine="640" w:firstLineChars="200"/>
        <w:outlineLvl w:val="2"/>
        <w:rPr>
          <w:rFonts w:hint="eastAsia" w:ascii="楷体" w:hAnsi="楷体" w:eastAsia="楷体" w:cs="楷体"/>
          <w:b w:val="0"/>
          <w:bCs/>
          <w:sz w:val="32"/>
          <w:szCs w:val="32"/>
        </w:rPr>
      </w:pPr>
      <w:bookmarkStart w:id="66" w:name="_Toc15377222"/>
      <w:r>
        <w:rPr>
          <w:rFonts w:hint="eastAsia" w:ascii="楷体" w:hAnsi="楷体" w:eastAsia="楷体" w:cs="楷体"/>
          <w:b w:val="0"/>
          <w:bCs/>
          <w:sz w:val="32"/>
          <w:szCs w:val="32"/>
        </w:rPr>
        <w:t>（一）机关运行经费支出情况</w:t>
      </w:r>
      <w:bookmarkEnd w:id="66"/>
    </w:p>
    <w:p w14:paraId="322ABDB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年，峨边彝族自治县</w:t>
      </w:r>
      <w:r>
        <w:rPr>
          <w:rFonts w:hint="eastAsia" w:ascii="仿宋" w:hAnsi="仿宋" w:eastAsia="仿宋" w:cs="仿宋"/>
          <w:sz w:val="32"/>
          <w:szCs w:val="32"/>
          <w:lang w:val="en-US" w:eastAsia="zh-CN"/>
        </w:rPr>
        <w:t>红旗镇</w:t>
      </w:r>
      <w:r>
        <w:rPr>
          <w:rFonts w:hint="eastAsia" w:ascii="仿宋" w:hAnsi="仿宋" w:eastAsia="仿宋" w:cs="仿宋"/>
          <w:sz w:val="32"/>
          <w:szCs w:val="32"/>
        </w:rPr>
        <w:t>中心小学机关运行经费支出0万元，与202</w:t>
      </w:r>
      <w:r>
        <w:rPr>
          <w:rFonts w:hint="eastAsia" w:ascii="仿宋" w:hAnsi="仿宋" w:eastAsia="仿宋" w:cs="仿宋"/>
          <w:sz w:val="32"/>
          <w:szCs w:val="32"/>
          <w:lang w:val="en-US" w:eastAsia="zh-CN"/>
        </w:rPr>
        <w:t>3</w:t>
      </w:r>
      <w:r>
        <w:rPr>
          <w:rFonts w:hint="eastAsia" w:ascii="仿宋" w:hAnsi="仿宋" w:eastAsia="仿宋" w:cs="仿宋"/>
          <w:sz w:val="32"/>
          <w:szCs w:val="32"/>
        </w:rPr>
        <w:t>年决算数持平。</w:t>
      </w:r>
    </w:p>
    <w:p w14:paraId="67082971">
      <w:pPr>
        <w:spacing w:line="600" w:lineRule="exact"/>
        <w:ind w:firstLine="640" w:firstLineChars="200"/>
        <w:outlineLvl w:val="2"/>
        <w:rPr>
          <w:rFonts w:hint="eastAsia" w:ascii="楷体" w:hAnsi="楷体" w:eastAsia="楷体" w:cs="楷体"/>
          <w:b w:val="0"/>
          <w:bCs/>
          <w:sz w:val="32"/>
          <w:szCs w:val="32"/>
        </w:rPr>
      </w:pPr>
      <w:bookmarkStart w:id="67" w:name="_Toc15377223"/>
      <w:r>
        <w:rPr>
          <w:rFonts w:hint="eastAsia" w:ascii="楷体" w:hAnsi="楷体" w:eastAsia="楷体" w:cs="楷体"/>
          <w:b w:val="0"/>
          <w:bCs/>
          <w:sz w:val="32"/>
          <w:szCs w:val="32"/>
        </w:rPr>
        <w:t>（二）政府采购支出情况</w:t>
      </w:r>
      <w:bookmarkEnd w:id="67"/>
    </w:p>
    <w:p w14:paraId="1B1A44A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年，峨边彝族自治县</w:t>
      </w:r>
      <w:r>
        <w:rPr>
          <w:rFonts w:hint="eastAsia" w:ascii="仿宋" w:hAnsi="仿宋" w:eastAsia="仿宋" w:cs="仿宋"/>
          <w:sz w:val="32"/>
          <w:szCs w:val="32"/>
          <w:lang w:val="en-US" w:eastAsia="zh-CN"/>
        </w:rPr>
        <w:t>红旗镇</w:t>
      </w:r>
      <w:r>
        <w:rPr>
          <w:rFonts w:hint="eastAsia" w:ascii="仿宋" w:hAnsi="仿宋" w:eastAsia="仿宋" w:cs="仿宋"/>
          <w:sz w:val="32"/>
          <w:szCs w:val="32"/>
        </w:rPr>
        <w:t>中心小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0AF05F8">
      <w:pPr>
        <w:spacing w:line="600" w:lineRule="exact"/>
        <w:ind w:firstLine="640" w:firstLineChars="200"/>
        <w:outlineLvl w:val="2"/>
        <w:rPr>
          <w:rFonts w:hint="eastAsia" w:ascii="楷体" w:hAnsi="楷体" w:eastAsia="楷体" w:cs="楷体"/>
          <w:b w:val="0"/>
          <w:bCs/>
          <w:sz w:val="32"/>
          <w:szCs w:val="32"/>
        </w:rPr>
      </w:pPr>
      <w:bookmarkStart w:id="68" w:name="_Toc15377224"/>
      <w:r>
        <w:rPr>
          <w:rFonts w:hint="eastAsia" w:ascii="楷体" w:hAnsi="楷体" w:eastAsia="楷体" w:cs="楷体"/>
          <w:b w:val="0"/>
          <w:bCs/>
          <w:sz w:val="32"/>
          <w:szCs w:val="32"/>
        </w:rPr>
        <w:t>（三）国有资产占有使用情况</w:t>
      </w:r>
      <w:bookmarkEnd w:id="68"/>
    </w:p>
    <w:p w14:paraId="07F6A877">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年12月31日，峨边彝族自治县</w:t>
      </w:r>
      <w:r>
        <w:rPr>
          <w:rFonts w:hint="eastAsia" w:ascii="仿宋" w:hAnsi="仿宋" w:eastAsia="仿宋" w:cs="仿宋"/>
          <w:sz w:val="32"/>
          <w:szCs w:val="32"/>
          <w:lang w:val="en-US" w:eastAsia="zh-CN"/>
        </w:rPr>
        <w:t>红旗镇</w:t>
      </w:r>
      <w:r>
        <w:rPr>
          <w:rFonts w:hint="eastAsia" w:ascii="仿宋" w:hAnsi="仿宋" w:eastAsia="仿宋" w:cs="仿宋"/>
          <w:sz w:val="32"/>
          <w:szCs w:val="32"/>
        </w:rPr>
        <w:t>中心小学共有车辆0辆，其中：主要领导干部用车0辆、机要通信用车0辆、应急保障用车0辆、其他用车0辆。单价50万元以上通用设备0台（套），单价100万元以上专用设备0台（套）。</w:t>
      </w:r>
    </w:p>
    <w:p w14:paraId="2FD02471">
      <w:pPr>
        <w:autoSpaceDE w:val="0"/>
        <w:autoSpaceDN w:val="0"/>
        <w:adjustRightInd w:val="0"/>
        <w:spacing w:line="600" w:lineRule="exact"/>
        <w:ind w:firstLine="640" w:firstLineChars="200"/>
        <w:jc w:val="left"/>
        <w:outlineLvl w:val="2"/>
        <w:rPr>
          <w:rFonts w:hint="eastAsia" w:ascii="楷体" w:hAnsi="楷体" w:eastAsia="楷体" w:cs="楷体"/>
          <w:b w:val="0"/>
          <w:bCs/>
          <w:sz w:val="32"/>
          <w:szCs w:val="32"/>
        </w:rPr>
      </w:pPr>
      <w:r>
        <w:rPr>
          <w:rFonts w:hint="eastAsia" w:ascii="楷体" w:hAnsi="楷体" w:eastAsia="楷体" w:cs="楷体"/>
          <w:b w:val="0"/>
          <w:bCs/>
          <w:sz w:val="32"/>
          <w:szCs w:val="32"/>
        </w:rPr>
        <w:t>（四）预算绩效管理情况</w:t>
      </w:r>
    </w:p>
    <w:p w14:paraId="389CB0C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年度预算编制阶段，组织对0项目（项目名称）等0个项目开展了预算事前绩效评估，对0个项目编制了绩效目标</w:t>
      </w:r>
      <w:r>
        <w:rPr>
          <w:rFonts w:hint="eastAsia" w:ascii="仿宋" w:hAnsi="仿宋" w:eastAsia="仿宋" w:cs="仿宋"/>
          <w:sz w:val="32"/>
          <w:szCs w:val="32"/>
          <w:lang w:eastAsia="zh-CN"/>
        </w:rPr>
        <w:t>，在</w:t>
      </w:r>
      <w:r>
        <w:rPr>
          <w:rFonts w:hint="eastAsia" w:ascii="仿宋" w:hAnsi="仿宋" w:eastAsia="仿宋" w:cs="仿宋"/>
          <w:sz w:val="32"/>
          <w:szCs w:val="32"/>
        </w:rPr>
        <w:t>预算执行过程中，选取0个项目开展绩效监控，年终执行完毕后，对0个项目开展了绩效自评。</w:t>
      </w:r>
    </w:p>
    <w:p w14:paraId="3651B8A3">
      <w:pPr>
        <w:pStyle w:val="8"/>
        <w:spacing w:before="93"/>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本单位按要求对202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年部门整体支出开展绩效自评，从评价情况来看</w:t>
      </w:r>
      <w:r>
        <w:rPr>
          <w:rFonts w:hint="eastAsia" w:ascii="仿宋" w:hAnsi="仿宋" w:eastAsia="仿宋" w:cs="仿宋"/>
          <w:color w:val="000000"/>
          <w:sz w:val="32"/>
          <w:szCs w:val="32"/>
        </w:rPr>
        <w:t>预、决算编制合理，整体支出情况良好， 保障了学校的正常运转，也保证了正常的开支。</w:t>
      </w:r>
      <w:r>
        <w:rPr>
          <w:rFonts w:hint="eastAsia" w:ascii="仿宋" w:hAnsi="仿宋" w:eastAsia="仿宋" w:cs="仿宋"/>
          <w:sz w:val="32"/>
          <w:szCs w:val="32"/>
        </w:rPr>
        <w:t>本部门还自行组织了0个项目支出绩效评价，从评价情况来看</w:t>
      </w:r>
      <w:r>
        <w:rPr>
          <w:rFonts w:hint="eastAsia" w:ascii="仿宋" w:hAnsi="仿宋" w:eastAsia="仿宋" w:cs="仿宋"/>
          <w:color w:val="000000"/>
          <w:sz w:val="32"/>
          <w:szCs w:val="32"/>
        </w:rPr>
        <w:t>本部门无专项预算项目，因此未组织开展项目支出绩效评价。</w:t>
      </w:r>
    </w:p>
    <w:p w14:paraId="120E3B7C">
      <w:pPr>
        <w:pStyle w:val="8"/>
        <w:spacing w:before="93"/>
        <w:ind w:firstLine="640" w:firstLineChars="200"/>
        <w:rPr>
          <w:rFonts w:hint="eastAsia" w:hAnsi="仿宋_GB2312" w:cs="仿宋_GB2312"/>
          <w:color w:val="000000"/>
          <w:sz w:val="32"/>
          <w:szCs w:val="32"/>
        </w:rPr>
      </w:pPr>
    </w:p>
    <w:p w14:paraId="789D07C5">
      <w:pPr>
        <w:pStyle w:val="8"/>
        <w:spacing w:before="93"/>
        <w:ind w:firstLine="640" w:firstLineChars="200"/>
        <w:rPr>
          <w:rFonts w:hint="eastAsia" w:hAnsi="仿宋_GB2312" w:cs="仿宋_GB2312"/>
          <w:color w:val="000000"/>
          <w:sz w:val="32"/>
          <w:szCs w:val="32"/>
        </w:rPr>
      </w:pPr>
    </w:p>
    <w:p w14:paraId="13EBCC24">
      <w:pPr>
        <w:pStyle w:val="8"/>
        <w:spacing w:before="93"/>
        <w:ind w:firstLine="640" w:firstLineChars="200"/>
        <w:rPr>
          <w:rFonts w:hint="eastAsia" w:hAnsi="仿宋_GB2312" w:cs="仿宋_GB2312"/>
          <w:color w:val="000000"/>
          <w:sz w:val="32"/>
          <w:szCs w:val="32"/>
        </w:rPr>
      </w:pPr>
    </w:p>
    <w:p w14:paraId="6E5475B7">
      <w:pPr>
        <w:pStyle w:val="8"/>
        <w:spacing w:before="93"/>
        <w:ind w:firstLine="640" w:firstLineChars="200"/>
        <w:rPr>
          <w:rFonts w:hint="eastAsia" w:hAnsi="仿宋_GB2312" w:cs="仿宋_GB2312"/>
          <w:color w:val="000000"/>
          <w:sz w:val="32"/>
          <w:szCs w:val="32"/>
        </w:rPr>
      </w:pPr>
    </w:p>
    <w:p w14:paraId="073B8B47">
      <w:pPr>
        <w:pStyle w:val="8"/>
        <w:spacing w:before="93"/>
        <w:ind w:firstLine="640" w:firstLineChars="200"/>
        <w:rPr>
          <w:rFonts w:hint="eastAsia" w:hAnsi="仿宋_GB2312" w:cs="仿宋_GB2312"/>
          <w:color w:val="000000"/>
          <w:sz w:val="32"/>
          <w:szCs w:val="32"/>
        </w:rPr>
      </w:pPr>
    </w:p>
    <w:p w14:paraId="573E3217">
      <w:pPr>
        <w:numPr>
          <w:ilvl w:val="0"/>
          <w:numId w:val="3"/>
        </w:numPr>
        <w:spacing w:line="600" w:lineRule="exact"/>
        <w:ind w:firstLine="660" w:firstLineChars="150"/>
        <w:jc w:val="center"/>
        <w:outlineLvl w:val="0"/>
        <w:rPr>
          <w:rStyle w:val="28"/>
          <w:rFonts w:ascii="黑体" w:hAnsi="黑体" w:eastAsia="黑体"/>
          <w:b w:val="0"/>
        </w:rPr>
      </w:pPr>
      <w:bookmarkStart w:id="69" w:name="_Toc15396613"/>
      <w:bookmarkStart w:id="70" w:name="_Toc15377225"/>
      <w:bookmarkStart w:id="71" w:name="_Toc20926"/>
      <w:r>
        <w:rPr>
          <w:rFonts w:hint="eastAsia" w:ascii="黑体" w:hAnsi="黑体" w:eastAsia="黑体"/>
          <w:sz w:val="44"/>
          <w:szCs w:val="44"/>
        </w:rPr>
        <w:t>名</w:t>
      </w:r>
      <w:r>
        <w:rPr>
          <w:rStyle w:val="28"/>
          <w:rFonts w:hint="eastAsia" w:ascii="黑体" w:hAnsi="黑体" w:eastAsia="黑体"/>
          <w:b w:val="0"/>
        </w:rPr>
        <w:t>词解释</w:t>
      </w:r>
      <w:bookmarkEnd w:id="69"/>
      <w:bookmarkEnd w:id="70"/>
      <w:bookmarkEnd w:id="71"/>
    </w:p>
    <w:p w14:paraId="6AB0ADB3">
      <w:pPr>
        <w:pStyle w:val="26"/>
        <w:spacing w:line="560" w:lineRule="exact"/>
        <w:ind w:firstLine="640" w:firstLineChars="200"/>
        <w:outlineLvl w:val="1"/>
        <w:rPr>
          <w:rFonts w:hint="eastAsia" w:ascii="仿宋" w:hAnsi="仿宋" w:eastAsia="仿宋" w:cs="仿宋"/>
          <w:color w:val="auto"/>
          <w:sz w:val="32"/>
          <w:szCs w:val="32"/>
        </w:rPr>
      </w:pPr>
      <w:bookmarkStart w:id="72" w:name="_Toc5272"/>
      <w:bookmarkStart w:id="73" w:name="_Toc6479"/>
      <w:r>
        <w:rPr>
          <w:rFonts w:hint="eastAsia" w:ascii="仿宋" w:hAnsi="仿宋" w:eastAsia="仿宋" w:cs="仿宋"/>
          <w:color w:val="auto"/>
          <w:sz w:val="32"/>
          <w:szCs w:val="32"/>
        </w:rPr>
        <w:t>1.财政拨款收入：指单位从同级财政部门取得的财政预算资金。</w:t>
      </w:r>
      <w:bookmarkEnd w:id="72"/>
      <w:bookmarkEnd w:id="73"/>
    </w:p>
    <w:p w14:paraId="3444ECDE">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w:t>
      </w:r>
    </w:p>
    <w:p w14:paraId="44E04147">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3.年初结转和结余：指以前年度尚未完成、结转到本年按有关规定继续使用的资金。 </w:t>
      </w:r>
    </w:p>
    <w:p w14:paraId="19D4E010">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4.结余分配：指事业单位按照会计制度规定缴纳的所得税、提取的专用结余以及转入非财政拨款结余的金额等。</w:t>
      </w:r>
    </w:p>
    <w:p w14:paraId="6E5D1742">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hAnsi="仿宋" w:cs="仿宋"/>
          <w:color w:val="auto"/>
          <w:sz w:val="32"/>
          <w:szCs w:val="32"/>
          <w:lang w:eastAsia="zh-CN"/>
        </w:rPr>
        <w:t>.</w:t>
      </w:r>
      <w:r>
        <w:rPr>
          <w:rFonts w:hint="eastAsia" w:ascii="仿宋" w:hAnsi="仿宋" w:eastAsia="仿宋" w:cs="仿宋"/>
          <w:color w:val="auto"/>
          <w:sz w:val="32"/>
          <w:szCs w:val="32"/>
        </w:rPr>
        <w:t>年末结转和结余：指单位按有关规定结转到下年或以后年度继续使用的资金。</w:t>
      </w:r>
    </w:p>
    <w:p w14:paraId="1914A0D7">
      <w:pPr>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Style w:val="18"/>
          <w:rFonts w:hint="eastAsia" w:ascii="仿宋" w:hAnsi="仿宋" w:eastAsia="仿宋" w:cs="仿宋"/>
          <w:b w:val="0"/>
          <w:bCs/>
          <w:sz w:val="32"/>
          <w:szCs w:val="32"/>
        </w:rPr>
        <w:t>教育支出（类）普通教育（款）学前教育（项）：</w:t>
      </w:r>
      <w:r>
        <w:rPr>
          <w:rFonts w:hint="eastAsia" w:ascii="仿宋" w:hAnsi="仿宋" w:eastAsia="仿宋" w:cs="仿宋"/>
          <w:color w:val="000000"/>
          <w:sz w:val="32"/>
          <w:szCs w:val="32"/>
        </w:rPr>
        <w:t>指反映各部门举办的学前教育支出。</w:t>
      </w:r>
    </w:p>
    <w:p w14:paraId="3533445B">
      <w:pPr>
        <w:ind w:firstLine="640" w:firstLineChars="200"/>
        <w:rPr>
          <w:rStyle w:val="18"/>
          <w:rFonts w:hint="eastAsia" w:ascii="仿宋" w:hAnsi="仿宋" w:eastAsia="仿宋" w:cs="仿宋"/>
          <w:b w:val="0"/>
          <w:bCs/>
          <w:sz w:val="32"/>
          <w:szCs w:val="32"/>
        </w:rPr>
      </w:pPr>
      <w:r>
        <w:rPr>
          <w:rStyle w:val="18"/>
          <w:rFonts w:hint="eastAsia" w:ascii="仿宋" w:hAnsi="仿宋" w:eastAsia="仿宋" w:cs="仿宋"/>
          <w:b w:val="0"/>
          <w:bCs/>
          <w:sz w:val="32"/>
          <w:szCs w:val="32"/>
        </w:rPr>
        <w:t>7.教育支出（类）普通教育（款）小学教育（项）：</w:t>
      </w:r>
      <w:r>
        <w:rPr>
          <w:rFonts w:hint="eastAsia" w:ascii="仿宋" w:hAnsi="仿宋" w:eastAsia="仿宋" w:cs="仿宋"/>
          <w:color w:val="000000"/>
          <w:sz w:val="32"/>
          <w:szCs w:val="32"/>
        </w:rPr>
        <w:t>指反映各部门举办的小学教育支出。</w:t>
      </w:r>
    </w:p>
    <w:p w14:paraId="10CDB869">
      <w:pPr>
        <w:ind w:firstLine="640" w:firstLineChars="200"/>
        <w:rPr>
          <w:rStyle w:val="18"/>
          <w:rFonts w:hint="eastAsia" w:ascii="仿宋" w:hAnsi="仿宋" w:eastAsia="仿宋" w:cs="仿宋"/>
          <w:b w:val="0"/>
          <w:bCs/>
          <w:sz w:val="32"/>
          <w:szCs w:val="32"/>
        </w:rPr>
      </w:pPr>
      <w:r>
        <w:rPr>
          <w:rStyle w:val="18"/>
          <w:rFonts w:hint="eastAsia" w:ascii="仿宋" w:hAnsi="仿宋" w:eastAsia="仿宋" w:cs="仿宋"/>
          <w:b w:val="0"/>
          <w:bCs/>
          <w:sz w:val="32"/>
          <w:szCs w:val="32"/>
        </w:rPr>
        <w:t>8.教育支出（类）普通教育（款）初中教育（项）：</w:t>
      </w:r>
      <w:r>
        <w:rPr>
          <w:rFonts w:hint="eastAsia" w:ascii="仿宋" w:hAnsi="仿宋" w:eastAsia="仿宋" w:cs="仿宋"/>
          <w:color w:val="000000"/>
          <w:sz w:val="32"/>
          <w:szCs w:val="32"/>
        </w:rPr>
        <w:t>指反映各部门举办的初中教育支出。</w:t>
      </w:r>
    </w:p>
    <w:p w14:paraId="158132C9">
      <w:pPr>
        <w:ind w:firstLine="640" w:firstLineChars="200"/>
        <w:rPr>
          <w:rStyle w:val="18"/>
          <w:rFonts w:hint="eastAsia" w:ascii="仿宋" w:hAnsi="仿宋" w:eastAsia="仿宋" w:cs="仿宋"/>
          <w:b w:val="0"/>
          <w:bCs/>
          <w:sz w:val="32"/>
          <w:szCs w:val="32"/>
        </w:rPr>
      </w:pPr>
      <w:r>
        <w:rPr>
          <w:rStyle w:val="18"/>
          <w:rFonts w:hint="eastAsia" w:ascii="仿宋" w:hAnsi="仿宋" w:eastAsia="仿宋" w:cs="仿宋"/>
          <w:b w:val="0"/>
          <w:bCs/>
          <w:sz w:val="32"/>
          <w:szCs w:val="32"/>
        </w:rPr>
        <w:t>9.教育支出（类）普通教育（款）高中教育（项）：</w:t>
      </w:r>
      <w:r>
        <w:rPr>
          <w:rFonts w:hint="eastAsia" w:ascii="仿宋" w:hAnsi="仿宋" w:eastAsia="仿宋" w:cs="仿宋"/>
          <w:color w:val="000000"/>
          <w:sz w:val="32"/>
          <w:szCs w:val="32"/>
        </w:rPr>
        <w:t>指反映各部门举办的高中教育支出。</w:t>
      </w:r>
    </w:p>
    <w:p w14:paraId="405D4501">
      <w:pPr>
        <w:ind w:firstLine="640" w:firstLineChars="200"/>
        <w:rPr>
          <w:rStyle w:val="18"/>
          <w:rFonts w:hint="eastAsia" w:ascii="仿宋" w:hAnsi="仿宋" w:eastAsia="仿宋" w:cs="仿宋"/>
          <w:b w:val="0"/>
          <w:bCs/>
          <w:sz w:val="32"/>
          <w:szCs w:val="32"/>
        </w:rPr>
      </w:pPr>
      <w:r>
        <w:rPr>
          <w:rStyle w:val="18"/>
          <w:rFonts w:hint="eastAsia" w:ascii="仿宋" w:hAnsi="仿宋" w:eastAsia="仿宋" w:cs="仿宋"/>
          <w:b w:val="0"/>
          <w:bCs/>
          <w:sz w:val="32"/>
          <w:szCs w:val="32"/>
        </w:rPr>
        <w:t>10.教育支出（类）教育费附加安排的支出（款）其他教育费附加安排的支出（项）</w:t>
      </w:r>
      <w:r>
        <w:rPr>
          <w:rStyle w:val="18"/>
          <w:rFonts w:hint="eastAsia" w:ascii="仿宋" w:hAnsi="仿宋" w:eastAsia="仿宋" w:cs="仿宋"/>
          <w:b w:val="0"/>
          <w:bCs/>
          <w:sz w:val="32"/>
          <w:szCs w:val="32"/>
          <w:lang w:eastAsia="zh-CN"/>
        </w:rPr>
        <w:t>：</w:t>
      </w:r>
      <w:r>
        <w:rPr>
          <w:rFonts w:hint="eastAsia" w:ascii="仿宋" w:hAnsi="仿宋" w:eastAsia="仿宋" w:cs="仿宋"/>
          <w:color w:val="000000"/>
          <w:sz w:val="32"/>
          <w:szCs w:val="32"/>
        </w:rPr>
        <w:t xml:space="preserve"> 指反映除上述项目以外教育费附加支出。</w:t>
      </w:r>
    </w:p>
    <w:p w14:paraId="39340C98">
      <w:pPr>
        <w:ind w:firstLine="640" w:firstLineChars="200"/>
        <w:rPr>
          <w:rStyle w:val="18"/>
          <w:rFonts w:hint="eastAsia" w:ascii="仿宋" w:hAnsi="仿宋" w:eastAsia="仿宋" w:cs="仿宋"/>
          <w:b w:val="0"/>
          <w:bCs/>
          <w:sz w:val="32"/>
          <w:szCs w:val="32"/>
        </w:rPr>
      </w:pPr>
      <w:r>
        <w:rPr>
          <w:rFonts w:hint="eastAsia" w:ascii="仿宋" w:hAnsi="仿宋" w:eastAsia="仿宋" w:cs="仿宋"/>
          <w:sz w:val="32"/>
          <w:szCs w:val="32"/>
        </w:rPr>
        <w:t>11.</w:t>
      </w:r>
      <w:r>
        <w:rPr>
          <w:rStyle w:val="18"/>
          <w:rFonts w:hint="eastAsia" w:ascii="仿宋" w:hAnsi="仿宋" w:eastAsia="仿宋" w:cs="仿宋"/>
          <w:b w:val="0"/>
          <w:bCs/>
          <w:sz w:val="32"/>
          <w:szCs w:val="32"/>
        </w:rPr>
        <w:t>社会保障和就业支出（类）行政事业单位养老支出（款）机关事业单位基本养老保险缴费支出（项）</w:t>
      </w:r>
      <w:r>
        <w:rPr>
          <w:rStyle w:val="18"/>
          <w:rFonts w:hint="eastAsia" w:ascii="仿宋" w:hAnsi="仿宋" w:eastAsia="仿宋" w:cs="仿宋"/>
          <w:b w:val="0"/>
          <w:bCs/>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 xml:space="preserve"> 指反映机关事业单位实施养老保险制度由单位缴纳的基本养老保险费支出。</w:t>
      </w:r>
    </w:p>
    <w:p w14:paraId="1E1937D5">
      <w:pPr>
        <w:ind w:firstLine="640" w:firstLineChars="200"/>
        <w:rPr>
          <w:rStyle w:val="18"/>
          <w:rFonts w:hint="eastAsia" w:ascii="仿宋" w:hAnsi="仿宋" w:eastAsia="仿宋" w:cs="仿宋"/>
          <w:b w:val="0"/>
          <w:bCs/>
          <w:sz w:val="32"/>
          <w:szCs w:val="32"/>
        </w:rPr>
      </w:pPr>
      <w:r>
        <w:rPr>
          <w:rStyle w:val="18"/>
          <w:rFonts w:hint="eastAsia" w:ascii="仿宋" w:hAnsi="仿宋" w:eastAsia="仿宋" w:cs="仿宋"/>
          <w:b w:val="0"/>
          <w:bCs/>
          <w:sz w:val="32"/>
          <w:szCs w:val="32"/>
        </w:rPr>
        <w:t>12.社会保障和就业支出（类）行政事业单位养老支出（款）机关事业单位职业年金缴费支出（项）</w:t>
      </w:r>
      <w:r>
        <w:rPr>
          <w:rStyle w:val="18"/>
          <w:rFonts w:hint="eastAsia" w:ascii="仿宋" w:hAnsi="仿宋" w:eastAsia="仿宋" w:cs="仿宋"/>
          <w:b w:val="0"/>
          <w:bCs/>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 xml:space="preserve"> 指反映机关事业单位实施养老保险制度由单位实际缴纳的职业年金支出。</w:t>
      </w:r>
    </w:p>
    <w:p w14:paraId="45BD6CA9">
      <w:pPr>
        <w:ind w:firstLine="640" w:firstLineChars="200"/>
        <w:rPr>
          <w:rStyle w:val="18"/>
          <w:rFonts w:hint="eastAsia" w:ascii="仿宋" w:hAnsi="仿宋" w:eastAsia="仿宋" w:cs="仿宋"/>
          <w:b w:val="0"/>
          <w:bCs/>
          <w:sz w:val="32"/>
          <w:szCs w:val="32"/>
        </w:rPr>
      </w:pPr>
      <w:r>
        <w:rPr>
          <w:rStyle w:val="18"/>
          <w:rFonts w:hint="eastAsia" w:ascii="仿宋" w:hAnsi="仿宋" w:eastAsia="仿宋" w:cs="仿宋"/>
          <w:b w:val="0"/>
          <w:bCs/>
          <w:sz w:val="32"/>
          <w:szCs w:val="32"/>
        </w:rPr>
        <w:t>13.社会保障和就业支出（类）其他社会保障和就业支出（款）其他社会保障和就业支出（项）</w:t>
      </w:r>
      <w:r>
        <w:rPr>
          <w:rStyle w:val="18"/>
          <w:rFonts w:hint="eastAsia" w:ascii="仿宋" w:hAnsi="仿宋" w:eastAsia="仿宋" w:cs="仿宋"/>
          <w:b w:val="0"/>
          <w:bCs/>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 xml:space="preserve"> 指反映除上述项目以外其他用于</w:t>
      </w:r>
      <w:r>
        <w:rPr>
          <w:rStyle w:val="18"/>
          <w:rFonts w:hint="eastAsia" w:ascii="仿宋" w:hAnsi="仿宋" w:eastAsia="仿宋" w:cs="仿宋"/>
          <w:b w:val="0"/>
          <w:bCs/>
          <w:sz w:val="32"/>
          <w:szCs w:val="32"/>
        </w:rPr>
        <w:t>社会保障和就业方面的</w:t>
      </w:r>
      <w:r>
        <w:rPr>
          <w:rFonts w:hint="eastAsia" w:ascii="仿宋" w:hAnsi="仿宋" w:eastAsia="仿宋" w:cs="仿宋"/>
          <w:color w:val="000000" w:themeColor="text1"/>
          <w:kern w:val="0"/>
          <w:sz w:val="32"/>
          <w:szCs w:val="32"/>
          <w14:textFill>
            <w14:solidFill>
              <w14:schemeClr w14:val="tx1"/>
            </w14:solidFill>
          </w14:textFill>
        </w:rPr>
        <w:t>支出。</w:t>
      </w:r>
    </w:p>
    <w:p w14:paraId="5BFE4588">
      <w:pPr>
        <w:ind w:firstLine="640" w:firstLineChars="200"/>
        <w:rPr>
          <w:rStyle w:val="18"/>
          <w:rFonts w:hint="eastAsia" w:ascii="仿宋" w:hAnsi="仿宋" w:eastAsia="仿宋" w:cs="仿宋"/>
          <w:b w:val="0"/>
          <w:bCs/>
          <w:sz w:val="32"/>
          <w:szCs w:val="32"/>
        </w:rPr>
      </w:pPr>
      <w:r>
        <w:rPr>
          <w:rFonts w:hint="eastAsia" w:ascii="仿宋" w:hAnsi="仿宋" w:eastAsia="仿宋" w:cs="仿宋"/>
          <w:bCs/>
          <w:sz w:val="32"/>
          <w:szCs w:val="32"/>
        </w:rPr>
        <w:t>14.卫生健康支出</w:t>
      </w:r>
      <w:r>
        <w:rPr>
          <w:rStyle w:val="18"/>
          <w:rFonts w:hint="eastAsia" w:ascii="仿宋" w:hAnsi="仿宋" w:eastAsia="仿宋" w:cs="仿宋"/>
          <w:b w:val="0"/>
          <w:bCs/>
          <w:sz w:val="32"/>
          <w:szCs w:val="32"/>
        </w:rPr>
        <w:t>（类）行政事业单位医疗（款）事业单位医疗（项）</w:t>
      </w:r>
      <w:r>
        <w:rPr>
          <w:rStyle w:val="18"/>
          <w:rFonts w:hint="eastAsia" w:ascii="仿宋" w:hAnsi="仿宋" w:eastAsia="仿宋" w:cs="仿宋"/>
          <w:b w:val="0"/>
          <w:bCs/>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 xml:space="preserve"> 指反映财政部门安排的事业单位基本医疗保险缴费经费，未参加医疗保险的事业单位的公费医疗经费，按国家规定享受离休人员待遇的医疗经费。</w:t>
      </w:r>
    </w:p>
    <w:p w14:paraId="2A68D5B5">
      <w:pPr>
        <w:ind w:firstLine="640" w:firstLineChars="200"/>
        <w:rPr>
          <w:rStyle w:val="18"/>
          <w:rFonts w:hint="eastAsia" w:ascii="仿宋" w:hAnsi="仿宋" w:eastAsia="仿宋" w:cs="仿宋"/>
          <w:b w:val="0"/>
          <w:bCs/>
          <w:sz w:val="32"/>
          <w:szCs w:val="32"/>
        </w:rPr>
      </w:pPr>
      <w:r>
        <w:rPr>
          <w:rFonts w:hint="eastAsia" w:ascii="仿宋" w:hAnsi="仿宋" w:eastAsia="仿宋" w:cs="仿宋"/>
          <w:bCs/>
          <w:sz w:val="32"/>
          <w:szCs w:val="32"/>
        </w:rPr>
        <w:t>15.卫生健康支出</w:t>
      </w:r>
      <w:r>
        <w:rPr>
          <w:rStyle w:val="18"/>
          <w:rFonts w:hint="eastAsia" w:ascii="仿宋" w:hAnsi="仿宋" w:eastAsia="仿宋" w:cs="仿宋"/>
          <w:b w:val="0"/>
          <w:bCs/>
          <w:sz w:val="32"/>
          <w:szCs w:val="32"/>
        </w:rPr>
        <w:t>（类）行政事业单位医疗（款）公务员医疗补助（项）</w:t>
      </w:r>
      <w:r>
        <w:rPr>
          <w:rStyle w:val="18"/>
          <w:rFonts w:hint="eastAsia" w:ascii="仿宋" w:hAnsi="仿宋" w:eastAsia="仿宋" w:cs="仿宋"/>
          <w:b w:val="0"/>
          <w:bCs/>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 xml:space="preserve"> 指财政部门安排的</w:t>
      </w:r>
      <w:r>
        <w:rPr>
          <w:rStyle w:val="18"/>
          <w:rFonts w:hint="eastAsia" w:ascii="仿宋" w:hAnsi="仿宋" w:eastAsia="仿宋" w:cs="仿宋"/>
          <w:b w:val="0"/>
          <w:bCs/>
          <w:sz w:val="32"/>
          <w:szCs w:val="32"/>
        </w:rPr>
        <w:t>公务员</w:t>
      </w:r>
      <w:r>
        <w:rPr>
          <w:rFonts w:hint="eastAsia" w:ascii="仿宋" w:hAnsi="仿宋" w:eastAsia="仿宋" w:cs="仿宋"/>
          <w:color w:val="000000" w:themeColor="text1"/>
          <w:kern w:val="0"/>
          <w:sz w:val="32"/>
          <w:szCs w:val="32"/>
          <w14:textFill>
            <w14:solidFill>
              <w14:schemeClr w14:val="tx1"/>
            </w14:solidFill>
          </w14:textFill>
        </w:rPr>
        <w:t>医疗补助经费。</w:t>
      </w:r>
    </w:p>
    <w:p w14:paraId="626E27E9">
      <w:pPr>
        <w:ind w:firstLine="640" w:firstLineChars="200"/>
        <w:rPr>
          <w:rStyle w:val="18"/>
          <w:rFonts w:hint="eastAsia" w:ascii="仿宋" w:hAnsi="仿宋" w:eastAsia="仿宋" w:cs="仿宋"/>
          <w:b w:val="0"/>
          <w:bCs/>
          <w:sz w:val="32"/>
          <w:szCs w:val="32"/>
        </w:rPr>
      </w:pPr>
      <w:r>
        <w:rPr>
          <w:rFonts w:hint="eastAsia" w:ascii="仿宋" w:hAnsi="仿宋" w:eastAsia="仿宋" w:cs="仿宋"/>
          <w:bCs/>
          <w:sz w:val="32"/>
          <w:szCs w:val="32"/>
        </w:rPr>
        <w:t>16.农林水支出</w:t>
      </w:r>
      <w:r>
        <w:rPr>
          <w:rStyle w:val="18"/>
          <w:rFonts w:hint="eastAsia" w:ascii="仿宋" w:hAnsi="仿宋" w:eastAsia="仿宋" w:cs="仿宋"/>
          <w:b w:val="0"/>
          <w:bCs/>
          <w:sz w:val="32"/>
          <w:szCs w:val="32"/>
        </w:rPr>
        <w:t>（类）扶贫（款）其他扶贫支出（项）</w:t>
      </w:r>
      <w:r>
        <w:rPr>
          <w:rStyle w:val="18"/>
          <w:rFonts w:hint="eastAsia" w:ascii="仿宋" w:hAnsi="仿宋" w:eastAsia="仿宋" w:cs="仿宋"/>
          <w:b w:val="0"/>
          <w:bCs/>
          <w:sz w:val="32"/>
          <w:szCs w:val="32"/>
          <w:lang w:eastAsia="zh-CN"/>
        </w:rPr>
        <w:t>：</w:t>
      </w:r>
      <w:r>
        <w:rPr>
          <w:rStyle w:val="18"/>
          <w:rFonts w:hint="eastAsia" w:ascii="仿宋" w:hAnsi="仿宋" w:eastAsia="仿宋" w:cs="仿宋"/>
          <w:b w:val="0"/>
          <w:bCs/>
          <w:sz w:val="32"/>
          <w:szCs w:val="32"/>
        </w:rPr>
        <w:t>指反映除上述项目以外其他用于扶贫方面的支出。</w:t>
      </w:r>
    </w:p>
    <w:p w14:paraId="161CB148">
      <w:pPr>
        <w:ind w:firstLine="640" w:firstLineChars="200"/>
        <w:rPr>
          <w:rFonts w:hint="eastAsia" w:ascii="仿宋" w:hAnsi="仿宋" w:eastAsia="仿宋" w:cs="仿宋"/>
          <w:sz w:val="32"/>
          <w:szCs w:val="32"/>
        </w:rPr>
      </w:pPr>
      <w:r>
        <w:rPr>
          <w:rFonts w:hint="eastAsia" w:ascii="仿宋" w:hAnsi="仿宋" w:eastAsia="仿宋" w:cs="仿宋"/>
          <w:bCs/>
          <w:sz w:val="32"/>
          <w:szCs w:val="32"/>
        </w:rPr>
        <w:t>17.住房保障支出</w:t>
      </w:r>
      <w:r>
        <w:rPr>
          <w:rStyle w:val="18"/>
          <w:rFonts w:hint="eastAsia" w:ascii="仿宋" w:hAnsi="仿宋" w:eastAsia="仿宋" w:cs="仿宋"/>
          <w:b w:val="0"/>
          <w:bCs/>
          <w:sz w:val="32"/>
          <w:szCs w:val="32"/>
        </w:rPr>
        <w:t>（类）</w:t>
      </w:r>
      <w:r>
        <w:rPr>
          <w:rFonts w:hint="eastAsia" w:ascii="仿宋" w:hAnsi="仿宋" w:eastAsia="仿宋" w:cs="仿宋"/>
          <w:bCs/>
          <w:sz w:val="32"/>
          <w:szCs w:val="32"/>
        </w:rPr>
        <w:t>住房改革支出</w:t>
      </w:r>
      <w:r>
        <w:rPr>
          <w:rStyle w:val="18"/>
          <w:rFonts w:hint="eastAsia" w:ascii="仿宋" w:hAnsi="仿宋" w:eastAsia="仿宋" w:cs="仿宋"/>
          <w:b w:val="0"/>
          <w:bCs/>
          <w:sz w:val="32"/>
          <w:szCs w:val="32"/>
        </w:rPr>
        <w:t>（款）</w:t>
      </w:r>
      <w:r>
        <w:rPr>
          <w:rFonts w:hint="eastAsia" w:ascii="仿宋" w:hAnsi="仿宋" w:eastAsia="仿宋" w:cs="仿宋"/>
          <w:bCs/>
          <w:sz w:val="32"/>
          <w:szCs w:val="32"/>
        </w:rPr>
        <w:t>住房公积金</w:t>
      </w:r>
      <w:r>
        <w:rPr>
          <w:rStyle w:val="18"/>
          <w:rFonts w:hint="eastAsia" w:ascii="仿宋" w:hAnsi="仿宋" w:eastAsia="仿宋" w:cs="仿宋"/>
          <w:b w:val="0"/>
          <w:bCs/>
          <w:sz w:val="32"/>
          <w:szCs w:val="32"/>
        </w:rPr>
        <w:t>（项）</w:t>
      </w:r>
      <w:r>
        <w:rPr>
          <w:rStyle w:val="18"/>
          <w:rFonts w:hint="eastAsia" w:ascii="仿宋" w:hAnsi="仿宋" w:eastAsia="仿宋" w:cs="仿宋"/>
          <w:b w:val="0"/>
          <w:bCs/>
          <w:sz w:val="32"/>
          <w:szCs w:val="32"/>
          <w:lang w:eastAsia="zh-CN"/>
        </w:rPr>
        <w:t>：</w:t>
      </w:r>
      <w:r>
        <w:rPr>
          <w:rFonts w:hint="eastAsia" w:ascii="仿宋" w:hAnsi="仿宋" w:eastAsia="仿宋" w:cs="仿宋"/>
          <w:color w:val="000000"/>
          <w:sz w:val="32"/>
          <w:szCs w:val="32"/>
        </w:rPr>
        <w:t xml:space="preserve"> 指反映行政事业单位按人力资源和社会保障部、财政部规定的基本工资和津贴补贴以及规定比例为职工缴纳的住房公积金。</w:t>
      </w:r>
    </w:p>
    <w:p w14:paraId="37158672">
      <w:pPr>
        <w:ind w:firstLine="640" w:firstLineChars="200"/>
        <w:rPr>
          <w:rFonts w:hint="eastAsia" w:ascii="仿宋" w:hAnsi="仿宋" w:eastAsia="仿宋" w:cs="仿宋"/>
          <w:sz w:val="32"/>
          <w:szCs w:val="32"/>
        </w:rPr>
      </w:pPr>
      <w:r>
        <w:rPr>
          <w:rFonts w:hint="eastAsia" w:ascii="仿宋" w:hAnsi="仿宋" w:eastAsia="仿宋" w:cs="仿宋"/>
          <w:sz w:val="32"/>
          <w:szCs w:val="32"/>
        </w:rPr>
        <w:t>18.基本支出：指为保障机构正常运转、完成日常工作任务而发生的人员支出和公用支出。</w:t>
      </w:r>
    </w:p>
    <w:p w14:paraId="7FC5241D">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19.项目支出：指在基本支出之外为完成特定行政任务和事业发展目标所发生的支出。 </w:t>
      </w:r>
    </w:p>
    <w:p w14:paraId="680BD26C">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50C9F1">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w:t>
      </w:r>
      <w:bookmarkStart w:id="74" w:name="_Toc15377226"/>
      <w:r>
        <w:rPr>
          <w:rFonts w:hint="eastAsia" w:ascii="仿宋" w:hAnsi="仿宋" w:eastAsia="仿宋" w:cs="仿宋"/>
          <w:color w:val="auto"/>
          <w:sz w:val="32"/>
          <w:szCs w:val="32"/>
        </w:rPr>
        <w:t>用房取暖费、办公用房物业管理费、公务用车运行维护费以及其他费用。</w:t>
      </w:r>
      <w:bookmarkStart w:id="75" w:name="_Toc15396614"/>
    </w:p>
    <w:p w14:paraId="2E73B472">
      <w:pPr>
        <w:pStyle w:val="26"/>
        <w:spacing w:line="560" w:lineRule="exact"/>
        <w:ind w:firstLine="640" w:firstLineChars="200"/>
        <w:rPr>
          <w:rFonts w:hint="eastAsia" w:ascii="仿宋" w:hAnsi="仿宋" w:eastAsia="仿宋" w:cs="仿宋"/>
          <w:color w:val="auto"/>
          <w:sz w:val="32"/>
          <w:szCs w:val="32"/>
        </w:rPr>
      </w:pPr>
    </w:p>
    <w:p w14:paraId="7256889E">
      <w:pPr>
        <w:pStyle w:val="26"/>
        <w:spacing w:line="560" w:lineRule="exact"/>
        <w:ind w:firstLine="640" w:firstLineChars="200"/>
        <w:rPr>
          <w:rFonts w:hint="eastAsia" w:ascii="仿宋_GB2312" w:eastAsia="仿宋_GB2312"/>
          <w:color w:val="auto"/>
          <w:sz w:val="32"/>
          <w:szCs w:val="32"/>
        </w:rPr>
      </w:pPr>
    </w:p>
    <w:p w14:paraId="0BF94BCC">
      <w:pPr>
        <w:pStyle w:val="26"/>
        <w:spacing w:line="560" w:lineRule="exact"/>
        <w:ind w:firstLine="640" w:firstLineChars="200"/>
        <w:rPr>
          <w:rFonts w:hint="eastAsia" w:ascii="仿宋_GB2312" w:eastAsia="仿宋_GB2312"/>
          <w:color w:val="auto"/>
          <w:sz w:val="32"/>
          <w:szCs w:val="32"/>
        </w:rPr>
      </w:pPr>
    </w:p>
    <w:p w14:paraId="2B34C9C3">
      <w:pPr>
        <w:pStyle w:val="26"/>
        <w:spacing w:line="560" w:lineRule="exact"/>
        <w:ind w:firstLine="640" w:firstLineChars="200"/>
        <w:rPr>
          <w:rFonts w:hint="eastAsia" w:ascii="仿宋_GB2312" w:eastAsia="仿宋_GB2312"/>
          <w:color w:val="auto"/>
          <w:sz w:val="32"/>
          <w:szCs w:val="32"/>
        </w:rPr>
      </w:pPr>
    </w:p>
    <w:p w14:paraId="266832ED">
      <w:pPr>
        <w:pStyle w:val="26"/>
        <w:spacing w:line="560" w:lineRule="exact"/>
        <w:ind w:firstLine="640" w:firstLineChars="200"/>
        <w:rPr>
          <w:rFonts w:hint="eastAsia" w:ascii="仿宋_GB2312" w:eastAsia="仿宋_GB2312"/>
          <w:color w:val="auto"/>
          <w:sz w:val="32"/>
          <w:szCs w:val="32"/>
        </w:rPr>
      </w:pPr>
    </w:p>
    <w:p w14:paraId="24CBDC51">
      <w:pPr>
        <w:pStyle w:val="26"/>
        <w:spacing w:line="560" w:lineRule="exact"/>
        <w:ind w:firstLine="640" w:firstLineChars="200"/>
        <w:rPr>
          <w:rFonts w:hint="eastAsia" w:ascii="仿宋_GB2312" w:eastAsia="仿宋_GB2312"/>
          <w:color w:val="auto"/>
          <w:sz w:val="32"/>
          <w:szCs w:val="32"/>
        </w:rPr>
      </w:pPr>
    </w:p>
    <w:p w14:paraId="507797BB">
      <w:pPr>
        <w:pStyle w:val="26"/>
        <w:spacing w:line="560" w:lineRule="exact"/>
        <w:ind w:firstLine="2640" w:firstLineChars="600"/>
        <w:rPr>
          <w:rStyle w:val="28"/>
          <w:rFonts w:hint="eastAsia"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bookmarkEnd w:id="75"/>
    </w:p>
    <w:p w14:paraId="09BA6134">
      <w:pPr>
        <w:spacing w:line="600" w:lineRule="exact"/>
        <w:jc w:val="center"/>
        <w:outlineLvl w:val="0"/>
        <w:rPr>
          <w:rFonts w:hint="eastAsia" w:ascii="黑体" w:hAnsi="黑体" w:eastAsia="黑体"/>
          <w:sz w:val="44"/>
          <w:szCs w:val="44"/>
        </w:rPr>
      </w:pPr>
      <w:bookmarkStart w:id="76" w:name="_Toc15396618"/>
      <w:bookmarkStart w:id="77" w:name="_Toc818"/>
    </w:p>
    <w:tbl>
      <w:tblPr>
        <w:tblStyle w:val="16"/>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561"/>
        <w:gridCol w:w="561"/>
        <w:gridCol w:w="636"/>
        <w:gridCol w:w="561"/>
        <w:gridCol w:w="565"/>
        <w:gridCol w:w="561"/>
        <w:gridCol w:w="561"/>
        <w:gridCol w:w="564"/>
        <w:gridCol w:w="1025"/>
        <w:gridCol w:w="737"/>
        <w:gridCol w:w="784"/>
        <w:gridCol w:w="774"/>
      </w:tblGrid>
      <w:tr w14:paraId="7D30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9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C02343">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项目绩效运行监控表</w:t>
            </w:r>
          </w:p>
        </w:tc>
      </w:tr>
      <w:tr w14:paraId="7FDD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8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ECC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51113222T000000281756</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学前教育保教费减免补助</w:t>
            </w:r>
          </w:p>
        </w:tc>
      </w:tr>
      <w:tr w14:paraId="0C07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C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28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3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E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44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A72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3F82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8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A1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4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44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E9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61D7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0C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4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C0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22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B2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4EF1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6350">
            <w:pPr>
              <w:jc w:val="center"/>
              <w:rPr>
                <w:rFonts w:hint="eastAsia" w:ascii="宋体" w:hAnsi="宋体" w:eastAsia="宋体" w:cs="宋体"/>
                <w:i w:val="0"/>
                <w:iCs w:val="0"/>
                <w:color w:val="000000"/>
                <w:sz w:val="22"/>
                <w:szCs w:val="22"/>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1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6D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88500</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11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65019.5</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9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73.47%</w:t>
            </w:r>
          </w:p>
        </w:tc>
      </w:tr>
      <w:tr w14:paraId="4B0D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4BF2">
            <w:pPr>
              <w:jc w:val="center"/>
              <w:rPr>
                <w:rFonts w:hint="eastAsia" w:ascii="宋体" w:hAnsi="宋体" w:eastAsia="宋体" w:cs="宋体"/>
                <w:i w:val="0"/>
                <w:iCs w:val="0"/>
                <w:color w:val="000000"/>
                <w:sz w:val="22"/>
                <w:szCs w:val="22"/>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20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C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88500</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0B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65019.5</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4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73.47%</w:t>
            </w:r>
          </w:p>
        </w:tc>
      </w:tr>
      <w:tr w14:paraId="41AE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3C67">
            <w:pPr>
              <w:jc w:val="center"/>
              <w:rPr>
                <w:rFonts w:hint="eastAsia" w:ascii="宋体" w:hAnsi="宋体" w:eastAsia="宋体" w:cs="宋体"/>
                <w:i w:val="0"/>
                <w:iCs w:val="0"/>
                <w:color w:val="000000"/>
                <w:sz w:val="22"/>
                <w:szCs w:val="22"/>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F4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BA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BA709">
            <w:pPr>
              <w:jc w:val="center"/>
              <w:rPr>
                <w:rFonts w:hint="eastAsia" w:ascii="宋体" w:hAnsi="宋体" w:eastAsia="宋体" w:cs="宋体"/>
                <w:i w:val="0"/>
                <w:iCs w:val="0"/>
                <w:color w:val="000000"/>
                <w:sz w:val="22"/>
                <w:szCs w:val="22"/>
                <w:u w:val="none"/>
              </w:rPr>
            </w:pP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35A0F">
            <w:pPr>
              <w:jc w:val="center"/>
              <w:rPr>
                <w:rFonts w:hint="eastAsia" w:ascii="宋体" w:hAnsi="宋体" w:eastAsia="宋体" w:cs="宋体"/>
                <w:i w:val="0"/>
                <w:iCs w:val="0"/>
                <w:color w:val="000000"/>
                <w:sz w:val="22"/>
                <w:szCs w:val="22"/>
                <w:u w:val="none"/>
              </w:rPr>
            </w:pPr>
          </w:p>
        </w:tc>
      </w:tr>
      <w:tr w14:paraId="4AED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ABD2">
            <w:pPr>
              <w:jc w:val="center"/>
              <w:rPr>
                <w:rFonts w:hint="eastAsia" w:ascii="宋体" w:hAnsi="宋体" w:eastAsia="宋体" w:cs="宋体"/>
                <w:i w:val="0"/>
                <w:iCs w:val="0"/>
                <w:color w:val="000000"/>
                <w:sz w:val="22"/>
                <w:szCs w:val="22"/>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D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14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3DAA2">
            <w:pPr>
              <w:jc w:val="center"/>
              <w:rPr>
                <w:rFonts w:hint="eastAsia" w:ascii="宋体" w:hAnsi="宋体" w:eastAsia="宋体" w:cs="宋体"/>
                <w:i w:val="0"/>
                <w:iCs w:val="0"/>
                <w:color w:val="000000"/>
                <w:sz w:val="22"/>
                <w:szCs w:val="22"/>
                <w:u w:val="none"/>
              </w:rPr>
            </w:pP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47869">
            <w:pPr>
              <w:jc w:val="center"/>
              <w:rPr>
                <w:rFonts w:hint="eastAsia" w:ascii="宋体" w:hAnsi="宋体" w:eastAsia="宋体" w:cs="宋体"/>
                <w:i w:val="0"/>
                <w:iCs w:val="0"/>
                <w:color w:val="000000"/>
                <w:sz w:val="22"/>
                <w:szCs w:val="22"/>
                <w:u w:val="none"/>
              </w:rPr>
            </w:pPr>
          </w:p>
        </w:tc>
      </w:tr>
      <w:tr w14:paraId="512A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8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A8A6CDF">
            <w:pPr>
              <w:jc w:val="left"/>
              <w:rPr>
                <w:rFonts w:hint="eastAsia" w:ascii="宋体" w:hAnsi="宋体" w:eastAsia="宋体" w:cs="宋体"/>
                <w:i w:val="0"/>
                <w:iCs w:val="0"/>
                <w:color w:val="000000"/>
                <w:sz w:val="22"/>
                <w:szCs w:val="22"/>
                <w:u w:val="none"/>
              </w:rPr>
            </w:pPr>
          </w:p>
        </w:tc>
      </w:tr>
      <w:tr w14:paraId="1253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4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F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5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7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1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5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E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D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4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3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A80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4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C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幼儿学生数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6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C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530E">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505">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281C">
            <w:pPr>
              <w:rPr>
                <w:rFonts w:hint="eastAsia" w:ascii="宋体" w:hAnsi="宋体" w:eastAsia="宋体" w:cs="宋体"/>
                <w:i w:val="0"/>
                <w:iCs w:val="0"/>
                <w:color w:val="000000"/>
                <w:sz w:val="22"/>
                <w:szCs w:val="22"/>
                <w:u w:val="none"/>
              </w:rPr>
            </w:pPr>
          </w:p>
        </w:tc>
      </w:tr>
      <w:tr w14:paraId="2B4A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C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C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政策知晓率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C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2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D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54A">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229F">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B454">
            <w:pPr>
              <w:rPr>
                <w:rFonts w:hint="eastAsia" w:ascii="宋体" w:hAnsi="宋体" w:eastAsia="宋体" w:cs="宋体"/>
                <w:i w:val="0"/>
                <w:iCs w:val="0"/>
                <w:color w:val="000000"/>
                <w:sz w:val="22"/>
                <w:szCs w:val="22"/>
                <w:u w:val="none"/>
              </w:rPr>
            </w:pPr>
          </w:p>
        </w:tc>
      </w:tr>
      <w:tr w14:paraId="673C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F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让每一位幼儿都能入学，减轻家庭经济负担</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A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DEA">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3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2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5DD6">
            <w:pP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BE2">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D05">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693">
            <w:pPr>
              <w:rPr>
                <w:rFonts w:hint="eastAsia" w:ascii="宋体" w:hAnsi="宋体" w:eastAsia="宋体" w:cs="宋体"/>
                <w:i w:val="0"/>
                <w:iCs w:val="0"/>
                <w:color w:val="000000"/>
                <w:sz w:val="22"/>
                <w:szCs w:val="22"/>
                <w:u w:val="none"/>
              </w:rPr>
            </w:pPr>
          </w:p>
        </w:tc>
      </w:tr>
      <w:tr w14:paraId="6850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1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帮扶对象满意度指标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学生家长满意度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4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8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2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B91C">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A4FF">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50E">
            <w:pPr>
              <w:rPr>
                <w:rFonts w:hint="eastAsia" w:ascii="宋体" w:hAnsi="宋体" w:eastAsia="宋体" w:cs="宋体"/>
                <w:i w:val="0"/>
                <w:iCs w:val="0"/>
                <w:color w:val="000000"/>
                <w:sz w:val="22"/>
                <w:szCs w:val="22"/>
                <w:u w:val="none"/>
              </w:rPr>
            </w:pPr>
          </w:p>
        </w:tc>
      </w:tr>
      <w:tr w14:paraId="06B1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5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1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每生每年</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C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6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5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8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1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39D">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F2E">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22F">
            <w:pPr>
              <w:rPr>
                <w:rFonts w:hint="eastAsia" w:ascii="宋体" w:hAnsi="宋体" w:eastAsia="宋体" w:cs="宋体"/>
                <w:i w:val="0"/>
                <w:iCs w:val="0"/>
                <w:color w:val="000000"/>
                <w:sz w:val="22"/>
                <w:szCs w:val="22"/>
                <w:u w:val="none"/>
              </w:rPr>
            </w:pPr>
          </w:p>
        </w:tc>
      </w:tr>
      <w:tr w14:paraId="05D2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E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C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C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D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30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98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6B1B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DC17">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63E">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2C17">
            <w:pP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175">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F1BB">
            <w:pP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2D92">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0956">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3AF">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E20D">
            <w:pP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F2B">
            <w:pP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AFCE">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AE8A">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9F07">
            <w:pPr>
              <w:rPr>
                <w:rFonts w:hint="eastAsia" w:ascii="宋体" w:hAnsi="宋体" w:eastAsia="宋体" w:cs="宋体"/>
                <w:i w:val="0"/>
                <w:iCs w:val="0"/>
                <w:color w:val="000000"/>
                <w:sz w:val="22"/>
                <w:szCs w:val="22"/>
                <w:u w:val="none"/>
              </w:rPr>
            </w:pPr>
          </w:p>
        </w:tc>
      </w:tr>
      <w:tr w14:paraId="5043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20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67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6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49F5AB01">
      <w:pPr>
        <w:spacing w:line="600" w:lineRule="exact"/>
        <w:jc w:val="center"/>
        <w:outlineLvl w:val="0"/>
        <w:rPr>
          <w:rFonts w:hint="eastAsia" w:ascii="黑体" w:hAnsi="黑体" w:eastAsia="黑体"/>
          <w:sz w:val="44"/>
          <w:szCs w:val="44"/>
        </w:rPr>
      </w:pPr>
    </w:p>
    <w:tbl>
      <w:tblPr>
        <w:tblStyle w:val="16"/>
        <w:tblW w:w="92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852"/>
        <w:gridCol w:w="965"/>
        <w:gridCol w:w="636"/>
        <w:gridCol w:w="625"/>
        <w:gridCol w:w="677"/>
        <w:gridCol w:w="874"/>
        <w:gridCol w:w="749"/>
        <w:gridCol w:w="546"/>
        <w:gridCol w:w="656"/>
        <w:gridCol w:w="546"/>
        <w:gridCol w:w="478"/>
        <w:gridCol w:w="749"/>
      </w:tblGrid>
      <w:tr w14:paraId="6E3E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9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4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3F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51113222T000000282153-公办幼儿园公用经费</w:t>
            </w:r>
          </w:p>
        </w:tc>
      </w:tr>
      <w:tr w14:paraId="54EC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B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9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89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A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EC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2387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9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9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7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A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06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13A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6B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8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D6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F8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23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3CBF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9ACFD">
            <w:pPr>
              <w:jc w:val="center"/>
              <w:rPr>
                <w:rFonts w:hint="eastAsia" w:ascii="宋体" w:hAnsi="宋体" w:eastAsia="宋体" w:cs="宋体"/>
                <w:i w:val="0"/>
                <w:iCs w:val="0"/>
                <w:color w:val="000000"/>
                <w:sz w:val="22"/>
                <w:szCs w:val="22"/>
                <w:u w:val="none"/>
              </w:rPr>
            </w:pP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2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A8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5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0DCE6">
            <w:pPr>
              <w:jc w:val="center"/>
              <w:rPr>
                <w:rFonts w:hint="eastAsia" w:ascii="宋体" w:hAnsi="宋体" w:eastAsia="宋体" w:cs="宋体"/>
                <w:i w:val="0"/>
                <w:iCs w:val="0"/>
                <w:color w:val="000000"/>
                <w:sz w:val="22"/>
                <w:szCs w:val="22"/>
                <w:u w:val="none"/>
              </w:rPr>
            </w:pPr>
          </w:p>
        </w:tc>
      </w:tr>
      <w:tr w14:paraId="092B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4A22">
            <w:pPr>
              <w:jc w:val="center"/>
              <w:rPr>
                <w:rFonts w:hint="eastAsia" w:ascii="宋体" w:hAnsi="宋体" w:eastAsia="宋体" w:cs="宋体"/>
                <w:i w:val="0"/>
                <w:iCs w:val="0"/>
                <w:color w:val="000000"/>
                <w:sz w:val="22"/>
                <w:szCs w:val="22"/>
                <w:u w:val="none"/>
              </w:rPr>
            </w:pP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5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D3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5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769BB">
            <w:pPr>
              <w:jc w:val="center"/>
              <w:rPr>
                <w:rFonts w:hint="eastAsia" w:ascii="宋体" w:hAnsi="宋体" w:eastAsia="宋体" w:cs="宋体"/>
                <w:i w:val="0"/>
                <w:iCs w:val="0"/>
                <w:color w:val="000000"/>
                <w:sz w:val="22"/>
                <w:szCs w:val="22"/>
                <w:u w:val="none"/>
              </w:rPr>
            </w:pPr>
          </w:p>
        </w:tc>
      </w:tr>
      <w:tr w14:paraId="69FB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2FAB">
            <w:pPr>
              <w:jc w:val="center"/>
              <w:rPr>
                <w:rFonts w:hint="eastAsia" w:ascii="宋体" w:hAnsi="宋体" w:eastAsia="宋体" w:cs="宋体"/>
                <w:i w:val="0"/>
                <w:iCs w:val="0"/>
                <w:color w:val="000000"/>
                <w:sz w:val="22"/>
                <w:szCs w:val="22"/>
                <w:u w:val="none"/>
              </w:rPr>
            </w:pP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5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E2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CC05B">
            <w:pPr>
              <w:jc w:val="center"/>
              <w:rPr>
                <w:rFonts w:hint="eastAsia" w:ascii="宋体" w:hAnsi="宋体" w:eastAsia="宋体" w:cs="宋体"/>
                <w:i w:val="0"/>
                <w:iCs w:val="0"/>
                <w:color w:val="000000"/>
                <w:sz w:val="22"/>
                <w:szCs w:val="22"/>
                <w:u w:val="none"/>
              </w:rPr>
            </w:pP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35F59">
            <w:pPr>
              <w:jc w:val="center"/>
              <w:rPr>
                <w:rFonts w:hint="eastAsia" w:ascii="宋体" w:hAnsi="宋体" w:eastAsia="宋体" w:cs="宋体"/>
                <w:i w:val="0"/>
                <w:iCs w:val="0"/>
                <w:color w:val="000000"/>
                <w:sz w:val="22"/>
                <w:szCs w:val="22"/>
                <w:u w:val="none"/>
              </w:rPr>
            </w:pPr>
          </w:p>
        </w:tc>
      </w:tr>
      <w:tr w14:paraId="498B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5279">
            <w:pPr>
              <w:jc w:val="center"/>
              <w:rPr>
                <w:rFonts w:hint="eastAsia" w:ascii="宋体" w:hAnsi="宋体" w:eastAsia="宋体" w:cs="宋体"/>
                <w:i w:val="0"/>
                <w:iCs w:val="0"/>
                <w:color w:val="000000"/>
                <w:sz w:val="22"/>
                <w:szCs w:val="22"/>
                <w:u w:val="none"/>
              </w:rPr>
            </w:pP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CC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02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94798">
            <w:pPr>
              <w:jc w:val="center"/>
              <w:rPr>
                <w:rFonts w:hint="eastAsia" w:ascii="宋体" w:hAnsi="宋体" w:eastAsia="宋体" w:cs="宋体"/>
                <w:i w:val="0"/>
                <w:iCs w:val="0"/>
                <w:color w:val="000000"/>
                <w:sz w:val="22"/>
                <w:szCs w:val="22"/>
                <w:u w:val="none"/>
              </w:rPr>
            </w:pP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D75C2">
            <w:pPr>
              <w:jc w:val="center"/>
              <w:rPr>
                <w:rFonts w:hint="eastAsia" w:ascii="宋体" w:hAnsi="宋体" w:eastAsia="宋体" w:cs="宋体"/>
                <w:i w:val="0"/>
                <w:iCs w:val="0"/>
                <w:color w:val="000000"/>
                <w:sz w:val="22"/>
                <w:szCs w:val="22"/>
                <w:u w:val="none"/>
              </w:rPr>
            </w:pPr>
          </w:p>
        </w:tc>
      </w:tr>
      <w:tr w14:paraId="598F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84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48AE64">
            <w:pPr>
              <w:jc w:val="left"/>
              <w:rPr>
                <w:rFonts w:hint="eastAsia" w:ascii="宋体" w:hAnsi="宋体" w:eastAsia="宋体" w:cs="宋体"/>
                <w:i w:val="0"/>
                <w:iCs w:val="0"/>
                <w:color w:val="000000"/>
                <w:sz w:val="22"/>
                <w:szCs w:val="22"/>
                <w:u w:val="none"/>
              </w:rPr>
            </w:pPr>
          </w:p>
        </w:tc>
      </w:tr>
      <w:tr w14:paraId="58BB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C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C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6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A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F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C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A0E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6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C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8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A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公办幼儿园在园数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7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1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105">
            <w:pPr>
              <w:rPr>
                <w:rFonts w:hint="eastAsia" w:ascii="宋体" w:hAnsi="宋体" w:eastAsia="宋体" w:cs="宋体"/>
                <w:i w:val="0"/>
                <w:iCs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94E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E55B">
            <w:pPr>
              <w:rPr>
                <w:rFonts w:hint="eastAsia" w:ascii="宋体" w:hAnsi="宋体" w:eastAsia="宋体" w:cs="宋体"/>
                <w:i w:val="0"/>
                <w:iCs w:val="0"/>
                <w:color w:val="000000"/>
                <w:sz w:val="22"/>
                <w:szCs w:val="22"/>
                <w:u w:val="none"/>
              </w:rPr>
            </w:pPr>
          </w:p>
        </w:tc>
      </w:tr>
      <w:tr w14:paraId="4C7E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E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B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1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9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CACD">
            <w:pPr>
              <w:rPr>
                <w:rFonts w:hint="eastAsia" w:ascii="宋体" w:hAnsi="宋体" w:eastAsia="宋体" w:cs="宋体"/>
                <w:i w:val="0"/>
                <w:iCs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E8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EBA6">
            <w:pPr>
              <w:rPr>
                <w:rFonts w:hint="eastAsia" w:ascii="宋体" w:hAnsi="宋体" w:eastAsia="宋体" w:cs="宋体"/>
                <w:i w:val="0"/>
                <w:iCs w:val="0"/>
                <w:color w:val="000000"/>
                <w:sz w:val="22"/>
                <w:szCs w:val="22"/>
                <w:u w:val="none"/>
              </w:rPr>
            </w:pPr>
          </w:p>
        </w:tc>
      </w:tr>
      <w:tr w14:paraId="18CF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4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F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1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保障学校正常运转，改善学前教育办学条件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A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E81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8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4791">
            <w:pPr>
              <w:rPr>
                <w:rFonts w:hint="eastAsia" w:ascii="宋体" w:hAnsi="宋体" w:eastAsia="宋体" w:cs="宋体"/>
                <w:i w:val="0"/>
                <w:iCs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B023">
            <w:pPr>
              <w:rPr>
                <w:rFonts w:hint="eastAsia" w:ascii="宋体" w:hAnsi="宋体" w:eastAsia="宋体" w:cs="宋体"/>
                <w:i w:val="0"/>
                <w:iCs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C74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09A">
            <w:pPr>
              <w:rPr>
                <w:rFonts w:hint="eastAsia" w:ascii="宋体" w:hAnsi="宋体" w:eastAsia="宋体" w:cs="宋体"/>
                <w:i w:val="0"/>
                <w:iCs w:val="0"/>
                <w:color w:val="000000"/>
                <w:sz w:val="22"/>
                <w:szCs w:val="22"/>
                <w:u w:val="none"/>
              </w:rPr>
            </w:pPr>
          </w:p>
        </w:tc>
      </w:tr>
      <w:tr w14:paraId="5E56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B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A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帮扶对象满意度指标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学生及家长满意度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3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1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F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A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804">
            <w:pPr>
              <w:rPr>
                <w:rFonts w:hint="eastAsia" w:ascii="宋体" w:hAnsi="宋体" w:eastAsia="宋体" w:cs="宋体"/>
                <w:i w:val="0"/>
                <w:iCs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49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7C8">
            <w:pPr>
              <w:rPr>
                <w:rFonts w:hint="eastAsia" w:ascii="宋体" w:hAnsi="宋体" w:eastAsia="宋体" w:cs="宋体"/>
                <w:i w:val="0"/>
                <w:iCs w:val="0"/>
                <w:color w:val="000000"/>
                <w:sz w:val="22"/>
                <w:szCs w:val="22"/>
                <w:u w:val="none"/>
              </w:rPr>
            </w:pPr>
          </w:p>
        </w:tc>
      </w:tr>
      <w:tr w14:paraId="3DC8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B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3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每生每年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4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1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E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F128">
            <w:pPr>
              <w:rPr>
                <w:rFonts w:hint="eastAsia" w:ascii="宋体" w:hAnsi="宋体" w:eastAsia="宋体" w:cs="宋体"/>
                <w:i w:val="0"/>
                <w:iCs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08C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61F5">
            <w:pPr>
              <w:rPr>
                <w:rFonts w:hint="eastAsia" w:ascii="宋体" w:hAnsi="宋体" w:eastAsia="宋体" w:cs="宋体"/>
                <w:i w:val="0"/>
                <w:iCs w:val="0"/>
                <w:color w:val="000000"/>
                <w:sz w:val="22"/>
                <w:szCs w:val="22"/>
                <w:u w:val="none"/>
              </w:rPr>
            </w:pPr>
          </w:p>
        </w:tc>
      </w:tr>
      <w:tr w14:paraId="175D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2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4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85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19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63DA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2EAA">
            <w:pPr>
              <w:jc w:val="center"/>
              <w:rPr>
                <w:rFonts w:hint="eastAsia" w:ascii="宋体" w:hAnsi="宋体" w:eastAsia="宋体" w:cs="宋体"/>
                <w:i w:val="0"/>
                <w:iCs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9EE6">
            <w:pP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E8A4">
            <w:pP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4D32">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594D">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B899">
            <w:pP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62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8C2">
            <w:pPr>
              <w:rPr>
                <w:rFonts w:hint="eastAsia" w:ascii="宋体" w:hAnsi="宋体" w:eastAsia="宋体" w:cs="宋体"/>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C48E">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D1C3">
            <w:pPr>
              <w:rPr>
                <w:rFonts w:hint="eastAsia" w:ascii="宋体" w:hAnsi="宋体" w:eastAsia="宋体" w:cs="宋体"/>
                <w:i w:val="0"/>
                <w:iCs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B561">
            <w:pPr>
              <w:rPr>
                <w:rFonts w:hint="eastAsia" w:ascii="宋体" w:hAnsi="宋体" w:eastAsia="宋体" w:cs="宋体"/>
                <w:i w:val="0"/>
                <w:iCs w:val="0"/>
                <w:color w:val="000000"/>
                <w:sz w:val="22"/>
                <w:szCs w:val="22"/>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E9E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5E4">
            <w:pPr>
              <w:rPr>
                <w:rFonts w:hint="eastAsia" w:ascii="宋体" w:hAnsi="宋体" w:eastAsia="宋体" w:cs="宋体"/>
                <w:i w:val="0"/>
                <w:iCs w:val="0"/>
                <w:color w:val="000000"/>
                <w:sz w:val="22"/>
                <w:szCs w:val="22"/>
                <w:u w:val="none"/>
              </w:rPr>
            </w:pPr>
          </w:p>
        </w:tc>
      </w:tr>
      <w:tr w14:paraId="38C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F7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64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A26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0E12D279">
      <w:pPr>
        <w:spacing w:line="600" w:lineRule="exact"/>
        <w:jc w:val="center"/>
        <w:outlineLvl w:val="0"/>
        <w:rPr>
          <w:rFonts w:hint="eastAsia" w:ascii="黑体" w:hAnsi="黑体" w:eastAsia="黑体"/>
          <w:sz w:val="44"/>
          <w:szCs w:val="44"/>
        </w:rPr>
      </w:pPr>
    </w:p>
    <w:tbl>
      <w:tblPr>
        <w:tblStyle w:val="16"/>
        <w:tblW w:w="9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755"/>
        <w:gridCol w:w="728"/>
        <w:gridCol w:w="769"/>
        <w:gridCol w:w="728"/>
        <w:gridCol w:w="796"/>
        <w:gridCol w:w="661"/>
        <w:gridCol w:w="701"/>
        <w:gridCol w:w="809"/>
        <w:gridCol w:w="716"/>
        <w:gridCol w:w="634"/>
        <w:gridCol w:w="527"/>
        <w:gridCol w:w="580"/>
      </w:tblGrid>
      <w:tr w14:paraId="5D2A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41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D04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51113222T000000282867-一村一幼营养餐补助</w:t>
            </w:r>
          </w:p>
        </w:tc>
      </w:tr>
      <w:tr w14:paraId="7B9B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2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95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39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A9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0526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6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C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9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39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B5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401A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64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D1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0D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F0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1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2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0D10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3EE0">
            <w:pPr>
              <w:jc w:val="center"/>
              <w:rPr>
                <w:rFonts w:hint="eastAsia" w:ascii="宋体" w:hAnsi="宋体" w:eastAsia="宋体" w:cs="宋体"/>
                <w:i w:val="0"/>
                <w:iCs w:val="0"/>
                <w:color w:val="000000"/>
                <w:sz w:val="22"/>
                <w:szCs w:val="22"/>
                <w:u w:val="none"/>
              </w:rPr>
            </w:pP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45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04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122380</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0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53341.81</w:t>
            </w:r>
          </w:p>
        </w:tc>
        <w:tc>
          <w:tcPr>
            <w:tcW w:w="1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92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43.59%</w:t>
            </w:r>
          </w:p>
        </w:tc>
      </w:tr>
      <w:tr w14:paraId="0AD7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F54C">
            <w:pPr>
              <w:jc w:val="center"/>
              <w:rPr>
                <w:rFonts w:hint="eastAsia" w:ascii="宋体" w:hAnsi="宋体" w:eastAsia="宋体" w:cs="宋体"/>
                <w:i w:val="0"/>
                <w:iCs w:val="0"/>
                <w:color w:val="000000"/>
                <w:sz w:val="22"/>
                <w:szCs w:val="22"/>
                <w:u w:val="none"/>
              </w:rPr>
            </w:pP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94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30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122380</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31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53341.81</w:t>
            </w:r>
          </w:p>
        </w:tc>
        <w:tc>
          <w:tcPr>
            <w:tcW w:w="1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74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43.59%</w:t>
            </w:r>
          </w:p>
        </w:tc>
      </w:tr>
      <w:tr w14:paraId="660A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4DE1">
            <w:pPr>
              <w:jc w:val="center"/>
              <w:rPr>
                <w:rFonts w:hint="eastAsia" w:ascii="宋体" w:hAnsi="宋体" w:eastAsia="宋体" w:cs="宋体"/>
                <w:i w:val="0"/>
                <w:iCs w:val="0"/>
                <w:color w:val="000000"/>
                <w:sz w:val="22"/>
                <w:szCs w:val="22"/>
                <w:u w:val="none"/>
              </w:rPr>
            </w:pP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76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D75D6">
            <w:pPr>
              <w:jc w:val="center"/>
              <w:rPr>
                <w:rFonts w:hint="eastAsia" w:ascii="宋体" w:hAnsi="宋体" w:eastAsia="宋体" w:cs="宋体"/>
                <w:i w:val="0"/>
                <w:iCs w:val="0"/>
                <w:color w:val="000000"/>
                <w:sz w:val="22"/>
                <w:szCs w:val="22"/>
                <w:u w:val="none"/>
              </w:rPr>
            </w:pPr>
          </w:p>
        </w:tc>
        <w:tc>
          <w:tcPr>
            <w:tcW w:w="1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24C7E">
            <w:pPr>
              <w:jc w:val="center"/>
              <w:rPr>
                <w:rFonts w:hint="eastAsia" w:ascii="宋体" w:hAnsi="宋体" w:eastAsia="宋体" w:cs="宋体"/>
                <w:i w:val="0"/>
                <w:iCs w:val="0"/>
                <w:color w:val="000000"/>
                <w:sz w:val="22"/>
                <w:szCs w:val="22"/>
                <w:u w:val="none"/>
              </w:rPr>
            </w:pPr>
          </w:p>
        </w:tc>
      </w:tr>
      <w:tr w14:paraId="718E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AA06">
            <w:pPr>
              <w:jc w:val="center"/>
              <w:rPr>
                <w:rFonts w:hint="eastAsia" w:ascii="宋体" w:hAnsi="宋体" w:eastAsia="宋体" w:cs="宋体"/>
                <w:i w:val="0"/>
                <w:iCs w:val="0"/>
                <w:color w:val="000000"/>
                <w:sz w:val="22"/>
                <w:szCs w:val="22"/>
                <w:u w:val="none"/>
              </w:rPr>
            </w:pP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EB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3F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25EDD">
            <w:pPr>
              <w:jc w:val="center"/>
              <w:rPr>
                <w:rFonts w:hint="eastAsia" w:ascii="宋体" w:hAnsi="宋体" w:eastAsia="宋体" w:cs="宋体"/>
                <w:i w:val="0"/>
                <w:iCs w:val="0"/>
                <w:color w:val="000000"/>
                <w:sz w:val="22"/>
                <w:szCs w:val="22"/>
                <w:u w:val="none"/>
              </w:rPr>
            </w:pPr>
          </w:p>
        </w:tc>
        <w:tc>
          <w:tcPr>
            <w:tcW w:w="1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85C90">
            <w:pPr>
              <w:jc w:val="center"/>
              <w:rPr>
                <w:rFonts w:hint="eastAsia" w:ascii="宋体" w:hAnsi="宋体" w:eastAsia="宋体" w:cs="宋体"/>
                <w:i w:val="0"/>
                <w:iCs w:val="0"/>
                <w:color w:val="000000"/>
                <w:sz w:val="22"/>
                <w:szCs w:val="22"/>
                <w:u w:val="none"/>
              </w:rPr>
            </w:pPr>
          </w:p>
        </w:tc>
      </w:tr>
      <w:tr w14:paraId="598B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9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841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D6A58B">
            <w:pPr>
              <w:jc w:val="left"/>
              <w:rPr>
                <w:rFonts w:hint="eastAsia" w:ascii="宋体" w:hAnsi="宋体" w:eastAsia="宋体" w:cs="宋体"/>
                <w:i w:val="0"/>
                <w:iCs w:val="0"/>
                <w:color w:val="000000"/>
                <w:sz w:val="22"/>
                <w:szCs w:val="22"/>
                <w:u w:val="none"/>
              </w:rPr>
            </w:pPr>
          </w:p>
        </w:tc>
      </w:tr>
      <w:tr w14:paraId="6605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8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F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F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3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ACA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0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3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D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8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E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2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8CEC">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51C">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FFE">
            <w:pPr>
              <w:rPr>
                <w:rFonts w:hint="eastAsia" w:ascii="宋体" w:hAnsi="宋体" w:eastAsia="宋体" w:cs="宋体"/>
                <w:i w:val="0"/>
                <w:iCs w:val="0"/>
                <w:color w:val="000000"/>
                <w:sz w:val="22"/>
                <w:szCs w:val="22"/>
                <w:u w:val="none"/>
              </w:rPr>
            </w:pPr>
          </w:p>
        </w:tc>
      </w:tr>
      <w:tr w14:paraId="0F0D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0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2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供应营养质量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3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7C7C">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F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B78E">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5627">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3FCB">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F08E">
            <w:pPr>
              <w:rPr>
                <w:rFonts w:hint="eastAsia" w:ascii="宋体" w:hAnsi="宋体" w:eastAsia="宋体" w:cs="宋体"/>
                <w:i w:val="0"/>
                <w:iCs w:val="0"/>
                <w:color w:val="000000"/>
                <w:sz w:val="22"/>
                <w:szCs w:val="22"/>
                <w:u w:val="none"/>
              </w:rPr>
            </w:pPr>
          </w:p>
        </w:tc>
      </w:tr>
      <w:tr w14:paraId="0F2B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3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B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F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减轻困难家庭经济负担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2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3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57F0">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A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D525">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5A7">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013">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368">
            <w:pPr>
              <w:rPr>
                <w:rFonts w:hint="eastAsia" w:ascii="宋体" w:hAnsi="宋体" w:eastAsia="宋体" w:cs="宋体"/>
                <w:i w:val="0"/>
                <w:iCs w:val="0"/>
                <w:color w:val="000000"/>
                <w:sz w:val="22"/>
                <w:szCs w:val="22"/>
                <w:u w:val="none"/>
              </w:rPr>
            </w:pPr>
          </w:p>
        </w:tc>
      </w:tr>
      <w:tr w14:paraId="5401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学生及家长满意度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E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B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2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8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EEB5">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F043">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E90">
            <w:pPr>
              <w:rPr>
                <w:rFonts w:hint="eastAsia" w:ascii="宋体" w:hAnsi="宋体" w:eastAsia="宋体" w:cs="宋体"/>
                <w:i w:val="0"/>
                <w:iCs w:val="0"/>
                <w:color w:val="000000"/>
                <w:sz w:val="22"/>
                <w:szCs w:val="22"/>
                <w:u w:val="none"/>
              </w:rPr>
            </w:pPr>
          </w:p>
        </w:tc>
      </w:tr>
      <w:tr w14:paraId="62B0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2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D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补助标准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7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D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6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3F1">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0BC">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FD6">
            <w:pPr>
              <w:rPr>
                <w:rFonts w:hint="eastAsia" w:ascii="宋体" w:hAnsi="宋体" w:eastAsia="宋体" w:cs="宋体"/>
                <w:i w:val="0"/>
                <w:iCs w:val="0"/>
                <w:color w:val="000000"/>
                <w:sz w:val="22"/>
                <w:szCs w:val="22"/>
                <w:u w:val="none"/>
              </w:rPr>
            </w:pPr>
          </w:p>
        </w:tc>
      </w:tr>
      <w:tr w14:paraId="19A8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D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CB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1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0F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0878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815D">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DC3">
            <w:pPr>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0B03">
            <w:pPr>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A524">
            <w:pPr>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E38">
            <w:pP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9AA">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7C37">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63F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7BBA">
            <w:pP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402">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75DA">
            <w:pPr>
              <w:rPr>
                <w:rFonts w:hint="eastAsia" w:ascii="宋体" w:hAnsi="宋体" w:eastAsia="宋体" w:cs="宋体"/>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B0D7">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5D7C">
            <w:pPr>
              <w:rPr>
                <w:rFonts w:hint="eastAsia" w:ascii="宋体" w:hAnsi="宋体" w:eastAsia="宋体" w:cs="宋体"/>
                <w:i w:val="0"/>
                <w:iCs w:val="0"/>
                <w:color w:val="000000"/>
                <w:sz w:val="22"/>
                <w:szCs w:val="22"/>
                <w:u w:val="none"/>
              </w:rPr>
            </w:pPr>
          </w:p>
        </w:tc>
      </w:tr>
      <w:tr w14:paraId="4BE2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45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69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A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24348DD1">
      <w:pPr>
        <w:spacing w:line="600" w:lineRule="exact"/>
        <w:jc w:val="center"/>
        <w:outlineLvl w:val="0"/>
        <w:rPr>
          <w:rFonts w:hint="eastAsia" w:ascii="黑体" w:hAnsi="黑体" w:eastAsia="黑体"/>
          <w:sz w:val="44"/>
          <w:szCs w:val="44"/>
        </w:rPr>
      </w:pPr>
    </w:p>
    <w:tbl>
      <w:tblPr>
        <w:tblStyle w:val="16"/>
        <w:tblW w:w="93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715"/>
        <w:gridCol w:w="916"/>
        <w:gridCol w:w="823"/>
        <w:gridCol w:w="661"/>
        <w:gridCol w:w="701"/>
        <w:gridCol w:w="701"/>
        <w:gridCol w:w="580"/>
        <w:gridCol w:w="662"/>
        <w:gridCol w:w="675"/>
        <w:gridCol w:w="593"/>
        <w:gridCol w:w="634"/>
        <w:gridCol w:w="810"/>
      </w:tblGrid>
      <w:tr w14:paraId="0EB5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4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3F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51113222T000000282984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村幼辅导员及代课教师生活补助</w:t>
            </w:r>
          </w:p>
        </w:tc>
      </w:tr>
      <w:tr w14:paraId="4CE6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6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8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3A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7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39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DDA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302E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4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8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3B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39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5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5820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1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96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98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DD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89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4F58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5BF9">
            <w:pPr>
              <w:jc w:val="center"/>
              <w:rPr>
                <w:rFonts w:hint="eastAsia" w:ascii="宋体" w:hAnsi="宋体" w:eastAsia="宋体" w:cs="宋体"/>
                <w:i w:val="0"/>
                <w:iCs w:val="0"/>
                <w:color w:val="000000"/>
                <w:sz w:val="22"/>
                <w:szCs w:val="22"/>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E5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7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982709.05</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E3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609744.89</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D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w:t>
            </w:r>
          </w:p>
        </w:tc>
      </w:tr>
      <w:tr w14:paraId="2561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9E43">
            <w:pPr>
              <w:jc w:val="center"/>
              <w:rPr>
                <w:rFonts w:hint="eastAsia" w:ascii="宋体" w:hAnsi="宋体" w:eastAsia="宋体" w:cs="宋体"/>
                <w:i w:val="0"/>
                <w:iCs w:val="0"/>
                <w:color w:val="000000"/>
                <w:sz w:val="22"/>
                <w:szCs w:val="22"/>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D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5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982709.05</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CC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609744.89</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9D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w:t>
            </w:r>
          </w:p>
        </w:tc>
      </w:tr>
      <w:tr w14:paraId="0E9B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8203">
            <w:pPr>
              <w:jc w:val="center"/>
              <w:rPr>
                <w:rFonts w:hint="eastAsia" w:ascii="宋体" w:hAnsi="宋体" w:eastAsia="宋体" w:cs="宋体"/>
                <w:i w:val="0"/>
                <w:iCs w:val="0"/>
                <w:color w:val="000000"/>
                <w:sz w:val="22"/>
                <w:szCs w:val="22"/>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19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4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9C0AD">
            <w:pPr>
              <w:jc w:val="center"/>
              <w:rPr>
                <w:rFonts w:hint="eastAsia" w:ascii="宋体" w:hAnsi="宋体" w:eastAsia="宋体" w:cs="宋体"/>
                <w:i w:val="0"/>
                <w:iCs w:val="0"/>
                <w:color w:val="000000"/>
                <w:sz w:val="22"/>
                <w:szCs w:val="22"/>
                <w:u w:val="none"/>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8FF19">
            <w:pPr>
              <w:jc w:val="center"/>
              <w:rPr>
                <w:rFonts w:hint="eastAsia" w:ascii="宋体" w:hAnsi="宋体" w:eastAsia="宋体" w:cs="宋体"/>
                <w:i w:val="0"/>
                <w:iCs w:val="0"/>
                <w:color w:val="000000"/>
                <w:sz w:val="22"/>
                <w:szCs w:val="22"/>
                <w:u w:val="none"/>
              </w:rPr>
            </w:pPr>
          </w:p>
        </w:tc>
      </w:tr>
      <w:tr w14:paraId="70F3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42A0">
            <w:pPr>
              <w:jc w:val="center"/>
              <w:rPr>
                <w:rFonts w:hint="eastAsia" w:ascii="宋体" w:hAnsi="宋体" w:eastAsia="宋体" w:cs="宋体"/>
                <w:i w:val="0"/>
                <w:iCs w:val="0"/>
                <w:color w:val="000000"/>
                <w:sz w:val="22"/>
                <w:szCs w:val="22"/>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E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97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66E02">
            <w:pPr>
              <w:jc w:val="center"/>
              <w:rPr>
                <w:rFonts w:hint="eastAsia" w:ascii="宋体" w:hAnsi="宋体" w:eastAsia="宋体" w:cs="宋体"/>
                <w:i w:val="0"/>
                <w:iCs w:val="0"/>
                <w:color w:val="000000"/>
                <w:sz w:val="22"/>
                <w:szCs w:val="22"/>
                <w:u w:val="none"/>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36BD4">
            <w:pPr>
              <w:jc w:val="center"/>
              <w:rPr>
                <w:rFonts w:hint="eastAsia" w:ascii="宋体" w:hAnsi="宋体" w:eastAsia="宋体" w:cs="宋体"/>
                <w:i w:val="0"/>
                <w:iCs w:val="0"/>
                <w:color w:val="000000"/>
                <w:sz w:val="22"/>
                <w:szCs w:val="22"/>
                <w:u w:val="none"/>
              </w:rPr>
            </w:pPr>
          </w:p>
        </w:tc>
      </w:tr>
      <w:tr w14:paraId="79DC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848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56DD7E3">
            <w:pPr>
              <w:jc w:val="left"/>
              <w:rPr>
                <w:rFonts w:hint="eastAsia" w:ascii="宋体" w:hAnsi="宋体" w:eastAsia="宋体" w:cs="宋体"/>
                <w:i w:val="0"/>
                <w:iCs w:val="0"/>
                <w:color w:val="000000"/>
                <w:sz w:val="22"/>
                <w:szCs w:val="22"/>
                <w:u w:val="none"/>
              </w:rPr>
            </w:pPr>
          </w:p>
        </w:tc>
      </w:tr>
      <w:tr w14:paraId="7910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6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4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9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1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5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8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D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6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DBD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B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村幼辅导员人数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7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0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6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7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E181">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72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306A">
            <w:pPr>
              <w:rPr>
                <w:rFonts w:hint="eastAsia" w:ascii="宋体" w:hAnsi="宋体" w:eastAsia="宋体" w:cs="宋体"/>
                <w:i w:val="0"/>
                <w:iCs w:val="0"/>
                <w:color w:val="000000"/>
                <w:sz w:val="22"/>
                <w:szCs w:val="22"/>
                <w:u w:val="none"/>
              </w:rPr>
            </w:pPr>
          </w:p>
        </w:tc>
      </w:tr>
      <w:tr w14:paraId="4BA0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C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8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工资发放率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5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F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C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D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9C7">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5C0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4867">
            <w:pPr>
              <w:rPr>
                <w:rFonts w:hint="eastAsia" w:ascii="宋体" w:hAnsi="宋体" w:eastAsia="宋体" w:cs="宋体"/>
                <w:i w:val="0"/>
                <w:iCs w:val="0"/>
                <w:color w:val="000000"/>
                <w:sz w:val="22"/>
                <w:szCs w:val="22"/>
                <w:u w:val="none"/>
              </w:rPr>
            </w:pPr>
          </w:p>
        </w:tc>
      </w:tr>
      <w:tr w14:paraId="6301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5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0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推进学前教育办学水平</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C97">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2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6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E850">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0782">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6EA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8532">
            <w:pPr>
              <w:rPr>
                <w:rFonts w:hint="eastAsia" w:ascii="宋体" w:hAnsi="宋体" w:eastAsia="宋体" w:cs="宋体"/>
                <w:i w:val="0"/>
                <w:iCs w:val="0"/>
                <w:color w:val="000000"/>
                <w:sz w:val="22"/>
                <w:szCs w:val="22"/>
                <w:u w:val="none"/>
              </w:rPr>
            </w:pPr>
          </w:p>
        </w:tc>
      </w:tr>
      <w:tr w14:paraId="4EE3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7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A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学生及家长满意度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6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B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D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3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28A8">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C5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5C39">
            <w:pPr>
              <w:rPr>
                <w:rFonts w:hint="eastAsia" w:ascii="宋体" w:hAnsi="宋体" w:eastAsia="宋体" w:cs="宋体"/>
                <w:i w:val="0"/>
                <w:iCs w:val="0"/>
                <w:color w:val="000000"/>
                <w:sz w:val="22"/>
                <w:szCs w:val="22"/>
                <w:u w:val="none"/>
              </w:rPr>
            </w:pPr>
          </w:p>
        </w:tc>
      </w:tr>
      <w:tr w14:paraId="4683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3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每年每人工资标准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F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3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1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838">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A8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C0C1">
            <w:pPr>
              <w:rPr>
                <w:rFonts w:hint="eastAsia" w:ascii="宋体" w:hAnsi="宋体" w:eastAsia="宋体" w:cs="宋体"/>
                <w:i w:val="0"/>
                <w:iCs w:val="0"/>
                <w:color w:val="000000"/>
                <w:sz w:val="22"/>
                <w:szCs w:val="22"/>
                <w:u w:val="none"/>
              </w:rPr>
            </w:pPr>
          </w:p>
        </w:tc>
      </w:tr>
      <w:tr w14:paraId="5962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D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2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1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6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429D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90B8">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FD7">
            <w:pPr>
              <w:rPr>
                <w:rFonts w:hint="eastAsia" w:ascii="宋体" w:hAnsi="宋体" w:eastAsia="宋体" w:cs="宋体"/>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AA7">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B560">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DE70">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ADBA">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4AA">
            <w:pPr>
              <w:rPr>
                <w:rFonts w:hint="eastAsia" w:ascii="宋体" w:hAnsi="宋体" w:eastAsia="宋体" w:cs="宋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CC8">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81E">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8B0">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D3A0">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04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2B41">
            <w:pPr>
              <w:rPr>
                <w:rFonts w:hint="eastAsia" w:ascii="宋体" w:hAnsi="宋体" w:eastAsia="宋体" w:cs="宋体"/>
                <w:i w:val="0"/>
                <w:iCs w:val="0"/>
                <w:color w:val="000000"/>
                <w:sz w:val="22"/>
                <w:szCs w:val="22"/>
                <w:u w:val="none"/>
              </w:rPr>
            </w:pPr>
          </w:p>
        </w:tc>
      </w:tr>
      <w:tr w14:paraId="09D8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56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68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2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019FB86A">
      <w:pPr>
        <w:spacing w:line="600" w:lineRule="exact"/>
        <w:jc w:val="center"/>
        <w:outlineLvl w:val="0"/>
        <w:rPr>
          <w:rFonts w:hint="eastAsia" w:ascii="黑体" w:hAnsi="黑体" w:eastAsia="黑体"/>
          <w:sz w:val="44"/>
          <w:szCs w:val="44"/>
        </w:rPr>
      </w:pPr>
    </w:p>
    <w:tbl>
      <w:tblPr>
        <w:tblStyle w:val="16"/>
        <w:tblW w:w="93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724"/>
        <w:gridCol w:w="671"/>
        <w:gridCol w:w="671"/>
        <w:gridCol w:w="738"/>
        <w:gridCol w:w="673"/>
        <w:gridCol w:w="750"/>
        <w:gridCol w:w="711"/>
        <w:gridCol w:w="726"/>
        <w:gridCol w:w="656"/>
        <w:gridCol w:w="738"/>
        <w:gridCol w:w="591"/>
        <w:gridCol w:w="804"/>
      </w:tblGrid>
      <w:tr w14:paraId="4D74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B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45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CF4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51113222T000000282994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义务教育营养改善计划</w:t>
            </w:r>
          </w:p>
        </w:tc>
      </w:tr>
      <w:tr w14:paraId="1E75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C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9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B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AC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77CE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5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86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6FB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7840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1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E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B3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9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D7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6718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B367">
            <w:pPr>
              <w:jc w:val="center"/>
              <w:rPr>
                <w:rFonts w:hint="eastAsia" w:ascii="宋体" w:hAnsi="宋体" w:eastAsia="宋体" w:cs="宋体"/>
                <w:i w:val="0"/>
                <w:iCs w:val="0"/>
                <w:color w:val="000000"/>
                <w:sz w:val="22"/>
                <w:szCs w:val="22"/>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1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97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321196.8</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95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274165.00</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9A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85.36%</w:t>
            </w:r>
          </w:p>
        </w:tc>
      </w:tr>
      <w:tr w14:paraId="6939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92CC">
            <w:pPr>
              <w:jc w:val="center"/>
              <w:rPr>
                <w:rFonts w:hint="eastAsia" w:ascii="宋体" w:hAnsi="宋体" w:eastAsia="宋体" w:cs="宋体"/>
                <w:i w:val="0"/>
                <w:iCs w:val="0"/>
                <w:color w:val="000000"/>
                <w:sz w:val="22"/>
                <w:szCs w:val="22"/>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C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B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321196.8</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66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274165.00</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D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85.36%</w:t>
            </w:r>
          </w:p>
        </w:tc>
      </w:tr>
      <w:tr w14:paraId="62C7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5B8C">
            <w:pPr>
              <w:jc w:val="center"/>
              <w:rPr>
                <w:rFonts w:hint="eastAsia" w:ascii="宋体" w:hAnsi="宋体" w:eastAsia="宋体" w:cs="宋体"/>
                <w:i w:val="0"/>
                <w:iCs w:val="0"/>
                <w:color w:val="000000"/>
                <w:sz w:val="22"/>
                <w:szCs w:val="22"/>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3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EE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38087">
            <w:pPr>
              <w:jc w:val="center"/>
              <w:rPr>
                <w:rFonts w:hint="eastAsia" w:ascii="宋体" w:hAnsi="宋体" w:eastAsia="宋体" w:cs="宋体"/>
                <w:i w:val="0"/>
                <w:iCs w:val="0"/>
                <w:color w:val="000000"/>
                <w:sz w:val="22"/>
                <w:szCs w:val="22"/>
                <w:u w:val="none"/>
              </w:rPr>
            </w:pP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F3FEB">
            <w:pPr>
              <w:jc w:val="center"/>
              <w:rPr>
                <w:rFonts w:hint="eastAsia" w:ascii="宋体" w:hAnsi="宋体" w:eastAsia="宋体" w:cs="宋体"/>
                <w:i w:val="0"/>
                <w:iCs w:val="0"/>
                <w:color w:val="000000"/>
                <w:sz w:val="22"/>
                <w:szCs w:val="22"/>
                <w:u w:val="none"/>
              </w:rPr>
            </w:pPr>
          </w:p>
        </w:tc>
      </w:tr>
      <w:tr w14:paraId="14F5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1D72">
            <w:pPr>
              <w:jc w:val="center"/>
              <w:rPr>
                <w:rFonts w:hint="eastAsia" w:ascii="宋体" w:hAnsi="宋体" w:eastAsia="宋体" w:cs="宋体"/>
                <w:i w:val="0"/>
                <w:iCs w:val="0"/>
                <w:color w:val="000000"/>
                <w:sz w:val="22"/>
                <w:szCs w:val="22"/>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F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D596B">
            <w:pPr>
              <w:jc w:val="center"/>
              <w:rPr>
                <w:rFonts w:hint="eastAsia" w:ascii="宋体" w:hAnsi="宋体" w:eastAsia="宋体" w:cs="宋体"/>
                <w:i w:val="0"/>
                <w:iCs w:val="0"/>
                <w:color w:val="000000"/>
                <w:sz w:val="22"/>
                <w:szCs w:val="22"/>
                <w:u w:val="none"/>
              </w:rPr>
            </w:pP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19C8D">
            <w:pPr>
              <w:jc w:val="center"/>
              <w:rPr>
                <w:rFonts w:hint="eastAsia" w:ascii="宋体" w:hAnsi="宋体" w:eastAsia="宋体" w:cs="宋体"/>
                <w:i w:val="0"/>
                <w:iCs w:val="0"/>
                <w:color w:val="000000"/>
                <w:sz w:val="22"/>
                <w:szCs w:val="22"/>
                <w:u w:val="none"/>
              </w:rPr>
            </w:pPr>
          </w:p>
        </w:tc>
      </w:tr>
      <w:tr w14:paraId="0D43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8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845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C29156">
            <w:pPr>
              <w:jc w:val="left"/>
              <w:rPr>
                <w:rFonts w:hint="eastAsia" w:ascii="宋体" w:hAnsi="宋体" w:eastAsia="宋体" w:cs="宋体"/>
                <w:i w:val="0"/>
                <w:iCs w:val="0"/>
                <w:color w:val="000000"/>
                <w:sz w:val="22"/>
                <w:szCs w:val="22"/>
                <w:u w:val="none"/>
              </w:rPr>
            </w:pPr>
          </w:p>
        </w:tc>
      </w:tr>
      <w:tr w14:paraId="77BF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6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D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C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7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4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1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E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373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1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3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9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学生人数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C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0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2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1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D073">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B58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342">
            <w:pPr>
              <w:rPr>
                <w:rFonts w:hint="eastAsia" w:ascii="宋体" w:hAnsi="宋体" w:eastAsia="宋体" w:cs="宋体"/>
                <w:i w:val="0"/>
                <w:iCs w:val="0"/>
                <w:color w:val="000000"/>
                <w:sz w:val="22"/>
                <w:szCs w:val="22"/>
                <w:u w:val="none"/>
              </w:rPr>
            </w:pPr>
          </w:p>
        </w:tc>
      </w:tr>
      <w:tr w14:paraId="008B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C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E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7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4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F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4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8A2">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30B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0B6">
            <w:pPr>
              <w:rPr>
                <w:rFonts w:hint="eastAsia" w:ascii="宋体" w:hAnsi="宋体" w:eastAsia="宋体" w:cs="宋体"/>
                <w:i w:val="0"/>
                <w:iCs w:val="0"/>
                <w:color w:val="000000"/>
                <w:sz w:val="22"/>
                <w:szCs w:val="22"/>
                <w:u w:val="none"/>
              </w:rPr>
            </w:pPr>
          </w:p>
        </w:tc>
      </w:tr>
      <w:tr w14:paraId="77D0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F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6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D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提升学生体质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4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CEA">
            <w:pP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2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582D">
            <w:pP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C38">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CA8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AA25">
            <w:pPr>
              <w:rPr>
                <w:rFonts w:hint="eastAsia" w:ascii="宋体" w:hAnsi="宋体" w:eastAsia="宋体" w:cs="宋体"/>
                <w:i w:val="0"/>
                <w:iCs w:val="0"/>
                <w:color w:val="000000"/>
                <w:sz w:val="22"/>
                <w:szCs w:val="22"/>
                <w:u w:val="none"/>
              </w:rPr>
            </w:pPr>
          </w:p>
        </w:tc>
      </w:tr>
      <w:tr w14:paraId="50FB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7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1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1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9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学生及家长满意度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6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7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8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474C">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DD3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3BB3">
            <w:pPr>
              <w:rPr>
                <w:rFonts w:hint="eastAsia" w:ascii="宋体" w:hAnsi="宋体" w:eastAsia="宋体" w:cs="宋体"/>
                <w:i w:val="0"/>
                <w:iCs w:val="0"/>
                <w:color w:val="000000"/>
                <w:sz w:val="22"/>
                <w:szCs w:val="22"/>
                <w:u w:val="none"/>
              </w:rPr>
            </w:pPr>
          </w:p>
        </w:tc>
      </w:tr>
      <w:tr w14:paraId="065D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6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完成所需资金</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8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8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B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9B56">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911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7482">
            <w:pPr>
              <w:rPr>
                <w:rFonts w:hint="eastAsia" w:ascii="宋体" w:hAnsi="宋体" w:eastAsia="宋体" w:cs="宋体"/>
                <w:i w:val="0"/>
                <w:iCs w:val="0"/>
                <w:color w:val="000000"/>
                <w:sz w:val="22"/>
                <w:szCs w:val="22"/>
                <w:u w:val="none"/>
              </w:rPr>
            </w:pPr>
          </w:p>
        </w:tc>
      </w:tr>
      <w:tr w14:paraId="5572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B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4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B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82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88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156B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FBF5">
            <w:pPr>
              <w:jc w:val="center"/>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F8DB">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FCA">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823C">
            <w:pP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7A9">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D07E">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C97C">
            <w:pP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0BE4">
            <w:pPr>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BA2">
            <w:pPr>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E8F9">
            <w:pP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0C3A">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725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6A1">
            <w:pPr>
              <w:rPr>
                <w:rFonts w:hint="eastAsia" w:ascii="宋体" w:hAnsi="宋体" w:eastAsia="宋体" w:cs="宋体"/>
                <w:i w:val="0"/>
                <w:iCs w:val="0"/>
                <w:color w:val="000000"/>
                <w:sz w:val="22"/>
                <w:szCs w:val="22"/>
                <w:u w:val="none"/>
              </w:rPr>
            </w:pPr>
          </w:p>
        </w:tc>
      </w:tr>
      <w:tr w14:paraId="1E07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0C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7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EFA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5976929B">
      <w:pPr>
        <w:spacing w:line="600" w:lineRule="exact"/>
        <w:jc w:val="center"/>
        <w:outlineLvl w:val="0"/>
        <w:rPr>
          <w:rFonts w:hint="eastAsia" w:ascii="黑体" w:hAnsi="黑体" w:eastAsia="黑体"/>
          <w:sz w:val="44"/>
          <w:szCs w:val="44"/>
        </w:rPr>
      </w:pPr>
    </w:p>
    <w:tbl>
      <w:tblPr>
        <w:tblStyle w:val="16"/>
        <w:tblW w:w="90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605"/>
        <w:gridCol w:w="619"/>
        <w:gridCol w:w="776"/>
        <w:gridCol w:w="684"/>
        <w:gridCol w:w="751"/>
        <w:gridCol w:w="657"/>
        <w:gridCol w:w="579"/>
        <w:gridCol w:w="646"/>
        <w:gridCol w:w="791"/>
        <w:gridCol w:w="645"/>
        <w:gridCol w:w="658"/>
        <w:gridCol w:w="792"/>
      </w:tblGrid>
      <w:tr w14:paraId="3691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1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B14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51113222T000005585431-义务教育公用经费</w:t>
            </w:r>
          </w:p>
        </w:tc>
      </w:tr>
      <w:tr w14:paraId="03F4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3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4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E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9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4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9D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3190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4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7D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B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4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5E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558D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60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2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A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08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73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B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3ACE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93DC">
            <w:pPr>
              <w:jc w:val="center"/>
              <w:rPr>
                <w:rFonts w:hint="eastAsia" w:ascii="宋体" w:hAnsi="宋体" w:eastAsia="宋体" w:cs="宋体"/>
                <w:i w:val="0"/>
                <w:iCs w:val="0"/>
                <w:color w:val="000000"/>
                <w:sz w:val="22"/>
                <w:szCs w:val="22"/>
                <w:u w:val="none"/>
              </w:rPr>
            </w:pPr>
          </w:p>
        </w:tc>
        <w:tc>
          <w:tcPr>
            <w:tcW w:w="2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F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D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603360</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DC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406435.86</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96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67.36%</w:t>
            </w:r>
          </w:p>
        </w:tc>
      </w:tr>
      <w:tr w14:paraId="4181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655D">
            <w:pPr>
              <w:jc w:val="center"/>
              <w:rPr>
                <w:rFonts w:hint="eastAsia" w:ascii="宋体" w:hAnsi="宋体" w:eastAsia="宋体" w:cs="宋体"/>
                <w:i w:val="0"/>
                <w:iCs w:val="0"/>
                <w:color w:val="000000"/>
                <w:sz w:val="22"/>
                <w:szCs w:val="22"/>
                <w:u w:val="none"/>
              </w:rPr>
            </w:pPr>
          </w:p>
        </w:tc>
        <w:tc>
          <w:tcPr>
            <w:tcW w:w="2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BC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A9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603360</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7F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406435.86</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1D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67.36%</w:t>
            </w:r>
          </w:p>
        </w:tc>
      </w:tr>
      <w:tr w14:paraId="61DC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BB528">
            <w:pPr>
              <w:jc w:val="center"/>
              <w:rPr>
                <w:rFonts w:hint="eastAsia" w:ascii="宋体" w:hAnsi="宋体" w:eastAsia="宋体" w:cs="宋体"/>
                <w:i w:val="0"/>
                <w:iCs w:val="0"/>
                <w:color w:val="000000"/>
                <w:sz w:val="22"/>
                <w:szCs w:val="22"/>
                <w:u w:val="none"/>
              </w:rPr>
            </w:pPr>
          </w:p>
        </w:tc>
        <w:tc>
          <w:tcPr>
            <w:tcW w:w="2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A9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00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5080F">
            <w:pPr>
              <w:jc w:val="center"/>
              <w:rPr>
                <w:rFonts w:hint="eastAsia" w:ascii="宋体" w:hAnsi="宋体" w:eastAsia="宋体" w:cs="宋体"/>
                <w:i w:val="0"/>
                <w:iCs w:val="0"/>
                <w:color w:val="000000"/>
                <w:sz w:val="22"/>
                <w:szCs w:val="22"/>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1C65F">
            <w:pPr>
              <w:jc w:val="center"/>
              <w:rPr>
                <w:rFonts w:hint="eastAsia" w:ascii="宋体" w:hAnsi="宋体" w:eastAsia="宋体" w:cs="宋体"/>
                <w:i w:val="0"/>
                <w:iCs w:val="0"/>
                <w:color w:val="000000"/>
                <w:sz w:val="22"/>
                <w:szCs w:val="22"/>
                <w:u w:val="none"/>
              </w:rPr>
            </w:pPr>
          </w:p>
        </w:tc>
      </w:tr>
      <w:tr w14:paraId="7330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0C40">
            <w:pPr>
              <w:jc w:val="center"/>
              <w:rPr>
                <w:rFonts w:hint="eastAsia" w:ascii="宋体" w:hAnsi="宋体" w:eastAsia="宋体" w:cs="宋体"/>
                <w:i w:val="0"/>
                <w:iCs w:val="0"/>
                <w:color w:val="000000"/>
                <w:sz w:val="22"/>
                <w:szCs w:val="22"/>
                <w:u w:val="none"/>
              </w:rPr>
            </w:pPr>
          </w:p>
        </w:tc>
        <w:tc>
          <w:tcPr>
            <w:tcW w:w="2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60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95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A2C01">
            <w:pPr>
              <w:jc w:val="center"/>
              <w:rPr>
                <w:rFonts w:hint="eastAsia" w:ascii="宋体" w:hAnsi="宋体" w:eastAsia="宋体" w:cs="宋体"/>
                <w:i w:val="0"/>
                <w:iCs w:val="0"/>
                <w:color w:val="000000"/>
                <w:sz w:val="22"/>
                <w:szCs w:val="22"/>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071E5">
            <w:pPr>
              <w:jc w:val="center"/>
              <w:rPr>
                <w:rFonts w:hint="eastAsia" w:ascii="宋体" w:hAnsi="宋体" w:eastAsia="宋体" w:cs="宋体"/>
                <w:i w:val="0"/>
                <w:iCs w:val="0"/>
                <w:color w:val="000000"/>
                <w:sz w:val="22"/>
                <w:szCs w:val="22"/>
                <w:u w:val="none"/>
              </w:rPr>
            </w:pPr>
          </w:p>
        </w:tc>
      </w:tr>
      <w:tr w14:paraId="47DC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82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679EDA">
            <w:pPr>
              <w:jc w:val="left"/>
              <w:rPr>
                <w:rFonts w:hint="eastAsia" w:ascii="宋体" w:hAnsi="宋体" w:eastAsia="宋体" w:cs="宋体"/>
                <w:i w:val="0"/>
                <w:iCs w:val="0"/>
                <w:color w:val="000000"/>
                <w:sz w:val="22"/>
                <w:szCs w:val="22"/>
                <w:u w:val="none"/>
              </w:rPr>
            </w:pPr>
          </w:p>
        </w:tc>
      </w:tr>
      <w:tr w14:paraId="2215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9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7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D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3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2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3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D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D7D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B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2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学生人数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B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2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5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CE6">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8FC">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B838">
            <w:pPr>
              <w:rPr>
                <w:rFonts w:hint="eastAsia" w:ascii="宋体" w:hAnsi="宋体" w:eastAsia="宋体" w:cs="宋体"/>
                <w:i w:val="0"/>
                <w:iCs w:val="0"/>
                <w:color w:val="000000"/>
                <w:sz w:val="22"/>
                <w:szCs w:val="22"/>
                <w:u w:val="none"/>
              </w:rPr>
            </w:pPr>
          </w:p>
        </w:tc>
      </w:tr>
      <w:tr w14:paraId="1A0E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F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A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9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E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4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E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C78">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4EEC">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8B34">
            <w:pPr>
              <w:rPr>
                <w:rFonts w:hint="eastAsia" w:ascii="宋体" w:hAnsi="宋体" w:eastAsia="宋体" w:cs="宋体"/>
                <w:i w:val="0"/>
                <w:iCs w:val="0"/>
                <w:color w:val="000000"/>
                <w:sz w:val="22"/>
                <w:szCs w:val="22"/>
                <w:u w:val="none"/>
              </w:rPr>
            </w:pPr>
          </w:p>
        </w:tc>
      </w:tr>
      <w:tr w14:paraId="6607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A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6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F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5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减轻学生家庭负担</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9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025">
            <w:pPr>
              <w:rPr>
                <w:rFonts w:hint="eastAsia" w:ascii="宋体" w:hAnsi="宋体" w:eastAsia="宋体" w:cs="宋体"/>
                <w:i w:val="0"/>
                <w:iCs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9F3F">
            <w:pPr>
              <w:rPr>
                <w:rFonts w:hint="eastAsia" w:ascii="宋体" w:hAnsi="宋体" w:eastAsia="宋体" w:cs="宋体"/>
                <w:i w:val="0"/>
                <w:iCs w:val="0"/>
                <w:color w:val="000000"/>
                <w:sz w:val="22"/>
                <w:szCs w:val="22"/>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D95F">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9C6">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DF2">
            <w:pPr>
              <w:rPr>
                <w:rFonts w:hint="eastAsia" w:ascii="宋体" w:hAnsi="宋体" w:eastAsia="宋体" w:cs="宋体"/>
                <w:i w:val="0"/>
                <w:iCs w:val="0"/>
                <w:color w:val="000000"/>
                <w:sz w:val="22"/>
                <w:szCs w:val="22"/>
                <w:u w:val="none"/>
              </w:rPr>
            </w:pPr>
          </w:p>
        </w:tc>
      </w:tr>
      <w:tr w14:paraId="42E8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C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8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学生家长满意度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A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6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D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6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CEB0">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B39">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CC2">
            <w:pPr>
              <w:rPr>
                <w:rFonts w:hint="eastAsia" w:ascii="宋体" w:hAnsi="宋体" w:eastAsia="宋体" w:cs="宋体"/>
                <w:i w:val="0"/>
                <w:iCs w:val="0"/>
                <w:color w:val="000000"/>
                <w:sz w:val="22"/>
                <w:szCs w:val="22"/>
                <w:u w:val="none"/>
              </w:rPr>
            </w:pPr>
          </w:p>
        </w:tc>
      </w:tr>
      <w:tr w14:paraId="34E6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0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1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4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小学生均拨款标准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C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A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F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B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4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C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B78">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4F45">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39A9">
            <w:pPr>
              <w:rPr>
                <w:rFonts w:hint="eastAsia" w:ascii="宋体" w:hAnsi="宋体" w:eastAsia="宋体" w:cs="宋体"/>
                <w:i w:val="0"/>
                <w:iCs w:val="0"/>
                <w:color w:val="000000"/>
                <w:sz w:val="22"/>
                <w:szCs w:val="22"/>
                <w:u w:val="none"/>
              </w:rPr>
            </w:pPr>
          </w:p>
        </w:tc>
      </w:tr>
      <w:tr w14:paraId="6C3F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1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4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4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87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63FE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D429">
            <w:pPr>
              <w:jc w:val="center"/>
              <w:rPr>
                <w:rFonts w:hint="eastAsia" w:ascii="宋体" w:hAnsi="宋体" w:eastAsia="宋体" w:cs="宋体"/>
                <w:i w:val="0"/>
                <w:iCs w:val="0"/>
                <w:color w:val="000000"/>
                <w:sz w:val="22"/>
                <w:szCs w:val="22"/>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98E">
            <w:pP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2724">
            <w:pPr>
              <w:rPr>
                <w:rFonts w:hint="eastAsia" w:ascii="宋体" w:hAnsi="宋体" w:eastAsia="宋体" w:cs="宋体"/>
                <w:i w:val="0"/>
                <w:iCs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CD1B">
            <w:pPr>
              <w:rPr>
                <w:rFonts w:hint="eastAsia" w:ascii="宋体" w:hAnsi="宋体" w:eastAsia="宋体" w:cs="宋体"/>
                <w:i w:val="0"/>
                <w:iCs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90EB">
            <w:pPr>
              <w:rPr>
                <w:rFonts w:hint="eastAsia" w:ascii="宋体" w:hAnsi="宋体" w:eastAsia="宋体" w:cs="宋体"/>
                <w:i w:val="0"/>
                <w:iCs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CC2">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340">
            <w:pPr>
              <w:rPr>
                <w:rFonts w:hint="eastAsia" w:ascii="宋体" w:hAnsi="宋体" w:eastAsia="宋体" w:cs="宋体"/>
                <w:i w:val="0"/>
                <w:iCs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68C7">
            <w:pPr>
              <w:rPr>
                <w:rFonts w:hint="eastAsia" w:ascii="宋体" w:hAnsi="宋体" w:eastAsia="宋体" w:cs="宋体"/>
                <w:i w:val="0"/>
                <w:iCs w:val="0"/>
                <w:color w:val="000000"/>
                <w:sz w:val="22"/>
                <w:szCs w:val="22"/>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199E">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28E">
            <w:pPr>
              <w:rPr>
                <w:rFonts w:hint="eastAsia" w:ascii="宋体" w:hAnsi="宋体" w:eastAsia="宋体" w:cs="宋体"/>
                <w:i w:val="0"/>
                <w:iCs w:val="0"/>
                <w:color w:val="000000"/>
                <w:sz w:val="22"/>
                <w:szCs w:val="22"/>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176">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618F">
            <w:pPr>
              <w:rPr>
                <w:rFonts w:hint="eastAsia" w:ascii="宋体" w:hAnsi="宋体" w:eastAsia="宋体" w:cs="宋体"/>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B8E">
            <w:pPr>
              <w:rPr>
                <w:rFonts w:hint="eastAsia" w:ascii="宋体" w:hAnsi="宋体" w:eastAsia="宋体" w:cs="宋体"/>
                <w:i w:val="0"/>
                <w:iCs w:val="0"/>
                <w:color w:val="000000"/>
                <w:sz w:val="22"/>
                <w:szCs w:val="22"/>
                <w:u w:val="none"/>
              </w:rPr>
            </w:pPr>
          </w:p>
        </w:tc>
      </w:tr>
      <w:tr w14:paraId="101F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BA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69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D7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30140682">
      <w:pPr>
        <w:spacing w:line="600" w:lineRule="exact"/>
        <w:jc w:val="center"/>
        <w:outlineLvl w:val="0"/>
        <w:rPr>
          <w:rFonts w:hint="eastAsia" w:ascii="黑体" w:hAnsi="黑体" w:eastAsia="黑体"/>
          <w:sz w:val="44"/>
          <w:szCs w:val="44"/>
        </w:rPr>
      </w:pPr>
    </w:p>
    <w:tbl>
      <w:tblPr>
        <w:tblStyle w:val="16"/>
        <w:tblW w:w="86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609"/>
        <w:gridCol w:w="597"/>
        <w:gridCol w:w="648"/>
        <w:gridCol w:w="597"/>
        <w:gridCol w:w="566"/>
        <w:gridCol w:w="685"/>
        <w:gridCol w:w="623"/>
        <w:gridCol w:w="546"/>
        <w:gridCol w:w="656"/>
        <w:gridCol w:w="660"/>
        <w:gridCol w:w="812"/>
        <w:gridCol w:w="787"/>
      </w:tblGrid>
      <w:tr w14:paraId="1389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4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79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363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51113222T000005934309</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特岗教师工资</w:t>
            </w:r>
          </w:p>
        </w:tc>
      </w:tr>
      <w:tr w14:paraId="4DCF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4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A5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40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01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1606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D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AC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4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40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13D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5E39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92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3B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D0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68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F8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3B98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3BAF">
            <w:pPr>
              <w:jc w:val="center"/>
              <w:rPr>
                <w:rFonts w:hint="eastAsia" w:ascii="宋体" w:hAnsi="宋体" w:eastAsia="宋体" w:cs="宋体"/>
                <w:i w:val="0"/>
                <w:iCs w:val="0"/>
                <w:color w:val="000000"/>
                <w:sz w:val="22"/>
                <w:szCs w:val="22"/>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3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53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90979.75</w:t>
            </w:r>
          </w:p>
        </w:tc>
        <w:tc>
          <w:tcPr>
            <w:tcW w:w="1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E8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41895.25</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5A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46.05%</w:t>
            </w:r>
          </w:p>
        </w:tc>
      </w:tr>
      <w:tr w14:paraId="0C7D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F1C3">
            <w:pPr>
              <w:jc w:val="center"/>
              <w:rPr>
                <w:rFonts w:hint="eastAsia" w:ascii="宋体" w:hAnsi="宋体" w:eastAsia="宋体" w:cs="宋体"/>
                <w:i w:val="0"/>
                <w:iCs w:val="0"/>
                <w:color w:val="000000"/>
                <w:sz w:val="22"/>
                <w:szCs w:val="22"/>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C2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8D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90979.75</w:t>
            </w:r>
          </w:p>
        </w:tc>
        <w:tc>
          <w:tcPr>
            <w:tcW w:w="1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85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41895.25</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E2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46.05%</w:t>
            </w:r>
          </w:p>
        </w:tc>
      </w:tr>
      <w:tr w14:paraId="0DB4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66EC">
            <w:pPr>
              <w:jc w:val="center"/>
              <w:rPr>
                <w:rFonts w:hint="eastAsia" w:ascii="宋体" w:hAnsi="宋体" w:eastAsia="宋体" w:cs="宋体"/>
                <w:i w:val="0"/>
                <w:iCs w:val="0"/>
                <w:color w:val="000000"/>
                <w:sz w:val="22"/>
                <w:szCs w:val="22"/>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17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EB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CC34E">
            <w:pPr>
              <w:jc w:val="center"/>
              <w:rPr>
                <w:rFonts w:hint="eastAsia" w:ascii="宋体" w:hAnsi="宋体" w:eastAsia="宋体" w:cs="宋体"/>
                <w:i w:val="0"/>
                <w:iCs w:val="0"/>
                <w:color w:val="000000"/>
                <w:sz w:val="22"/>
                <w:szCs w:val="22"/>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705D4">
            <w:pPr>
              <w:jc w:val="center"/>
              <w:rPr>
                <w:rFonts w:hint="eastAsia" w:ascii="宋体" w:hAnsi="宋体" w:eastAsia="宋体" w:cs="宋体"/>
                <w:i w:val="0"/>
                <w:iCs w:val="0"/>
                <w:color w:val="000000"/>
                <w:sz w:val="22"/>
                <w:szCs w:val="22"/>
                <w:u w:val="none"/>
              </w:rPr>
            </w:pPr>
          </w:p>
        </w:tc>
      </w:tr>
      <w:tr w14:paraId="4A47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E9BC">
            <w:pPr>
              <w:jc w:val="center"/>
              <w:rPr>
                <w:rFonts w:hint="eastAsia" w:ascii="宋体" w:hAnsi="宋体" w:eastAsia="宋体" w:cs="宋体"/>
                <w:i w:val="0"/>
                <w:iCs w:val="0"/>
                <w:color w:val="000000"/>
                <w:sz w:val="22"/>
                <w:szCs w:val="22"/>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9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E1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82728">
            <w:pPr>
              <w:jc w:val="center"/>
              <w:rPr>
                <w:rFonts w:hint="eastAsia" w:ascii="宋体" w:hAnsi="宋体" w:eastAsia="宋体" w:cs="宋体"/>
                <w:i w:val="0"/>
                <w:iCs w:val="0"/>
                <w:color w:val="000000"/>
                <w:sz w:val="22"/>
                <w:szCs w:val="22"/>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C5FD7">
            <w:pPr>
              <w:jc w:val="center"/>
              <w:rPr>
                <w:rFonts w:hint="eastAsia" w:ascii="宋体" w:hAnsi="宋体" w:eastAsia="宋体" w:cs="宋体"/>
                <w:i w:val="0"/>
                <w:iCs w:val="0"/>
                <w:color w:val="000000"/>
                <w:sz w:val="22"/>
                <w:szCs w:val="22"/>
                <w:u w:val="none"/>
              </w:rPr>
            </w:pPr>
          </w:p>
        </w:tc>
      </w:tr>
      <w:tr w14:paraId="1659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F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79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683DF40">
            <w:pPr>
              <w:jc w:val="left"/>
              <w:rPr>
                <w:rFonts w:hint="eastAsia" w:ascii="宋体" w:hAnsi="宋体" w:eastAsia="宋体" w:cs="宋体"/>
                <w:i w:val="0"/>
                <w:iCs w:val="0"/>
                <w:color w:val="000000"/>
                <w:sz w:val="22"/>
                <w:szCs w:val="22"/>
                <w:u w:val="none"/>
              </w:rPr>
            </w:pPr>
          </w:p>
        </w:tc>
      </w:tr>
      <w:tr w14:paraId="6803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2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4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B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1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7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C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243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0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B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特岗教师数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F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7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D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4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545">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1D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833">
            <w:pPr>
              <w:rPr>
                <w:rFonts w:hint="eastAsia" w:ascii="宋体" w:hAnsi="宋体" w:eastAsia="宋体" w:cs="宋体"/>
                <w:i w:val="0"/>
                <w:iCs w:val="0"/>
                <w:color w:val="000000"/>
                <w:sz w:val="22"/>
                <w:szCs w:val="22"/>
                <w:u w:val="none"/>
              </w:rPr>
            </w:pPr>
          </w:p>
        </w:tc>
      </w:tr>
      <w:tr w14:paraId="241E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2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B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E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5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BDF">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B1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F071">
            <w:pPr>
              <w:rPr>
                <w:rFonts w:hint="eastAsia" w:ascii="宋体" w:hAnsi="宋体" w:eastAsia="宋体" w:cs="宋体"/>
                <w:i w:val="0"/>
                <w:iCs w:val="0"/>
                <w:color w:val="000000"/>
                <w:sz w:val="22"/>
                <w:szCs w:val="22"/>
                <w:u w:val="none"/>
              </w:rPr>
            </w:pPr>
          </w:p>
        </w:tc>
      </w:tr>
      <w:tr w14:paraId="20D1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F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E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提高农村教师队伍的整体素质</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F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5F30">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C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8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8EFD">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9186">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E48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EB6">
            <w:pPr>
              <w:rPr>
                <w:rFonts w:hint="eastAsia" w:ascii="宋体" w:hAnsi="宋体" w:eastAsia="宋体" w:cs="宋体"/>
                <w:i w:val="0"/>
                <w:iCs w:val="0"/>
                <w:color w:val="000000"/>
                <w:sz w:val="22"/>
                <w:szCs w:val="22"/>
                <w:u w:val="none"/>
              </w:rPr>
            </w:pPr>
          </w:p>
        </w:tc>
      </w:tr>
      <w:tr w14:paraId="74C7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B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C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4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学生及家长满意度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6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9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143C">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81F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115">
            <w:pPr>
              <w:rPr>
                <w:rFonts w:hint="eastAsia" w:ascii="宋体" w:hAnsi="宋体" w:eastAsia="宋体" w:cs="宋体"/>
                <w:i w:val="0"/>
                <w:iCs w:val="0"/>
                <w:color w:val="000000"/>
                <w:sz w:val="22"/>
                <w:szCs w:val="22"/>
                <w:u w:val="none"/>
              </w:rPr>
            </w:pPr>
          </w:p>
        </w:tc>
      </w:tr>
      <w:tr w14:paraId="0CC6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F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3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2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特岗教师经费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5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C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2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9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A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9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386B">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83B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291F">
            <w:pPr>
              <w:rPr>
                <w:rFonts w:hint="eastAsia" w:ascii="宋体" w:hAnsi="宋体" w:eastAsia="宋体" w:cs="宋体"/>
                <w:i w:val="0"/>
                <w:iCs w:val="0"/>
                <w:color w:val="000000"/>
                <w:sz w:val="22"/>
                <w:szCs w:val="22"/>
                <w:u w:val="none"/>
              </w:rPr>
            </w:pPr>
          </w:p>
        </w:tc>
      </w:tr>
      <w:tr w14:paraId="3826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9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A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2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4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2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368B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425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150B">
            <w:pPr>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AC3">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53DD">
            <w:pPr>
              <w:rPr>
                <w:rFonts w:hint="eastAsia" w:ascii="宋体" w:hAnsi="宋体" w:eastAsia="宋体" w:cs="宋体"/>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1A4C">
            <w:pPr>
              <w:rPr>
                <w:rFonts w:hint="eastAsia" w:ascii="宋体" w:hAnsi="宋体" w:eastAsia="宋体" w:cs="宋体"/>
                <w:i w:val="0"/>
                <w:iCs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FC5">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BF7">
            <w:pPr>
              <w:rPr>
                <w:rFonts w:hint="eastAsia" w:ascii="宋体" w:hAnsi="宋体" w:eastAsia="宋体" w:cs="宋体"/>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6DB">
            <w:pP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84AD">
            <w:pPr>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A665">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6CE">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FC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8E11">
            <w:pPr>
              <w:rPr>
                <w:rFonts w:hint="eastAsia" w:ascii="宋体" w:hAnsi="宋体" w:eastAsia="宋体" w:cs="宋体"/>
                <w:i w:val="0"/>
                <w:iCs w:val="0"/>
                <w:color w:val="000000"/>
                <w:sz w:val="22"/>
                <w:szCs w:val="22"/>
                <w:u w:val="none"/>
              </w:rPr>
            </w:pPr>
          </w:p>
        </w:tc>
      </w:tr>
      <w:tr w14:paraId="2B16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8C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65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A24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53DDE761">
      <w:pPr>
        <w:spacing w:line="600" w:lineRule="exact"/>
        <w:jc w:val="center"/>
        <w:outlineLvl w:val="0"/>
        <w:rPr>
          <w:rFonts w:hint="eastAsia" w:ascii="黑体" w:hAnsi="黑体" w:eastAsia="黑体"/>
          <w:sz w:val="44"/>
          <w:szCs w:val="44"/>
        </w:rPr>
      </w:pPr>
    </w:p>
    <w:tbl>
      <w:tblPr>
        <w:tblStyle w:val="1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512"/>
        <w:gridCol w:w="593"/>
        <w:gridCol w:w="648"/>
        <w:gridCol w:w="716"/>
        <w:gridCol w:w="770"/>
        <w:gridCol w:w="756"/>
        <w:gridCol w:w="662"/>
        <w:gridCol w:w="662"/>
        <w:gridCol w:w="756"/>
        <w:gridCol w:w="716"/>
        <w:gridCol w:w="702"/>
        <w:gridCol w:w="810"/>
      </w:tblGrid>
      <w:tr w14:paraId="5C31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A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3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BAB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51113224T000011430131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储备教师工资</w:t>
            </w:r>
          </w:p>
        </w:tc>
      </w:tr>
      <w:tr w14:paraId="1507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3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94E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D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项目电话</w:t>
            </w:r>
          </w:p>
        </w:tc>
        <w:tc>
          <w:tcPr>
            <w:tcW w:w="4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AF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13881353311</w:t>
            </w:r>
          </w:p>
        </w:tc>
      </w:tr>
      <w:tr w14:paraId="5A86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5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B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301-峨边彝族自治县教育局本级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4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93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峨边彝族自治县红旗镇中心小学</w:t>
            </w:r>
          </w:p>
        </w:tc>
      </w:tr>
      <w:tr w14:paraId="34D3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B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项目资金（元）</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65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资金构成</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2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25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82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r>
      <w:tr w14:paraId="12E7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E7FC">
            <w:pPr>
              <w:jc w:val="center"/>
              <w:rPr>
                <w:rFonts w:hint="eastAsia" w:ascii="宋体" w:hAnsi="宋体" w:eastAsia="宋体" w:cs="宋体"/>
                <w:i w:val="0"/>
                <w:iCs w:val="0"/>
                <w:color w:val="000000"/>
                <w:sz w:val="22"/>
                <w:szCs w:val="22"/>
                <w:u w:val="none"/>
              </w:rPr>
            </w:pP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AE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51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278217</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1F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126462.40</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20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w:t>
            </w:r>
          </w:p>
        </w:tc>
      </w:tr>
      <w:tr w14:paraId="6B1C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11D1">
            <w:pPr>
              <w:jc w:val="center"/>
              <w:rPr>
                <w:rFonts w:hint="eastAsia" w:ascii="宋体" w:hAnsi="宋体" w:eastAsia="宋体" w:cs="宋体"/>
                <w:i w:val="0"/>
                <w:iCs w:val="0"/>
                <w:color w:val="000000"/>
                <w:sz w:val="22"/>
                <w:szCs w:val="22"/>
                <w:u w:val="none"/>
              </w:rPr>
            </w:pP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FE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其中：财政资金</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10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278217</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B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126462.40</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81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w:t>
            </w:r>
          </w:p>
        </w:tc>
      </w:tr>
      <w:tr w14:paraId="6F9D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CFD8">
            <w:pPr>
              <w:jc w:val="center"/>
              <w:rPr>
                <w:rFonts w:hint="eastAsia" w:ascii="宋体" w:hAnsi="宋体" w:eastAsia="宋体" w:cs="宋体"/>
                <w:i w:val="0"/>
                <w:iCs w:val="0"/>
                <w:color w:val="000000"/>
                <w:sz w:val="22"/>
                <w:szCs w:val="22"/>
                <w:u w:val="none"/>
              </w:rPr>
            </w:pP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A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A5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D0145">
            <w:pPr>
              <w:jc w:val="center"/>
              <w:rPr>
                <w:rFonts w:hint="eastAsia" w:ascii="宋体" w:hAnsi="宋体" w:eastAsia="宋体" w:cs="宋体"/>
                <w:i w:val="0"/>
                <w:iCs w:val="0"/>
                <w:color w:val="000000"/>
                <w:sz w:val="22"/>
                <w:szCs w:val="22"/>
                <w:u w:val="none"/>
              </w:rPr>
            </w:pP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E4E20">
            <w:pPr>
              <w:jc w:val="center"/>
              <w:rPr>
                <w:rFonts w:hint="eastAsia" w:ascii="宋体" w:hAnsi="宋体" w:eastAsia="宋体" w:cs="宋体"/>
                <w:i w:val="0"/>
                <w:iCs w:val="0"/>
                <w:color w:val="000000"/>
                <w:sz w:val="22"/>
                <w:szCs w:val="22"/>
                <w:u w:val="none"/>
              </w:rPr>
            </w:pPr>
          </w:p>
        </w:tc>
      </w:tr>
      <w:tr w14:paraId="2831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CB4C">
            <w:pPr>
              <w:jc w:val="center"/>
              <w:rPr>
                <w:rFonts w:hint="eastAsia" w:ascii="宋体" w:hAnsi="宋体" w:eastAsia="宋体" w:cs="宋体"/>
                <w:i w:val="0"/>
                <w:iCs w:val="0"/>
                <w:color w:val="000000"/>
                <w:sz w:val="22"/>
                <w:szCs w:val="22"/>
                <w:u w:val="none"/>
              </w:rPr>
            </w:pP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3B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r>
              <w:rPr>
                <w:rFonts w:hint="eastAsia" w:ascii="宋体" w:hAnsi="宋体" w:cs="宋体"/>
                <w:i w:val="0"/>
                <w:iCs w:val="0"/>
                <w:color w:val="000000"/>
                <w:kern w:val="0"/>
                <w:sz w:val="22"/>
                <w:szCs w:val="22"/>
                <w:u w:val="none"/>
                <w:lang w:val="en-US" w:eastAsia="zh-CN" w:bidi="ar"/>
              </w:rPr>
              <w:t>：</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83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00653">
            <w:pPr>
              <w:jc w:val="center"/>
              <w:rPr>
                <w:rFonts w:hint="eastAsia" w:ascii="宋体" w:hAnsi="宋体" w:eastAsia="宋体" w:cs="宋体"/>
                <w:i w:val="0"/>
                <w:iCs w:val="0"/>
                <w:color w:val="000000"/>
                <w:sz w:val="22"/>
                <w:szCs w:val="22"/>
                <w:u w:val="none"/>
              </w:rPr>
            </w:pP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43BC7">
            <w:pPr>
              <w:jc w:val="center"/>
              <w:rPr>
                <w:rFonts w:hint="eastAsia" w:ascii="宋体" w:hAnsi="宋体" w:eastAsia="宋体" w:cs="宋体"/>
                <w:i w:val="0"/>
                <w:iCs w:val="0"/>
                <w:color w:val="000000"/>
                <w:sz w:val="22"/>
                <w:szCs w:val="22"/>
                <w:u w:val="none"/>
              </w:rPr>
            </w:pPr>
          </w:p>
        </w:tc>
      </w:tr>
      <w:tr w14:paraId="037E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83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9DF7F1">
            <w:pPr>
              <w:jc w:val="left"/>
              <w:rPr>
                <w:rFonts w:hint="eastAsia" w:ascii="宋体" w:hAnsi="宋体" w:eastAsia="宋体" w:cs="宋体"/>
                <w:i w:val="0"/>
                <w:iCs w:val="0"/>
                <w:color w:val="000000"/>
                <w:sz w:val="22"/>
                <w:szCs w:val="22"/>
                <w:u w:val="none"/>
              </w:rPr>
            </w:pPr>
          </w:p>
        </w:tc>
      </w:tr>
      <w:tr w14:paraId="36AF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5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8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绩效指标性质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绩效度量单位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0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2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21E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2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C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储备教师数量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C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3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E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D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5815">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B3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F26E">
            <w:pPr>
              <w:rPr>
                <w:rFonts w:hint="eastAsia" w:ascii="宋体" w:hAnsi="宋体" w:eastAsia="宋体" w:cs="宋体"/>
                <w:i w:val="0"/>
                <w:iCs w:val="0"/>
                <w:color w:val="000000"/>
                <w:sz w:val="22"/>
                <w:szCs w:val="22"/>
                <w:u w:val="none"/>
              </w:rPr>
            </w:pPr>
          </w:p>
        </w:tc>
      </w:tr>
      <w:tr w14:paraId="69A7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6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A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8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1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4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0C29">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293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DFF">
            <w:pPr>
              <w:rPr>
                <w:rFonts w:hint="eastAsia" w:ascii="宋体" w:hAnsi="宋体" w:eastAsia="宋体" w:cs="宋体"/>
                <w:i w:val="0"/>
                <w:iCs w:val="0"/>
                <w:color w:val="000000"/>
                <w:sz w:val="22"/>
                <w:szCs w:val="22"/>
                <w:u w:val="none"/>
              </w:rPr>
            </w:pPr>
          </w:p>
        </w:tc>
      </w:tr>
      <w:tr w14:paraId="757C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D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B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教师、学生满意度</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E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2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C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312">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891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806D">
            <w:pPr>
              <w:rPr>
                <w:rFonts w:hint="eastAsia" w:ascii="宋体" w:hAnsi="宋体" w:eastAsia="宋体" w:cs="宋体"/>
                <w:i w:val="0"/>
                <w:iCs w:val="0"/>
                <w:color w:val="000000"/>
                <w:sz w:val="22"/>
                <w:szCs w:val="22"/>
                <w:u w:val="none"/>
              </w:rPr>
            </w:pPr>
          </w:p>
        </w:tc>
      </w:tr>
      <w:tr w14:paraId="30E0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8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C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9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学生及家长满意度</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0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2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9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8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CAFE">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F3A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2EFE">
            <w:pPr>
              <w:rPr>
                <w:rFonts w:hint="eastAsia" w:ascii="宋体" w:hAnsi="宋体" w:eastAsia="宋体" w:cs="宋体"/>
                <w:i w:val="0"/>
                <w:iCs w:val="0"/>
                <w:color w:val="000000"/>
                <w:sz w:val="22"/>
                <w:szCs w:val="22"/>
                <w:u w:val="none"/>
              </w:rPr>
            </w:pPr>
          </w:p>
        </w:tc>
      </w:tr>
      <w:tr w14:paraId="5F97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5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A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6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每人每年发放工资</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6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1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7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C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62BD">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DD7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6F54">
            <w:pPr>
              <w:rPr>
                <w:rFonts w:hint="eastAsia" w:ascii="宋体" w:hAnsi="宋体" w:eastAsia="宋体" w:cs="宋体"/>
                <w:i w:val="0"/>
                <w:iCs w:val="0"/>
                <w:color w:val="000000"/>
                <w:sz w:val="22"/>
                <w:szCs w:val="22"/>
                <w:u w:val="none"/>
              </w:rPr>
            </w:pPr>
          </w:p>
        </w:tc>
      </w:tr>
      <w:tr w14:paraId="3280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4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监控阶段</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业务类型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8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主要问题</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36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7F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问题详情或原因</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43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解决措施或意见</w:t>
            </w:r>
          </w:p>
        </w:tc>
      </w:tr>
      <w:tr w14:paraId="519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67B2">
            <w:pPr>
              <w:jc w:val="center"/>
              <w:rPr>
                <w:rFonts w:hint="eastAsia" w:ascii="宋体" w:hAnsi="宋体" w:eastAsia="宋体" w:cs="宋体"/>
                <w:i w:val="0"/>
                <w:iCs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BB7">
            <w:pP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2C07">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6B20">
            <w:pP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F3E">
            <w:pPr>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F41">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C8FE">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1AC">
            <w:pP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67F">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7D92">
            <w:pP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12BF">
            <w:pP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79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8F59">
            <w:pPr>
              <w:rPr>
                <w:rFonts w:hint="eastAsia" w:ascii="宋体" w:hAnsi="宋体" w:eastAsia="宋体" w:cs="宋体"/>
                <w:i w:val="0"/>
                <w:iCs w:val="0"/>
                <w:color w:val="000000"/>
                <w:sz w:val="22"/>
                <w:szCs w:val="22"/>
                <w:u w:val="none"/>
              </w:rPr>
            </w:pPr>
          </w:p>
        </w:tc>
      </w:tr>
      <w:tr w14:paraId="318B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0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部门意见</w:t>
            </w:r>
          </w:p>
        </w:tc>
        <w:tc>
          <w:tcPr>
            <w:tcW w:w="71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6FF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项目正常推进</w:t>
            </w:r>
          </w:p>
        </w:tc>
      </w:tr>
    </w:tbl>
    <w:p w14:paraId="7C1519CA">
      <w:pPr>
        <w:spacing w:line="600" w:lineRule="exact"/>
        <w:jc w:val="center"/>
        <w:outlineLvl w:val="0"/>
        <w:rPr>
          <w:rFonts w:hint="eastAsia" w:ascii="黑体" w:hAnsi="黑体" w:eastAsia="黑体"/>
          <w:sz w:val="44"/>
          <w:szCs w:val="44"/>
        </w:rPr>
      </w:pPr>
    </w:p>
    <w:p w14:paraId="14929560">
      <w:pPr>
        <w:spacing w:line="600" w:lineRule="exact"/>
        <w:jc w:val="center"/>
        <w:outlineLvl w:val="0"/>
        <w:rPr>
          <w:rFonts w:hint="eastAsia" w:ascii="黑体" w:hAnsi="黑体" w:eastAsia="黑体"/>
          <w:sz w:val="44"/>
          <w:szCs w:val="44"/>
        </w:rPr>
      </w:pPr>
    </w:p>
    <w:p w14:paraId="717D712C">
      <w:pPr>
        <w:spacing w:line="600" w:lineRule="exact"/>
        <w:jc w:val="center"/>
        <w:outlineLvl w:val="0"/>
        <w:rPr>
          <w:rFonts w:hint="eastAsia" w:ascii="黑体" w:hAnsi="黑体" w:eastAsia="黑体"/>
          <w:sz w:val="44"/>
          <w:szCs w:val="44"/>
        </w:rPr>
      </w:pPr>
    </w:p>
    <w:p w14:paraId="51E73A35">
      <w:pPr>
        <w:spacing w:line="600" w:lineRule="exact"/>
        <w:jc w:val="center"/>
        <w:outlineLvl w:val="0"/>
        <w:rPr>
          <w:rFonts w:hint="eastAsia" w:ascii="黑体" w:hAnsi="黑体" w:eastAsia="黑体"/>
          <w:sz w:val="44"/>
          <w:szCs w:val="44"/>
        </w:rPr>
      </w:pPr>
    </w:p>
    <w:p w14:paraId="1997F8F7">
      <w:pPr>
        <w:spacing w:line="600" w:lineRule="exact"/>
        <w:jc w:val="center"/>
        <w:outlineLvl w:val="0"/>
        <w:rPr>
          <w:rFonts w:hint="eastAsia" w:ascii="黑体" w:hAnsi="黑体" w:eastAsia="黑体"/>
          <w:sz w:val="44"/>
          <w:szCs w:val="44"/>
        </w:rPr>
      </w:pPr>
    </w:p>
    <w:p w14:paraId="58029D57">
      <w:pPr>
        <w:spacing w:line="600" w:lineRule="exact"/>
        <w:jc w:val="center"/>
        <w:outlineLvl w:val="0"/>
        <w:rPr>
          <w:rFonts w:hint="eastAsia" w:ascii="黑体" w:hAnsi="黑体" w:eastAsia="黑体"/>
          <w:sz w:val="44"/>
          <w:szCs w:val="44"/>
        </w:rPr>
      </w:pPr>
    </w:p>
    <w:p w14:paraId="0EDB78C8">
      <w:pPr>
        <w:spacing w:line="600" w:lineRule="exact"/>
        <w:jc w:val="center"/>
        <w:outlineLvl w:val="0"/>
        <w:rPr>
          <w:rFonts w:hint="eastAsia" w:ascii="黑体" w:hAnsi="黑体" w:eastAsia="黑体"/>
          <w:sz w:val="44"/>
          <w:szCs w:val="44"/>
        </w:rPr>
      </w:pPr>
    </w:p>
    <w:p w14:paraId="3A542C1D">
      <w:pPr>
        <w:spacing w:line="600" w:lineRule="exact"/>
        <w:jc w:val="center"/>
        <w:outlineLvl w:val="0"/>
        <w:rPr>
          <w:rFonts w:hint="eastAsia" w:ascii="黑体" w:hAnsi="黑体" w:eastAsia="黑体"/>
          <w:sz w:val="44"/>
          <w:szCs w:val="44"/>
        </w:rPr>
      </w:pPr>
    </w:p>
    <w:p w14:paraId="1D3BA4B1">
      <w:pPr>
        <w:spacing w:line="600" w:lineRule="exact"/>
        <w:jc w:val="center"/>
        <w:outlineLvl w:val="0"/>
        <w:rPr>
          <w:rFonts w:hint="eastAsia" w:ascii="黑体" w:hAnsi="黑体" w:eastAsia="黑体"/>
          <w:sz w:val="44"/>
          <w:szCs w:val="44"/>
        </w:rPr>
      </w:pPr>
    </w:p>
    <w:p w14:paraId="5F5F9B3A">
      <w:pPr>
        <w:spacing w:line="600" w:lineRule="exact"/>
        <w:jc w:val="center"/>
        <w:outlineLvl w:val="0"/>
        <w:rPr>
          <w:rFonts w:hint="eastAsia" w:ascii="黑体" w:hAnsi="黑体" w:eastAsia="黑体"/>
          <w:sz w:val="44"/>
          <w:szCs w:val="44"/>
        </w:rPr>
      </w:pPr>
    </w:p>
    <w:p w14:paraId="52B4737A">
      <w:pPr>
        <w:spacing w:line="600" w:lineRule="exact"/>
        <w:jc w:val="center"/>
        <w:outlineLvl w:val="0"/>
        <w:rPr>
          <w:rFonts w:hint="eastAsia" w:ascii="黑体" w:hAnsi="黑体" w:eastAsia="黑体"/>
          <w:sz w:val="44"/>
          <w:szCs w:val="44"/>
        </w:rPr>
      </w:pPr>
    </w:p>
    <w:p w14:paraId="541D15A7">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74"/>
      <w:bookmarkEnd w:id="76"/>
      <w:bookmarkEnd w:id="77"/>
      <w:bookmarkStart w:id="78" w:name="_Toc15396619"/>
    </w:p>
    <w:p w14:paraId="17AF87B2">
      <w:pPr>
        <w:pStyle w:val="6"/>
        <w:rPr>
          <w:rFonts w:ascii="仿宋" w:hAnsi="仿宋" w:eastAsia="仿宋"/>
        </w:rPr>
      </w:pPr>
      <w:bookmarkStart w:id="79" w:name="_Toc16177"/>
      <w:r>
        <w:rPr>
          <w:rFonts w:hint="eastAsia" w:ascii="仿宋" w:hAnsi="仿宋" w:eastAsia="仿宋"/>
          <w:b w:val="0"/>
        </w:rPr>
        <w:t>一、收</w:t>
      </w:r>
      <w:r>
        <w:rPr>
          <w:rStyle w:val="29"/>
          <w:rFonts w:hint="eastAsia" w:ascii="仿宋" w:hAnsi="仿宋" w:eastAsia="仿宋"/>
          <w:b w:val="0"/>
          <w:bCs w:val="0"/>
        </w:rPr>
        <w:t>入支出决算总表</w:t>
      </w:r>
      <w:bookmarkEnd w:id="78"/>
      <w:bookmarkEnd w:id="79"/>
    </w:p>
    <w:p w14:paraId="7CFB1117">
      <w:pPr>
        <w:pStyle w:val="6"/>
        <w:rPr>
          <w:rFonts w:ascii="仿宋" w:hAnsi="仿宋" w:eastAsia="仿宋"/>
        </w:rPr>
      </w:pPr>
      <w:bookmarkStart w:id="80" w:name="_Toc11246"/>
      <w:bookmarkStart w:id="81" w:name="_Toc15396620"/>
      <w:r>
        <w:rPr>
          <w:rFonts w:hint="eastAsia" w:ascii="仿宋" w:hAnsi="仿宋" w:eastAsia="仿宋"/>
          <w:b w:val="0"/>
        </w:rPr>
        <w:t>二、收</w:t>
      </w:r>
      <w:r>
        <w:rPr>
          <w:rStyle w:val="29"/>
          <w:rFonts w:hint="eastAsia" w:ascii="仿宋" w:hAnsi="仿宋" w:eastAsia="仿宋"/>
          <w:b w:val="0"/>
          <w:bCs w:val="0"/>
        </w:rPr>
        <w:t>入决算表</w:t>
      </w:r>
      <w:bookmarkEnd w:id="80"/>
      <w:bookmarkEnd w:id="81"/>
    </w:p>
    <w:p w14:paraId="4D48E68A">
      <w:pPr>
        <w:pStyle w:val="6"/>
        <w:rPr>
          <w:rFonts w:ascii="仿宋" w:hAnsi="仿宋" w:eastAsia="仿宋"/>
        </w:rPr>
      </w:pPr>
      <w:bookmarkStart w:id="82" w:name="_Toc15396621"/>
      <w:bookmarkStart w:id="83" w:name="_Toc6779"/>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2"/>
      <w:bookmarkEnd w:id="83"/>
    </w:p>
    <w:p w14:paraId="3FAE1F1C">
      <w:pPr>
        <w:pStyle w:val="6"/>
        <w:rPr>
          <w:rFonts w:ascii="仿宋" w:hAnsi="仿宋" w:eastAsia="仿宋"/>
          <w:b w:val="0"/>
        </w:rPr>
      </w:pPr>
      <w:bookmarkStart w:id="84" w:name="_Toc11190"/>
      <w:bookmarkStart w:id="85"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4"/>
      <w:bookmarkEnd w:id="85"/>
    </w:p>
    <w:p w14:paraId="087581F3">
      <w:pPr>
        <w:pStyle w:val="6"/>
        <w:rPr>
          <w:rStyle w:val="29"/>
          <w:rFonts w:ascii="仿宋" w:hAnsi="仿宋" w:eastAsia="仿宋"/>
          <w:b w:val="0"/>
          <w:bCs w:val="0"/>
        </w:rPr>
      </w:pPr>
      <w:bookmarkStart w:id="86" w:name="_Toc15396623"/>
      <w:bookmarkStart w:id="87" w:name="_Toc1224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6"/>
      <w:bookmarkEnd w:id="87"/>
      <w:bookmarkStart w:id="88" w:name="_Toc15396624"/>
    </w:p>
    <w:p w14:paraId="5308BD88">
      <w:pPr>
        <w:pStyle w:val="6"/>
        <w:rPr>
          <w:rFonts w:ascii="仿宋" w:hAnsi="仿宋" w:eastAsia="仿宋"/>
        </w:rPr>
      </w:pPr>
      <w:bookmarkStart w:id="89" w:name="_Toc20676"/>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8"/>
      <w:bookmarkEnd w:id="89"/>
    </w:p>
    <w:p w14:paraId="2F961FF7">
      <w:pPr>
        <w:pStyle w:val="6"/>
        <w:rPr>
          <w:rFonts w:ascii="仿宋" w:hAnsi="仿宋" w:eastAsia="仿宋"/>
        </w:rPr>
      </w:pPr>
      <w:bookmarkStart w:id="90" w:name="_Toc10249"/>
      <w:bookmarkStart w:id="91"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0"/>
      <w:bookmarkEnd w:id="91"/>
    </w:p>
    <w:p w14:paraId="1CD60B1F">
      <w:pPr>
        <w:pStyle w:val="6"/>
        <w:rPr>
          <w:rFonts w:ascii="仿宋" w:hAnsi="仿宋" w:eastAsia="仿宋"/>
        </w:rPr>
      </w:pPr>
      <w:bookmarkStart w:id="92" w:name="_Toc15396626"/>
      <w:bookmarkStart w:id="93" w:name="_Toc28191"/>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2"/>
      <w:bookmarkEnd w:id="93"/>
    </w:p>
    <w:p w14:paraId="6DCD5981">
      <w:pPr>
        <w:pStyle w:val="6"/>
        <w:rPr>
          <w:rFonts w:ascii="仿宋" w:hAnsi="仿宋" w:eastAsia="仿宋"/>
        </w:rPr>
      </w:pPr>
      <w:bookmarkStart w:id="94" w:name="_Toc2460"/>
      <w:bookmarkStart w:id="9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4"/>
      <w:bookmarkEnd w:id="95"/>
    </w:p>
    <w:p w14:paraId="431C21EF">
      <w:pPr>
        <w:pStyle w:val="6"/>
        <w:rPr>
          <w:rFonts w:ascii="仿宋" w:hAnsi="仿宋" w:eastAsia="仿宋"/>
        </w:rPr>
      </w:pPr>
      <w:bookmarkStart w:id="96" w:name="_Toc15396628"/>
      <w:bookmarkStart w:id="97" w:name="_Toc14744"/>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96"/>
      <w:bookmarkEnd w:id="97"/>
    </w:p>
    <w:p w14:paraId="384B504A">
      <w:pPr>
        <w:pStyle w:val="6"/>
        <w:rPr>
          <w:rFonts w:ascii="仿宋" w:hAnsi="仿宋" w:eastAsia="仿宋"/>
        </w:rPr>
      </w:pPr>
      <w:bookmarkStart w:id="98" w:name="_Toc32571"/>
      <w:bookmarkStart w:id="99" w:name="_Toc15396629"/>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8"/>
      <w:bookmarkEnd w:id="99"/>
    </w:p>
    <w:p w14:paraId="0B5DC90C">
      <w:pPr>
        <w:pStyle w:val="6"/>
        <w:rPr>
          <w:rFonts w:ascii="仿宋" w:hAnsi="仿宋" w:eastAsia="仿宋"/>
        </w:rPr>
      </w:pPr>
      <w:bookmarkStart w:id="100" w:name="_Toc22201"/>
      <w:bookmarkStart w:id="101" w:name="_Toc15396630"/>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100"/>
      <w:bookmarkEnd w:id="101"/>
    </w:p>
    <w:p w14:paraId="2CF0CD98">
      <w:pPr>
        <w:pStyle w:val="6"/>
        <w:rPr>
          <w:rStyle w:val="29"/>
          <w:rFonts w:ascii="仿宋" w:hAnsi="仿宋" w:eastAsia="仿宋"/>
          <w:b w:val="0"/>
          <w:bCs w:val="0"/>
        </w:rPr>
      </w:pPr>
      <w:bookmarkStart w:id="102" w:name="_Toc7036"/>
      <w:bookmarkStart w:id="103" w:name="_Toc15396631"/>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2"/>
      <w:bookmarkEnd w:id="103"/>
    </w:p>
    <w:p w14:paraId="735D7AC9">
      <w:pPr>
        <w:rPr>
          <w:rFonts w:eastAsia="仿宋"/>
        </w:rPr>
      </w:pPr>
      <w:bookmarkStart w:id="104" w:name="_Toc24108"/>
      <w:r>
        <w:rPr>
          <w:rStyle w:val="29"/>
          <w:rFonts w:hint="eastAsia" w:ascii="仿宋" w:hAnsi="仿宋" w:eastAsia="仿宋"/>
          <w:b w:val="0"/>
          <w:bCs w:val="0"/>
        </w:rPr>
        <w:t>十四、国有资本经营预算财政拨款支出决算表</w:t>
      </w:r>
      <w:bookmarkEnd w:id="10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DB64687">
        <w:pPr>
          <w:pStyle w:val="11"/>
          <w:jc w:val="center"/>
        </w:pPr>
        <w:r>
          <w:fldChar w:fldCharType="begin"/>
        </w:r>
        <w:r>
          <w:instrText xml:space="preserve">PAGE   \* MERGEFORMAT</w:instrText>
        </w:r>
        <w:r>
          <w:fldChar w:fldCharType="separate"/>
        </w:r>
        <w:r>
          <w:rPr>
            <w:lang w:val="zh-CN"/>
          </w:rPr>
          <w:t>19</w:t>
        </w:r>
        <w:r>
          <w:fldChar w:fldCharType="end"/>
        </w:r>
      </w:p>
    </w:sdtContent>
  </w:sdt>
  <w:p w14:paraId="17E2F2B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867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YWQzOTU2NjBmODRlMDQ4YWU4MjI1NDNjYWJjZjEifQ=="/>
  </w:docVars>
  <w:rsids>
    <w:rsidRoot w:val="00F1361C"/>
    <w:rsid w:val="000207E8"/>
    <w:rsid w:val="000222C6"/>
    <w:rsid w:val="0002549F"/>
    <w:rsid w:val="00035B32"/>
    <w:rsid w:val="000401B8"/>
    <w:rsid w:val="000468DB"/>
    <w:rsid w:val="0006487A"/>
    <w:rsid w:val="00065F8F"/>
    <w:rsid w:val="00070A43"/>
    <w:rsid w:val="000717B0"/>
    <w:rsid w:val="00074778"/>
    <w:rsid w:val="000768F2"/>
    <w:rsid w:val="0009184B"/>
    <w:rsid w:val="0009254B"/>
    <w:rsid w:val="00094236"/>
    <w:rsid w:val="0009593C"/>
    <w:rsid w:val="00097322"/>
    <w:rsid w:val="000A6A92"/>
    <w:rsid w:val="000B047F"/>
    <w:rsid w:val="000B5923"/>
    <w:rsid w:val="000B5A48"/>
    <w:rsid w:val="000B6FF3"/>
    <w:rsid w:val="000C3467"/>
    <w:rsid w:val="000C3CA6"/>
    <w:rsid w:val="000D1267"/>
    <w:rsid w:val="000D1D50"/>
    <w:rsid w:val="000D2BCE"/>
    <w:rsid w:val="000D5782"/>
    <w:rsid w:val="000E19C9"/>
    <w:rsid w:val="000E6613"/>
    <w:rsid w:val="000E7119"/>
    <w:rsid w:val="00114E9B"/>
    <w:rsid w:val="00124460"/>
    <w:rsid w:val="00124B47"/>
    <w:rsid w:val="00126921"/>
    <w:rsid w:val="00142216"/>
    <w:rsid w:val="00144D6A"/>
    <w:rsid w:val="001455DB"/>
    <w:rsid w:val="0014729F"/>
    <w:rsid w:val="00153A71"/>
    <w:rsid w:val="00157BAB"/>
    <w:rsid w:val="001654D1"/>
    <w:rsid w:val="00174518"/>
    <w:rsid w:val="0018106D"/>
    <w:rsid w:val="001877A7"/>
    <w:rsid w:val="00191536"/>
    <w:rsid w:val="00195D0E"/>
    <w:rsid w:val="00196687"/>
    <w:rsid w:val="001A1850"/>
    <w:rsid w:val="001C0962"/>
    <w:rsid w:val="001C16B5"/>
    <w:rsid w:val="001C190D"/>
    <w:rsid w:val="001C3795"/>
    <w:rsid w:val="001D39A0"/>
    <w:rsid w:val="001D7531"/>
    <w:rsid w:val="001E71F3"/>
    <w:rsid w:val="001E737D"/>
    <w:rsid w:val="001F0592"/>
    <w:rsid w:val="001F1C12"/>
    <w:rsid w:val="001F3472"/>
    <w:rsid w:val="001F6397"/>
    <w:rsid w:val="001F7506"/>
    <w:rsid w:val="002006CD"/>
    <w:rsid w:val="00202B36"/>
    <w:rsid w:val="00204B7A"/>
    <w:rsid w:val="00204CDE"/>
    <w:rsid w:val="00205BC4"/>
    <w:rsid w:val="0021101A"/>
    <w:rsid w:val="00213BE4"/>
    <w:rsid w:val="00214FC2"/>
    <w:rsid w:val="00220536"/>
    <w:rsid w:val="00235629"/>
    <w:rsid w:val="0024020D"/>
    <w:rsid w:val="00260C38"/>
    <w:rsid w:val="002616C0"/>
    <w:rsid w:val="00265372"/>
    <w:rsid w:val="002662AA"/>
    <w:rsid w:val="00270F48"/>
    <w:rsid w:val="00280496"/>
    <w:rsid w:val="00280DE8"/>
    <w:rsid w:val="00294DC9"/>
    <w:rsid w:val="00295495"/>
    <w:rsid w:val="00296FAD"/>
    <w:rsid w:val="002A31DE"/>
    <w:rsid w:val="002B2613"/>
    <w:rsid w:val="002C31DF"/>
    <w:rsid w:val="002D5263"/>
    <w:rsid w:val="002D626A"/>
    <w:rsid w:val="002D6D05"/>
    <w:rsid w:val="002F1818"/>
    <w:rsid w:val="002F295F"/>
    <w:rsid w:val="002F567B"/>
    <w:rsid w:val="00313B69"/>
    <w:rsid w:val="003216A9"/>
    <w:rsid w:val="00325C96"/>
    <w:rsid w:val="00335A74"/>
    <w:rsid w:val="00341988"/>
    <w:rsid w:val="00347956"/>
    <w:rsid w:val="0035238F"/>
    <w:rsid w:val="0035295B"/>
    <w:rsid w:val="0036561B"/>
    <w:rsid w:val="0037013F"/>
    <w:rsid w:val="00380C92"/>
    <w:rsid w:val="003A484F"/>
    <w:rsid w:val="003A4883"/>
    <w:rsid w:val="003B0BE0"/>
    <w:rsid w:val="003B0C1B"/>
    <w:rsid w:val="003B1DCB"/>
    <w:rsid w:val="003B688C"/>
    <w:rsid w:val="003C0291"/>
    <w:rsid w:val="003C39AE"/>
    <w:rsid w:val="003C7B60"/>
    <w:rsid w:val="003D0C0F"/>
    <w:rsid w:val="003D1FB2"/>
    <w:rsid w:val="003D66DA"/>
    <w:rsid w:val="003E1310"/>
    <w:rsid w:val="003E6456"/>
    <w:rsid w:val="003E6F55"/>
    <w:rsid w:val="003F2425"/>
    <w:rsid w:val="00406254"/>
    <w:rsid w:val="004134CD"/>
    <w:rsid w:val="00417723"/>
    <w:rsid w:val="004223DE"/>
    <w:rsid w:val="00430A38"/>
    <w:rsid w:val="00434489"/>
    <w:rsid w:val="00437085"/>
    <w:rsid w:val="00443880"/>
    <w:rsid w:val="004464F4"/>
    <w:rsid w:val="00463E29"/>
    <w:rsid w:val="00470865"/>
    <w:rsid w:val="00471401"/>
    <w:rsid w:val="00473F31"/>
    <w:rsid w:val="0048263A"/>
    <w:rsid w:val="0048368B"/>
    <w:rsid w:val="00487E5D"/>
    <w:rsid w:val="004A68AF"/>
    <w:rsid w:val="004A711F"/>
    <w:rsid w:val="004B199D"/>
    <w:rsid w:val="004B4690"/>
    <w:rsid w:val="004B67FF"/>
    <w:rsid w:val="004D5693"/>
    <w:rsid w:val="004D7425"/>
    <w:rsid w:val="004E0A2D"/>
    <w:rsid w:val="004E206B"/>
    <w:rsid w:val="004E6DF7"/>
    <w:rsid w:val="004F0FBD"/>
    <w:rsid w:val="004F2A8F"/>
    <w:rsid w:val="00505A47"/>
    <w:rsid w:val="00512FDA"/>
    <w:rsid w:val="00520DA0"/>
    <w:rsid w:val="005664BB"/>
    <w:rsid w:val="00566FFA"/>
    <w:rsid w:val="00567EFC"/>
    <w:rsid w:val="00571DD8"/>
    <w:rsid w:val="0057481D"/>
    <w:rsid w:val="0058486E"/>
    <w:rsid w:val="00585B33"/>
    <w:rsid w:val="0059014D"/>
    <w:rsid w:val="005B5C64"/>
    <w:rsid w:val="005B6C84"/>
    <w:rsid w:val="005C5337"/>
    <w:rsid w:val="005C6BD0"/>
    <w:rsid w:val="005C7528"/>
    <w:rsid w:val="005D1C8B"/>
    <w:rsid w:val="005D468D"/>
    <w:rsid w:val="005D5CED"/>
    <w:rsid w:val="005F1A4C"/>
    <w:rsid w:val="005F381A"/>
    <w:rsid w:val="005F5E58"/>
    <w:rsid w:val="00601F23"/>
    <w:rsid w:val="00604A9F"/>
    <w:rsid w:val="00605688"/>
    <w:rsid w:val="006070AF"/>
    <w:rsid w:val="0060790B"/>
    <w:rsid w:val="00607E6C"/>
    <w:rsid w:val="006101B1"/>
    <w:rsid w:val="00614E44"/>
    <w:rsid w:val="00615167"/>
    <w:rsid w:val="0062270A"/>
    <w:rsid w:val="00622830"/>
    <w:rsid w:val="00623D19"/>
    <w:rsid w:val="00623DA0"/>
    <w:rsid w:val="00630AEF"/>
    <w:rsid w:val="006325F8"/>
    <w:rsid w:val="00633463"/>
    <w:rsid w:val="00634C9A"/>
    <w:rsid w:val="00641222"/>
    <w:rsid w:val="006440E4"/>
    <w:rsid w:val="00660C3A"/>
    <w:rsid w:val="0066343B"/>
    <w:rsid w:val="00664777"/>
    <w:rsid w:val="00667097"/>
    <w:rsid w:val="006748A4"/>
    <w:rsid w:val="006753E9"/>
    <w:rsid w:val="00681A31"/>
    <w:rsid w:val="00683E73"/>
    <w:rsid w:val="00692AF7"/>
    <w:rsid w:val="006A1399"/>
    <w:rsid w:val="006A3141"/>
    <w:rsid w:val="006A5E34"/>
    <w:rsid w:val="006B2422"/>
    <w:rsid w:val="006B2B9A"/>
    <w:rsid w:val="006C1937"/>
    <w:rsid w:val="006F020C"/>
    <w:rsid w:val="00711DD9"/>
    <w:rsid w:val="007127B7"/>
    <w:rsid w:val="0071354A"/>
    <w:rsid w:val="00716543"/>
    <w:rsid w:val="0071798E"/>
    <w:rsid w:val="007416B6"/>
    <w:rsid w:val="00746F48"/>
    <w:rsid w:val="0075404D"/>
    <w:rsid w:val="00761243"/>
    <w:rsid w:val="0076182A"/>
    <w:rsid w:val="007670C8"/>
    <w:rsid w:val="00767B7E"/>
    <w:rsid w:val="00776C6F"/>
    <w:rsid w:val="007770C3"/>
    <w:rsid w:val="00784D24"/>
    <w:rsid w:val="00785FBA"/>
    <w:rsid w:val="00786E4A"/>
    <w:rsid w:val="007875EB"/>
    <w:rsid w:val="0079426B"/>
    <w:rsid w:val="007B4DBF"/>
    <w:rsid w:val="007C0B27"/>
    <w:rsid w:val="007C7045"/>
    <w:rsid w:val="007D1682"/>
    <w:rsid w:val="007D312A"/>
    <w:rsid w:val="007D3F19"/>
    <w:rsid w:val="007E23B0"/>
    <w:rsid w:val="007E23E5"/>
    <w:rsid w:val="007F1991"/>
    <w:rsid w:val="007F2C2F"/>
    <w:rsid w:val="007F55FC"/>
    <w:rsid w:val="007F5665"/>
    <w:rsid w:val="00800112"/>
    <w:rsid w:val="0080194E"/>
    <w:rsid w:val="00813348"/>
    <w:rsid w:val="00815D63"/>
    <w:rsid w:val="00817EE1"/>
    <w:rsid w:val="008228EF"/>
    <w:rsid w:val="00824946"/>
    <w:rsid w:val="008253BB"/>
    <w:rsid w:val="0083706E"/>
    <w:rsid w:val="008408F6"/>
    <w:rsid w:val="008423A5"/>
    <w:rsid w:val="00850625"/>
    <w:rsid w:val="00853718"/>
    <w:rsid w:val="00855221"/>
    <w:rsid w:val="00860645"/>
    <w:rsid w:val="00871F71"/>
    <w:rsid w:val="00872FD8"/>
    <w:rsid w:val="008745E4"/>
    <w:rsid w:val="00885AF4"/>
    <w:rsid w:val="008939CD"/>
    <w:rsid w:val="00893A87"/>
    <w:rsid w:val="008A66A4"/>
    <w:rsid w:val="008B768C"/>
    <w:rsid w:val="008C0EEA"/>
    <w:rsid w:val="008C4DB1"/>
    <w:rsid w:val="008C4EAF"/>
    <w:rsid w:val="008C5176"/>
    <w:rsid w:val="008C7FD0"/>
    <w:rsid w:val="008E1DE7"/>
    <w:rsid w:val="008E648B"/>
    <w:rsid w:val="008E707C"/>
    <w:rsid w:val="008F13E0"/>
    <w:rsid w:val="00900B08"/>
    <w:rsid w:val="00902155"/>
    <w:rsid w:val="00902FA3"/>
    <w:rsid w:val="00904B94"/>
    <w:rsid w:val="00907C20"/>
    <w:rsid w:val="00910C2B"/>
    <w:rsid w:val="00917F27"/>
    <w:rsid w:val="00923564"/>
    <w:rsid w:val="0092392E"/>
    <w:rsid w:val="00923FB3"/>
    <w:rsid w:val="009252C1"/>
    <w:rsid w:val="009315F9"/>
    <w:rsid w:val="00933499"/>
    <w:rsid w:val="00935C98"/>
    <w:rsid w:val="00937D3B"/>
    <w:rsid w:val="00946062"/>
    <w:rsid w:val="00946945"/>
    <w:rsid w:val="00951248"/>
    <w:rsid w:val="0095152F"/>
    <w:rsid w:val="00954C49"/>
    <w:rsid w:val="00955E37"/>
    <w:rsid w:val="0097099F"/>
    <w:rsid w:val="00971997"/>
    <w:rsid w:val="00971FFC"/>
    <w:rsid w:val="009775AA"/>
    <w:rsid w:val="0098660A"/>
    <w:rsid w:val="009931C3"/>
    <w:rsid w:val="009A19FF"/>
    <w:rsid w:val="009B2C43"/>
    <w:rsid w:val="009B4EAE"/>
    <w:rsid w:val="009B5AD1"/>
    <w:rsid w:val="009B7573"/>
    <w:rsid w:val="009C22F4"/>
    <w:rsid w:val="009C2A4B"/>
    <w:rsid w:val="009C2E98"/>
    <w:rsid w:val="009D20BE"/>
    <w:rsid w:val="009D3447"/>
    <w:rsid w:val="009D45CA"/>
    <w:rsid w:val="009D4711"/>
    <w:rsid w:val="009F1185"/>
    <w:rsid w:val="009F18CD"/>
    <w:rsid w:val="009F2A13"/>
    <w:rsid w:val="009F319F"/>
    <w:rsid w:val="009F7527"/>
    <w:rsid w:val="00A04EB0"/>
    <w:rsid w:val="00A1340C"/>
    <w:rsid w:val="00A13CC1"/>
    <w:rsid w:val="00A16847"/>
    <w:rsid w:val="00A237D8"/>
    <w:rsid w:val="00A268C4"/>
    <w:rsid w:val="00A307CD"/>
    <w:rsid w:val="00A331C8"/>
    <w:rsid w:val="00A40A00"/>
    <w:rsid w:val="00A4142F"/>
    <w:rsid w:val="00A422EB"/>
    <w:rsid w:val="00A45BB7"/>
    <w:rsid w:val="00A4652C"/>
    <w:rsid w:val="00A46E8D"/>
    <w:rsid w:val="00A56DF2"/>
    <w:rsid w:val="00A56E6E"/>
    <w:rsid w:val="00A67AB5"/>
    <w:rsid w:val="00A733B2"/>
    <w:rsid w:val="00A741C2"/>
    <w:rsid w:val="00A8464B"/>
    <w:rsid w:val="00A91760"/>
    <w:rsid w:val="00A93B00"/>
    <w:rsid w:val="00A93C21"/>
    <w:rsid w:val="00A970E8"/>
    <w:rsid w:val="00AB64C9"/>
    <w:rsid w:val="00AC3C6A"/>
    <w:rsid w:val="00AD5620"/>
    <w:rsid w:val="00AD656B"/>
    <w:rsid w:val="00AD7C1B"/>
    <w:rsid w:val="00AE16BA"/>
    <w:rsid w:val="00AE1EBE"/>
    <w:rsid w:val="00AF307F"/>
    <w:rsid w:val="00AF77B1"/>
    <w:rsid w:val="00B034F9"/>
    <w:rsid w:val="00B03C9D"/>
    <w:rsid w:val="00B060AE"/>
    <w:rsid w:val="00B10517"/>
    <w:rsid w:val="00B10CE7"/>
    <w:rsid w:val="00B14E76"/>
    <w:rsid w:val="00B151AB"/>
    <w:rsid w:val="00B161B8"/>
    <w:rsid w:val="00B2048C"/>
    <w:rsid w:val="00B310B9"/>
    <w:rsid w:val="00B339CC"/>
    <w:rsid w:val="00B35F3F"/>
    <w:rsid w:val="00B36CBB"/>
    <w:rsid w:val="00B425E0"/>
    <w:rsid w:val="00B42ABB"/>
    <w:rsid w:val="00B440AA"/>
    <w:rsid w:val="00B44B70"/>
    <w:rsid w:val="00B44E5D"/>
    <w:rsid w:val="00B53C56"/>
    <w:rsid w:val="00B559D6"/>
    <w:rsid w:val="00B57DAF"/>
    <w:rsid w:val="00B603F0"/>
    <w:rsid w:val="00B77EA6"/>
    <w:rsid w:val="00B81598"/>
    <w:rsid w:val="00B841F1"/>
    <w:rsid w:val="00B944D6"/>
    <w:rsid w:val="00B967DE"/>
    <w:rsid w:val="00BB00D7"/>
    <w:rsid w:val="00BB4DF0"/>
    <w:rsid w:val="00BC289F"/>
    <w:rsid w:val="00BC2D50"/>
    <w:rsid w:val="00BC5361"/>
    <w:rsid w:val="00BC5460"/>
    <w:rsid w:val="00BC6B50"/>
    <w:rsid w:val="00BD0E25"/>
    <w:rsid w:val="00BF5BD6"/>
    <w:rsid w:val="00C03E31"/>
    <w:rsid w:val="00C10F94"/>
    <w:rsid w:val="00C246E8"/>
    <w:rsid w:val="00C24C9A"/>
    <w:rsid w:val="00C26171"/>
    <w:rsid w:val="00C3238E"/>
    <w:rsid w:val="00C33E72"/>
    <w:rsid w:val="00C354B2"/>
    <w:rsid w:val="00C35554"/>
    <w:rsid w:val="00C3556F"/>
    <w:rsid w:val="00C367C3"/>
    <w:rsid w:val="00C42709"/>
    <w:rsid w:val="00C533CC"/>
    <w:rsid w:val="00C5751C"/>
    <w:rsid w:val="00C61BFC"/>
    <w:rsid w:val="00C62B85"/>
    <w:rsid w:val="00C65438"/>
    <w:rsid w:val="00C724F5"/>
    <w:rsid w:val="00C81218"/>
    <w:rsid w:val="00C8509B"/>
    <w:rsid w:val="00C87FD8"/>
    <w:rsid w:val="00C91381"/>
    <w:rsid w:val="00C91CBB"/>
    <w:rsid w:val="00CB4E70"/>
    <w:rsid w:val="00CC09B6"/>
    <w:rsid w:val="00CC164E"/>
    <w:rsid w:val="00CC666F"/>
    <w:rsid w:val="00CC74AD"/>
    <w:rsid w:val="00CD0E17"/>
    <w:rsid w:val="00CD1E3F"/>
    <w:rsid w:val="00CE0B28"/>
    <w:rsid w:val="00CE44F6"/>
    <w:rsid w:val="00CE49DA"/>
    <w:rsid w:val="00CE5F2C"/>
    <w:rsid w:val="00CE7B61"/>
    <w:rsid w:val="00D00095"/>
    <w:rsid w:val="00D114F0"/>
    <w:rsid w:val="00D12494"/>
    <w:rsid w:val="00D12CF1"/>
    <w:rsid w:val="00D1323C"/>
    <w:rsid w:val="00D20620"/>
    <w:rsid w:val="00D254F7"/>
    <w:rsid w:val="00D26091"/>
    <w:rsid w:val="00D2685C"/>
    <w:rsid w:val="00D34E7C"/>
    <w:rsid w:val="00D35489"/>
    <w:rsid w:val="00D36AFE"/>
    <w:rsid w:val="00D40E30"/>
    <w:rsid w:val="00D51276"/>
    <w:rsid w:val="00D537DA"/>
    <w:rsid w:val="00D7035F"/>
    <w:rsid w:val="00D813F5"/>
    <w:rsid w:val="00DA634F"/>
    <w:rsid w:val="00DA65AC"/>
    <w:rsid w:val="00DB1913"/>
    <w:rsid w:val="00DB7CAB"/>
    <w:rsid w:val="00DC410D"/>
    <w:rsid w:val="00DC5A81"/>
    <w:rsid w:val="00DC68CA"/>
    <w:rsid w:val="00DC7CBA"/>
    <w:rsid w:val="00DD0022"/>
    <w:rsid w:val="00DD73B7"/>
    <w:rsid w:val="00DE257A"/>
    <w:rsid w:val="00DE4CE2"/>
    <w:rsid w:val="00DF05A2"/>
    <w:rsid w:val="00DF28BC"/>
    <w:rsid w:val="00DF34B9"/>
    <w:rsid w:val="00E01053"/>
    <w:rsid w:val="00E07ACF"/>
    <w:rsid w:val="00E24956"/>
    <w:rsid w:val="00E331A1"/>
    <w:rsid w:val="00E33202"/>
    <w:rsid w:val="00E336A9"/>
    <w:rsid w:val="00E35E12"/>
    <w:rsid w:val="00E46DAD"/>
    <w:rsid w:val="00E472B1"/>
    <w:rsid w:val="00E50624"/>
    <w:rsid w:val="00E52ECF"/>
    <w:rsid w:val="00E568DF"/>
    <w:rsid w:val="00E64269"/>
    <w:rsid w:val="00E732B4"/>
    <w:rsid w:val="00E82267"/>
    <w:rsid w:val="00E853CE"/>
    <w:rsid w:val="00E867B6"/>
    <w:rsid w:val="00E90528"/>
    <w:rsid w:val="00EA010F"/>
    <w:rsid w:val="00EB6997"/>
    <w:rsid w:val="00EC49AD"/>
    <w:rsid w:val="00EC64D2"/>
    <w:rsid w:val="00ED1B63"/>
    <w:rsid w:val="00ED3C1F"/>
    <w:rsid w:val="00ED4085"/>
    <w:rsid w:val="00ED420E"/>
    <w:rsid w:val="00ED6FBE"/>
    <w:rsid w:val="00EE1195"/>
    <w:rsid w:val="00EE1528"/>
    <w:rsid w:val="00EE2F57"/>
    <w:rsid w:val="00EF0A20"/>
    <w:rsid w:val="00EF4C34"/>
    <w:rsid w:val="00EF77C6"/>
    <w:rsid w:val="00F04754"/>
    <w:rsid w:val="00F05438"/>
    <w:rsid w:val="00F103CA"/>
    <w:rsid w:val="00F1361C"/>
    <w:rsid w:val="00F1543A"/>
    <w:rsid w:val="00F156F0"/>
    <w:rsid w:val="00F160C7"/>
    <w:rsid w:val="00F22CE1"/>
    <w:rsid w:val="00F2408F"/>
    <w:rsid w:val="00F240E9"/>
    <w:rsid w:val="00F36D8F"/>
    <w:rsid w:val="00F417B1"/>
    <w:rsid w:val="00F44B71"/>
    <w:rsid w:val="00F45853"/>
    <w:rsid w:val="00F46930"/>
    <w:rsid w:val="00F602DF"/>
    <w:rsid w:val="00F754A1"/>
    <w:rsid w:val="00F8167A"/>
    <w:rsid w:val="00F81FD9"/>
    <w:rsid w:val="00F83E4A"/>
    <w:rsid w:val="00F841AA"/>
    <w:rsid w:val="00F84A94"/>
    <w:rsid w:val="00F87E96"/>
    <w:rsid w:val="00F912D5"/>
    <w:rsid w:val="00F93ABA"/>
    <w:rsid w:val="00FA23E8"/>
    <w:rsid w:val="00FC648C"/>
    <w:rsid w:val="00FD044C"/>
    <w:rsid w:val="00FD1CB8"/>
    <w:rsid w:val="00FD3CC1"/>
    <w:rsid w:val="00FF1E02"/>
    <w:rsid w:val="00FF2AA1"/>
    <w:rsid w:val="00FF30B4"/>
    <w:rsid w:val="00FF4241"/>
    <w:rsid w:val="01F26DD4"/>
    <w:rsid w:val="04763A49"/>
    <w:rsid w:val="05C205BF"/>
    <w:rsid w:val="06391410"/>
    <w:rsid w:val="07596623"/>
    <w:rsid w:val="0A2032A3"/>
    <w:rsid w:val="0B8A37D8"/>
    <w:rsid w:val="0C722A19"/>
    <w:rsid w:val="0D70449C"/>
    <w:rsid w:val="10C055FF"/>
    <w:rsid w:val="10EA5546"/>
    <w:rsid w:val="113C2E92"/>
    <w:rsid w:val="118107EC"/>
    <w:rsid w:val="11DD6519"/>
    <w:rsid w:val="130B1D3F"/>
    <w:rsid w:val="1387365B"/>
    <w:rsid w:val="13A40DD7"/>
    <w:rsid w:val="16BB723D"/>
    <w:rsid w:val="173A556B"/>
    <w:rsid w:val="18015F3F"/>
    <w:rsid w:val="18583BD5"/>
    <w:rsid w:val="19393AC7"/>
    <w:rsid w:val="19C22ADA"/>
    <w:rsid w:val="1B2312B9"/>
    <w:rsid w:val="1B6C1DAC"/>
    <w:rsid w:val="1BE8440E"/>
    <w:rsid w:val="1D155CEE"/>
    <w:rsid w:val="1D302A54"/>
    <w:rsid w:val="20241335"/>
    <w:rsid w:val="20F57F95"/>
    <w:rsid w:val="21530A53"/>
    <w:rsid w:val="240371BF"/>
    <w:rsid w:val="244244E1"/>
    <w:rsid w:val="24D17D91"/>
    <w:rsid w:val="25123C9A"/>
    <w:rsid w:val="25B7033B"/>
    <w:rsid w:val="25C741E6"/>
    <w:rsid w:val="260727F1"/>
    <w:rsid w:val="269F6E7B"/>
    <w:rsid w:val="27842671"/>
    <w:rsid w:val="28092D7E"/>
    <w:rsid w:val="29FD04D3"/>
    <w:rsid w:val="2AA07F73"/>
    <w:rsid w:val="2ABE7A3E"/>
    <w:rsid w:val="2D694E8D"/>
    <w:rsid w:val="2EFA178C"/>
    <w:rsid w:val="2F1A6A98"/>
    <w:rsid w:val="30B46D73"/>
    <w:rsid w:val="316F7EA1"/>
    <w:rsid w:val="319F7F4E"/>
    <w:rsid w:val="353E146D"/>
    <w:rsid w:val="362F1FC2"/>
    <w:rsid w:val="37E35447"/>
    <w:rsid w:val="39AE70AB"/>
    <w:rsid w:val="3A1C1D99"/>
    <w:rsid w:val="3BBA40C3"/>
    <w:rsid w:val="3C0C0783"/>
    <w:rsid w:val="3CA04051"/>
    <w:rsid w:val="3F9F3A96"/>
    <w:rsid w:val="427D4642"/>
    <w:rsid w:val="4359242C"/>
    <w:rsid w:val="47075411"/>
    <w:rsid w:val="493C27E9"/>
    <w:rsid w:val="496F39ED"/>
    <w:rsid w:val="49D87E1D"/>
    <w:rsid w:val="49FF41D3"/>
    <w:rsid w:val="4A332850"/>
    <w:rsid w:val="4B79577F"/>
    <w:rsid w:val="4BE068DB"/>
    <w:rsid w:val="4BF6002B"/>
    <w:rsid w:val="4ECE2238"/>
    <w:rsid w:val="513F639F"/>
    <w:rsid w:val="514B772E"/>
    <w:rsid w:val="51CE00A6"/>
    <w:rsid w:val="51DB4B86"/>
    <w:rsid w:val="53215392"/>
    <w:rsid w:val="55333C3E"/>
    <w:rsid w:val="55EB1516"/>
    <w:rsid w:val="5662255D"/>
    <w:rsid w:val="57817115"/>
    <w:rsid w:val="59621653"/>
    <w:rsid w:val="5A652DC6"/>
    <w:rsid w:val="5A7D1EF5"/>
    <w:rsid w:val="5A8F4FE3"/>
    <w:rsid w:val="5DBD7801"/>
    <w:rsid w:val="5FEC72F5"/>
    <w:rsid w:val="60573CE3"/>
    <w:rsid w:val="60F21467"/>
    <w:rsid w:val="620B04C8"/>
    <w:rsid w:val="6389059D"/>
    <w:rsid w:val="64CA39A1"/>
    <w:rsid w:val="68B90421"/>
    <w:rsid w:val="6A426B4B"/>
    <w:rsid w:val="6C4A05C8"/>
    <w:rsid w:val="6C6F0C3C"/>
    <w:rsid w:val="6C832662"/>
    <w:rsid w:val="6DB41009"/>
    <w:rsid w:val="708D75F3"/>
    <w:rsid w:val="7160235B"/>
    <w:rsid w:val="72734D90"/>
    <w:rsid w:val="72BA7F05"/>
    <w:rsid w:val="72F66722"/>
    <w:rsid w:val="734D0F4E"/>
    <w:rsid w:val="743007A6"/>
    <w:rsid w:val="76622A9B"/>
    <w:rsid w:val="76676D17"/>
    <w:rsid w:val="77340C7C"/>
    <w:rsid w:val="78155BE4"/>
    <w:rsid w:val="791D09A6"/>
    <w:rsid w:val="79E7B28D"/>
    <w:rsid w:val="7E0522D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autoRedefine/>
    <w:qFormat/>
    <w:uiPriority w:val="99"/>
    <w:pPr>
      <w:spacing w:beforeLines="30"/>
    </w:pPr>
    <w:rPr>
      <w:rFonts w:ascii="仿宋_GB2312" w:eastAsia="仿宋_GB2312"/>
      <w:kern w:val="0"/>
      <w:sz w:val="30"/>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1"/>
    <w:autoRedefine/>
    <w:semiHidden/>
    <w:unhideWhenUsed/>
    <w:qFormat/>
    <w:uiPriority w:val="99"/>
    <w:rPr>
      <w:sz w:val="18"/>
      <w:szCs w:val="18"/>
    </w:rPr>
  </w:style>
  <w:style w:type="paragraph" w:styleId="11">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customStyle="1" w:styleId="20">
    <w:name w:val="Header Char"/>
    <w:basedOn w:val="17"/>
    <w:autoRedefine/>
    <w:semiHidden/>
    <w:qFormat/>
    <w:uiPriority w:val="99"/>
    <w:rPr>
      <w:rFonts w:ascii="Times New Roman" w:hAnsi="Times New Roman"/>
      <w:sz w:val="18"/>
      <w:szCs w:val="18"/>
    </w:rPr>
  </w:style>
  <w:style w:type="character" w:customStyle="1" w:styleId="21">
    <w:name w:val="页眉 Char"/>
    <w:link w:val="12"/>
    <w:autoRedefine/>
    <w:semiHidden/>
    <w:qFormat/>
    <w:locked/>
    <w:uiPriority w:val="99"/>
    <w:rPr>
      <w:sz w:val="18"/>
    </w:rPr>
  </w:style>
  <w:style w:type="character" w:customStyle="1" w:styleId="22">
    <w:name w:val="Footer Char"/>
    <w:basedOn w:val="17"/>
    <w:autoRedefine/>
    <w:semiHidden/>
    <w:qFormat/>
    <w:uiPriority w:val="99"/>
    <w:rPr>
      <w:rFonts w:ascii="Times New Roman" w:hAnsi="Times New Roman"/>
      <w:sz w:val="18"/>
      <w:szCs w:val="18"/>
    </w:rPr>
  </w:style>
  <w:style w:type="character" w:customStyle="1" w:styleId="23">
    <w:name w:val="页脚 Char"/>
    <w:link w:val="11"/>
    <w:autoRedefine/>
    <w:qFormat/>
    <w:locked/>
    <w:uiPriority w:val="99"/>
    <w:rPr>
      <w:sz w:val="18"/>
    </w:rPr>
  </w:style>
  <w:style w:type="character" w:customStyle="1" w:styleId="24">
    <w:name w:val="Body Text Char"/>
    <w:basedOn w:val="17"/>
    <w:autoRedefine/>
    <w:semiHidden/>
    <w:qFormat/>
    <w:uiPriority w:val="99"/>
    <w:rPr>
      <w:rFonts w:ascii="Times New Roman" w:hAnsi="Times New Roman"/>
      <w:szCs w:val="24"/>
    </w:rPr>
  </w:style>
  <w:style w:type="character" w:customStyle="1" w:styleId="25">
    <w:name w:val="正文文本 Char"/>
    <w:link w:val="8"/>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Char"/>
    <w:basedOn w:val="17"/>
    <w:link w:val="5"/>
    <w:autoRedefine/>
    <w:qFormat/>
    <w:uiPriority w:val="9"/>
    <w:rPr>
      <w:rFonts w:ascii="Times New Roman" w:hAnsi="Times New Roman"/>
      <w:b/>
      <w:bCs/>
      <w:kern w:val="44"/>
      <w:sz w:val="44"/>
      <w:szCs w:val="44"/>
    </w:rPr>
  </w:style>
  <w:style w:type="character" w:customStyle="1" w:styleId="29">
    <w:name w:val="标题 2 Char"/>
    <w:basedOn w:val="17"/>
    <w:link w:val="6"/>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autoRedefine/>
    <w:semiHidden/>
    <w:qFormat/>
    <w:uiPriority w:val="99"/>
    <w:rPr>
      <w:rFonts w:ascii="Times New Roman" w:hAnsi="Times New Roman"/>
      <w:kern w:val="2"/>
      <w:sz w:val="18"/>
      <w:szCs w:val="18"/>
    </w:rPr>
  </w:style>
  <w:style w:type="character" w:customStyle="1" w:styleId="32">
    <w:name w:val="标题 3 Char"/>
    <w:basedOn w:val="17"/>
    <w:link w:val="7"/>
    <w:autoRedefine/>
    <w:qFormat/>
    <w:uiPriority w:val="9"/>
    <w:rPr>
      <w:rFonts w:ascii="Times New Roman" w:hAnsi="Times New Roman"/>
      <w:b/>
      <w:bCs/>
      <w:kern w:val="2"/>
      <w:sz w:val="32"/>
      <w:szCs w:val="32"/>
    </w:rPr>
  </w:style>
  <w:style w:type="paragraph" w:customStyle="1" w:styleId="33">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71"/>
    <w:basedOn w:val="17"/>
    <w:autoRedefine/>
    <w:qFormat/>
    <w:uiPriority w:val="0"/>
    <w:rPr>
      <w:rFonts w:ascii="宋体" w:hAnsi="宋体" w:eastAsia="宋体" w:cs="宋体"/>
      <w:color w:val="000000"/>
      <w:sz w:val="18"/>
      <w:szCs w:val="18"/>
      <w:u w:val="none"/>
    </w:rPr>
  </w:style>
  <w:style w:type="character" w:customStyle="1" w:styleId="35">
    <w:name w:val="font01"/>
    <w:basedOn w:val="17"/>
    <w:autoRedefine/>
    <w:qFormat/>
    <w:uiPriority w:val="0"/>
    <w:rPr>
      <w:rFonts w:ascii="Arial" w:hAnsi="Arial" w:cs="Arial"/>
      <w:color w:val="000000"/>
      <w:sz w:val="18"/>
      <w:szCs w:val="18"/>
      <w:u w:val="none"/>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016815323878"/>
          <c:y val="0.0350037773860489"/>
          <c:w val="0.880596578447141"/>
          <c:h val="0.863006799294888"/>
        </c:manualLayout>
      </c:layout>
      <c:barChart>
        <c:barDir val="col"/>
        <c:grouping val="clustered"/>
        <c:varyColors val="0"/>
        <c:ser>
          <c:idx val="2"/>
          <c:order val="0"/>
          <c:tx>
            <c:strRef>
              <c:f>Sheet1!$B$2</c:f>
              <c:strCache>
                <c:ptCount val="1"/>
                <c:pt idx="0">
                  <c:v>2023年预算收支总计</c:v>
                </c:pt>
              </c:strCache>
            </c:strRef>
          </c:tx>
          <c:spPr>
            <a:solidFill>
              <a:schemeClr val="accent2">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Sheet1!$B$3</c:f>
              <c:numCache>
                <c:formatCode>0.00_ </c:formatCode>
                <c:ptCount val="1"/>
                <c:pt idx="0">
                  <c:v>1022.22</c:v>
                </c:pt>
              </c:numCache>
            </c:numRef>
          </c:val>
        </c:ser>
        <c:ser>
          <c:idx val="3"/>
          <c:order val="1"/>
          <c:tx>
            <c:strRef>
              <c:f>Sheet1!$C$2</c:f>
              <c:strCache>
                <c:ptCount val="1"/>
                <c:pt idx="0">
                  <c:v>2024年预算收支总计</c:v>
                </c:pt>
              </c:strCache>
            </c:strRef>
          </c:tx>
          <c:spPr>
            <a:solidFill>
              <a:schemeClr val="accent3">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Sheet1!$C$3</c:f>
              <c:numCache>
                <c:formatCode>0.00_ </c:formatCode>
                <c:ptCount val="1"/>
                <c:pt idx="0">
                  <c:v>1114.69</c:v>
                </c:pt>
              </c:numCache>
            </c:numRef>
          </c:val>
        </c:ser>
        <c:dLbls>
          <c:showLegendKey val="0"/>
          <c:showVal val="1"/>
          <c:showCatName val="0"/>
          <c:showSerName val="0"/>
          <c:showPercent val="0"/>
          <c:showBubbleSize val="0"/>
        </c:dLbls>
        <c:gapWidth val="246"/>
        <c:overlap val="-28"/>
        <c:axId val="130182528"/>
        <c:axId val="130188416"/>
      </c:barChart>
      <c:catAx>
        <c:axId val="13018252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8416"/>
        <c:crosses val="autoZero"/>
        <c:auto val="1"/>
        <c:lblAlgn val="ctr"/>
        <c:lblOffset val="100"/>
        <c:noMultiLvlLbl val="0"/>
      </c:catAx>
      <c:valAx>
        <c:axId val="130188416"/>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2528"/>
        <c:crosses val="autoZero"/>
        <c:crossBetween val="between"/>
      </c:valAx>
      <c:spPr>
        <a:noFill/>
        <a:ln>
          <a:noFill/>
        </a:ln>
        <a:effectLst/>
      </c:spPr>
    </c:plotArea>
    <c:legend>
      <c:legendPos val="b"/>
      <c:layout>
        <c:manualLayout>
          <c:xMode val="edge"/>
          <c:yMode val="edge"/>
          <c:x val="0.30128030509398"/>
          <c:y val="0.9215728405672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bfb2c1-bbd4-48db-b2f3-a7370455e322}"/>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6786736770518"/>
          <c:y val="0.0350236355822948"/>
          <c:w val="0.882425"/>
          <c:h val="0.862904496825807"/>
        </c:manualLayout>
      </c:layout>
      <c:barChart>
        <c:barDir val="col"/>
        <c:grouping val="clustered"/>
        <c:varyColors val="0"/>
        <c:ser>
          <c:idx val="2"/>
          <c:order val="0"/>
          <c:tx>
            <c:strRef>
              <c:f>Sheet1!$B$2</c:f>
              <c:strCache>
                <c:ptCount val="1"/>
                <c:pt idx="0">
                  <c:v>2022年预算收支总计</c:v>
                </c:pt>
              </c:strCache>
            </c:strRef>
          </c:tx>
          <c:spPr>
            <a:solidFill>
              <a:schemeClr val="accent2">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Sheet1!$B$3</c:f>
              <c:numCache>
                <c:formatCode>0.00_ </c:formatCode>
                <c:ptCount val="1"/>
                <c:pt idx="0">
                  <c:v>729.84</c:v>
                </c:pt>
              </c:numCache>
            </c:numRef>
          </c:val>
        </c:ser>
        <c:ser>
          <c:idx val="3"/>
          <c:order val="1"/>
          <c:tx>
            <c:strRef>
              <c:f>Sheet1!$C$2</c:f>
              <c:strCache>
                <c:ptCount val="1"/>
                <c:pt idx="0">
                  <c:v>2023年预算收支总计</c:v>
                </c:pt>
              </c:strCache>
            </c:strRef>
          </c:tx>
          <c:spPr>
            <a:solidFill>
              <a:schemeClr val="accent3">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Sheet1!$C$3</c:f>
              <c:numCache>
                <c:formatCode>0.00_ </c:formatCode>
                <c:ptCount val="1"/>
                <c:pt idx="0">
                  <c:v>772.71</c:v>
                </c:pt>
              </c:numCache>
            </c:numRef>
          </c:val>
        </c:ser>
        <c:dLbls>
          <c:showLegendKey val="0"/>
          <c:showVal val="1"/>
          <c:showCatName val="0"/>
          <c:showSerName val="0"/>
          <c:showPercent val="0"/>
          <c:showBubbleSize val="0"/>
        </c:dLbls>
        <c:gapWidth val="246"/>
        <c:overlap val="-28"/>
        <c:axId val="130182528"/>
        <c:axId val="130188416"/>
      </c:barChart>
      <c:catAx>
        <c:axId val="13018252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8416"/>
        <c:crosses val="autoZero"/>
        <c:auto val="1"/>
        <c:lblAlgn val="ctr"/>
        <c:lblOffset val="100"/>
        <c:noMultiLvlLbl val="0"/>
      </c:catAx>
      <c:valAx>
        <c:axId val="130188416"/>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2528"/>
        <c:crosses val="autoZero"/>
        <c:crossBetween val="between"/>
      </c:valAx>
      <c:spPr>
        <a:noFill/>
        <a:ln>
          <a:noFill/>
        </a:ln>
        <a:effectLst/>
      </c:spPr>
    </c:plotArea>
    <c:legend>
      <c:legendPos val="b"/>
      <c:layout>
        <c:manualLayout>
          <c:xMode val="edge"/>
          <c:yMode val="edge"/>
          <c:x val="0.299645873059112"/>
          <c:y val="0.9215728405672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c9ee85-6d99-4289-8c38-effa72421a7a}"/>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solidFill>
              <a:schemeClr val="accent2">
                <a:lumMod val="75000"/>
              </a:schemeClr>
            </a:solidFill>
          </c:spPr>
          <c:explosion val="0"/>
          <c:dPt>
            <c:idx val="0"/>
            <c:bubble3D val="0"/>
            <c:spPr>
              <a:solidFill>
                <a:schemeClr val="accent2">
                  <a:lumMod val="75000"/>
                </a:schemeClr>
              </a:solidFill>
              <a:ln>
                <a:solidFill>
                  <a:schemeClr val="bg1"/>
                </a:solidFill>
              </a:ln>
              <a:effectLst/>
            </c:spPr>
          </c:dPt>
          <c:dPt>
            <c:idx val="1"/>
            <c:bubble3D val="0"/>
            <c:spPr>
              <a:solidFill>
                <a:schemeClr val="accent3">
                  <a:lumMod val="50000"/>
                </a:schemeClr>
              </a:solidFill>
              <a:ln>
                <a:solidFill>
                  <a:schemeClr val="bg1"/>
                </a:solidFill>
              </a:ln>
              <a:effectLst/>
            </c:spPr>
          </c:dPt>
          <c:dLbls>
            <c:dLbl>
              <c:idx val="0"/>
              <c:layout>
                <c:manualLayout>
                  <c:x val="-0.0193793789894312"/>
                  <c:y val="-0.2141946451338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1075.26</a:t>
                    </a:r>
                    <a:r>
                      <a:rPr altLang="en-US"/>
                      <a:t>万元</a:t>
                    </a:r>
                    <a:r>
                      <a:t>96.</a:t>
                    </a:r>
                    <a:r>
                      <a:rPr lang="en-US" altLang="zh-CN"/>
                      <a:t>54</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71563179511959"/>
                      <c:h val="0.114109647258819"/>
                    </c:manualLayout>
                  </c15:layout>
                </c:ext>
              </c:extLst>
            </c:dLbl>
            <c:dLbl>
              <c:idx val="1"/>
              <c:layout>
                <c:manualLayout>
                  <c:x val="0.0312788043771744"/>
                  <c:y val="0.040817745553328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37.12</a:t>
                    </a:r>
                    <a:r>
                      <a:rPr altLang="en-US"/>
                      <a:t>万元，</a:t>
                    </a:r>
                    <a:r>
                      <a:t>3.</a:t>
                    </a:r>
                    <a:r>
                      <a:rPr lang="en-US" altLang="zh-CN"/>
                      <a:t>45</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31650157042764"/>
                      <c:h val="0.116659583510412"/>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0.967</c:v>
                </c:pt>
                <c:pt idx="1">
                  <c:v>0.033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f79a89-373a-42dd-b4ad-a24e17d5de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一般公共预算财政拨款支出比例图</a:t>
            </a:r>
          </a:p>
        </c:rich>
      </c:tx>
      <c:layout>
        <c:manualLayout>
          <c:xMode val="edge"/>
          <c:yMode val="edge"/>
          <c:x val="0.24812756704518"/>
          <c:y val="0.0325116872078198"/>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基本支出836.46万元，77.15%</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32868091450814"/>
                  <c:y val="0.08716697630919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r>
                      <a:rPr lang="en-US" altLang="zh-CN"/>
                      <a:t>247.69</a:t>
                    </a:r>
                    <a:r>
                      <a:t>万元，</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22.85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836.46</c:v>
                </c:pt>
                <c:pt idx="1">
                  <c:v>247.69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f1984df5-0965-4154-9308-3ff4ece9e9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13701988559"/>
          <c:y val="0.320154705629566"/>
          <c:w val="0.888776900027241"/>
          <c:h val="0.673399226471852"/>
        </c:manualLayout>
      </c:layout>
      <c:barChart>
        <c:barDir val="col"/>
        <c:grouping val="clustered"/>
        <c:varyColors val="0"/>
        <c:ser>
          <c:idx val="2"/>
          <c:order val="0"/>
          <c:tx>
            <c:strRef>
              <c:f>Sheet1!$B$2</c:f>
              <c:strCache>
                <c:ptCount val="1"/>
                <c:pt idx="0">
                  <c:v>2023年预算收支总计</c:v>
                </c:pt>
              </c:strCache>
            </c:strRef>
          </c:tx>
          <c:spPr>
            <a:solidFill>
              <a:schemeClr val="accent2">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Sheet1!$B$3</c:f>
              <c:numCache>
                <c:formatCode>0.00_ </c:formatCode>
                <c:ptCount val="1"/>
                <c:pt idx="0">
                  <c:v>772.71</c:v>
                </c:pt>
              </c:numCache>
            </c:numRef>
          </c:val>
        </c:ser>
        <c:ser>
          <c:idx val="3"/>
          <c:order val="1"/>
          <c:tx>
            <c:strRef>
              <c:f>Sheet1!$C$2</c:f>
              <c:strCache>
                <c:ptCount val="1"/>
                <c:pt idx="0">
                  <c:v>2024年预算收支总计</c:v>
                </c:pt>
              </c:strCache>
            </c:strRef>
          </c:tx>
          <c:spPr>
            <a:solidFill>
              <a:schemeClr val="accent3">
                <a:lumMod val="75000"/>
              </a:schemeClr>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77</a:t>
                    </a:r>
                    <a:r>
                      <a:t>.56</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Sheet1!$C$3</c:f>
              <c:numCache>
                <c:formatCode>0.00_ </c:formatCode>
                <c:ptCount val="1"/>
                <c:pt idx="0">
                  <c:v>1044.56</c:v>
                </c:pt>
              </c:numCache>
            </c:numRef>
          </c:val>
        </c:ser>
        <c:dLbls>
          <c:showLegendKey val="0"/>
          <c:showVal val="1"/>
          <c:showCatName val="0"/>
          <c:showSerName val="0"/>
          <c:showPercent val="0"/>
          <c:showBubbleSize val="0"/>
        </c:dLbls>
        <c:gapWidth val="246"/>
        <c:overlap val="-28"/>
        <c:axId val="130182528"/>
        <c:axId val="130188416"/>
      </c:barChart>
      <c:catAx>
        <c:axId val="13018252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8416"/>
        <c:crosses val="autoZero"/>
        <c:auto val="1"/>
        <c:lblAlgn val="ctr"/>
        <c:lblOffset val="100"/>
        <c:noMultiLvlLbl val="0"/>
      </c:catAx>
      <c:valAx>
        <c:axId val="130188416"/>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2528"/>
        <c:crosses val="autoZero"/>
        <c:crossBetween val="between"/>
      </c:valAx>
      <c:spPr>
        <a:noFill/>
        <a:ln>
          <a:noFill/>
        </a:ln>
        <a:effectLst/>
      </c:spPr>
    </c:plotArea>
    <c:legend>
      <c:legendPos val="b"/>
      <c:layout>
        <c:manualLayout>
          <c:xMode val="edge"/>
          <c:yMode val="edge"/>
          <c:x val="0.299645873059112"/>
          <c:y val="0.9215728405672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78c866-f174-4b09-98aa-56cee28335a8}"/>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63368613724"/>
          <c:y val="0.228289049997873"/>
          <c:w val="0.854256526674234"/>
          <c:h val="0.592437949431686"/>
        </c:manualLayout>
      </c:layout>
      <c:barChart>
        <c:barDir val="col"/>
        <c:grouping val="clustered"/>
        <c:varyColors val="0"/>
        <c:ser>
          <c:idx val="2"/>
          <c:order val="0"/>
          <c:tx>
            <c:strRef>
              <c:f>Sheet1!$B$2</c:f>
              <c:strCache>
                <c:ptCount val="1"/>
                <c:pt idx="0">
                  <c:v>2023年财政拨款支出总计</c:v>
                </c:pt>
              </c:strCache>
            </c:strRef>
          </c:tx>
          <c:spPr>
            <a:solidFill>
              <a:schemeClr val="accent2">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Sheet1!$B$3</c:f>
              <c:numCache>
                <c:formatCode>0.00_ </c:formatCode>
                <c:ptCount val="1"/>
                <c:pt idx="0">
                  <c:v>1022.52</c:v>
                </c:pt>
              </c:numCache>
            </c:numRef>
          </c:val>
        </c:ser>
        <c:ser>
          <c:idx val="3"/>
          <c:order val="1"/>
          <c:tx>
            <c:strRef>
              <c:f>Sheet1!$C$2</c:f>
              <c:strCache>
                <c:ptCount val="1"/>
                <c:pt idx="0">
                  <c:v>2024年财政拨款支出总计</c:v>
                </c:pt>
              </c:strCache>
            </c:strRef>
          </c:tx>
          <c:spPr>
            <a:solidFill>
              <a:schemeClr val="accent3">
                <a:lumMod val="75000"/>
              </a:schemeClr>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47</a:t>
                    </a:r>
                    <a:r>
                      <a:t>.</a:t>
                    </a:r>
                    <a:r>
                      <a:rPr lang="en-US" altLang="zh-CN"/>
                      <a:t>02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Sheet1!$A$3</c:f>
              <c:strCache>
                <c:ptCount val="1"/>
                <c:pt idx="0">
                  <c:v>类别 1</c:v>
                </c:pt>
              </c:strCache>
            </c:strRef>
          </c:cat>
          <c:val>
            <c:numRef>
              <c:f>Sheet1!$C$3</c:f>
              <c:numCache>
                <c:formatCode>0.00_ </c:formatCode>
                <c:ptCount val="1"/>
                <c:pt idx="0">
                  <c:v>1047.02</c:v>
                </c:pt>
              </c:numCache>
            </c:numRef>
          </c:val>
        </c:ser>
        <c:dLbls>
          <c:showLegendKey val="0"/>
          <c:showVal val="1"/>
          <c:showCatName val="0"/>
          <c:showSerName val="0"/>
          <c:showPercent val="0"/>
          <c:showBubbleSize val="0"/>
        </c:dLbls>
        <c:gapWidth val="246"/>
        <c:overlap val="-28"/>
        <c:axId val="130182528"/>
        <c:axId val="130188416"/>
      </c:barChart>
      <c:catAx>
        <c:axId val="13018252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8416"/>
        <c:crosses val="autoZero"/>
        <c:auto val="1"/>
        <c:lblAlgn val="ctr"/>
        <c:lblOffset val="100"/>
        <c:noMultiLvlLbl val="0"/>
      </c:catAx>
      <c:valAx>
        <c:axId val="130188416"/>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182528"/>
        <c:crosses val="autoZero"/>
        <c:crossBetween val="between"/>
      </c:valAx>
      <c:spPr>
        <a:noFill/>
        <a:ln>
          <a:noFill/>
        </a:ln>
        <a:effectLst/>
      </c:spPr>
    </c:plotArea>
    <c:legend>
      <c:legendPos val="b"/>
      <c:layout>
        <c:manualLayout>
          <c:xMode val="edge"/>
          <c:yMode val="edge"/>
          <c:x val="0.301221503311213"/>
          <c:y val="0.9238921293187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239c6b-8718-44fb-b2db-1470d3471c55}"/>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831.37</c:v>
                </c:pt>
                <c:pt idx="1">
                  <c:v>130.58</c:v>
                </c:pt>
                <c:pt idx="2">
                  <c:v>25.29</c:v>
                </c:pt>
                <c:pt idx="3">
                  <c:v>59.79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027855-46e4-49e4-ad28-0f5e2b82d2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gradFill>
              <a:gsLst>
                <a:gs pos="0">
                  <a:srgbClr val="8488C4"/>
                </a:gs>
                <a:gs pos="53000">
                  <a:srgbClr val="D4DEFF"/>
                </a:gs>
                <a:gs pos="83000">
                  <a:srgbClr val="D4DEFF"/>
                </a:gs>
                <a:gs pos="100000">
                  <a:srgbClr val="96AB94"/>
                </a:gs>
              </a:gsLst>
              <a:lin ang="5400000" scaled="0"/>
            </a:gradFill>
          </c:spPr>
          <c:explosion val="0"/>
          <c:dPt>
            <c:idx val="0"/>
            <c:bubble3D val="0"/>
            <c:spPr>
              <a:gradFill>
                <a:gsLst>
                  <a:gs pos="0">
                    <a:srgbClr val="8488C4"/>
                  </a:gs>
                  <a:gs pos="53000">
                    <a:srgbClr val="D4DEFF"/>
                  </a:gs>
                  <a:gs pos="83000">
                    <a:srgbClr val="D4DEFF"/>
                  </a:gs>
                  <a:gs pos="100000">
                    <a:srgbClr val="96AB94"/>
                  </a:gs>
                </a:gsLst>
                <a:lin ang="5400000" scaled="0"/>
              </a:gradFill>
            </c:spPr>
          </c:dPt>
          <c:dLbls>
            <c:delete val="1"/>
          </c:dLbls>
          <c:cat>
            <c:strRef>
              <c:f>Sheet1!$A$2</c:f>
              <c:strCache>
                <c:ptCount val="1"/>
                <c:pt idx="0">
                  <c:v>公务接待费支出0.32万元，占100.00%。</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2151898734177"/>
          <c:y val="0.51002615518744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79bbfc8-b8d5-4b00-9a77-07765b5806e2}"/>
      </c:ext>
    </c:extLst>
  </c:chart>
  <c:spPr>
    <a:noFill/>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86edcefa-2032-47cc-a603-552500486495</errorID>
      <errorWord>.....</errorWord>
      <group>L1_Punc</group>
      <groupName>标点问题</groupName>
      <ability>L2_Punc</ability>
      <abilityName>标点符号检查</abilityName>
      <candidateList>
        <item>……</item>
      </candidateList>
      <explain>省略号错误。</explain>
      <paraID>66CF2F89</paraID>
      <start>22</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8ad68907-c582-4257-ae40-698c6c17c4c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7806</Words>
  <Characters>10058</Characters>
  <Lines>10</Lines>
  <Paragraphs>17</Paragraphs>
  <TotalTime>12</TotalTime>
  <ScaleCrop>false</ScaleCrop>
  <LinksUpToDate>false</LinksUpToDate>
  <CharactersWithSpaces>10084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2022-10-17T11:11:00Z</dcterms:created>
  <dc:creator>曹颖</dc:creator>
  <cp:lastModifiedBy>碧云天</cp:lastModifiedBy>
  <cp:lastPrinted>2022-08-06T02:23:00Z</cp:lastPrinted>
  <dcterms:modified xsi:type="dcterms:W3CDTF">2025-12-03T03:39:43Z</dcterms:modified>
  <dc:title>四川省***</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5AD1F60B0137431EA6C3A6F57D87D5B1_13</vt:lpwstr>
  </property>
  <property fmtid="{D5CDD505-2E9C-101B-9397-08002B2CF9AE}" pid="4" name="KSOTemplateDocerSaveRecord">
    <vt:lpwstr>eyJoZGlkIjoiNzI2ZGI0OGUzMDAzMzk0YmE1OTYyMDVlZGMwMmYyODYiLCJ1c2VySWQiOiIxMTM5NjM2MTk5In0=</vt:lpwstr>
  </property>
</Properties>
</file>