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drawings/drawing1.xml" ContentType="application/vnd.openxmlformats-officedocument.drawingml.chartshapes+xml"/>
  <Override PartName="/word/drawings/drawing2.xml" ContentType="application/vnd.openxmlformats-officedocument.drawingml.chartshapes+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3275BA">
      <w:pPr>
        <w:spacing w:line="600" w:lineRule="exact"/>
        <w:jc w:val="both"/>
        <w:outlineLvl w:val="0"/>
        <w:rPr>
          <w:rFonts w:ascii="方正小标宋简体" w:hAnsi="宋体" w:eastAsia="方正小标宋简体"/>
          <w:sz w:val="72"/>
          <w:szCs w:val="72"/>
        </w:rPr>
      </w:pPr>
      <w:bookmarkStart w:id="0" w:name="_Toc15306267"/>
    </w:p>
    <w:p w14:paraId="7EDA8BC4">
      <w:pPr>
        <w:adjustRightInd w:val="0"/>
        <w:snapToGrid w:val="0"/>
        <w:spacing w:line="360" w:lineRule="auto"/>
        <w:jc w:val="center"/>
        <w:outlineLvl w:val="0"/>
        <w:rPr>
          <w:rFonts w:hint="eastAsia" w:ascii="方正小标宋简体" w:hAnsi="方正小标宋简体" w:eastAsia="方正小标宋简体" w:cs="方正小标宋简体"/>
          <w:sz w:val="52"/>
          <w:szCs w:val="52"/>
        </w:rPr>
      </w:pPr>
      <w:bookmarkStart w:id="1" w:name="_Toc15377193"/>
      <w:bookmarkStart w:id="2" w:name="_Toc15396597"/>
      <w:bookmarkStart w:id="3" w:name="_Toc15396475"/>
      <w:bookmarkStart w:id="4" w:name="_Toc15377425"/>
      <w:bookmarkStart w:id="5" w:name="_Toc15378441"/>
    </w:p>
    <w:p w14:paraId="0A881612">
      <w:pPr>
        <w:adjustRightInd w:val="0"/>
        <w:snapToGrid w:val="0"/>
        <w:spacing w:line="360" w:lineRule="auto"/>
        <w:jc w:val="center"/>
        <w:outlineLvl w:val="0"/>
        <w:rPr>
          <w:rFonts w:hint="eastAsia" w:ascii="方正小标宋简体" w:hAnsi="方正小标宋简体" w:eastAsia="方正小标宋简体" w:cs="方正小标宋简体"/>
          <w:sz w:val="52"/>
          <w:szCs w:val="52"/>
        </w:rPr>
      </w:pPr>
    </w:p>
    <w:p w14:paraId="10F203AE">
      <w:pPr>
        <w:adjustRightInd w:val="0"/>
        <w:snapToGrid w:val="0"/>
        <w:spacing w:line="360" w:lineRule="auto"/>
        <w:jc w:val="center"/>
        <w:outlineLvl w:val="0"/>
        <w:rPr>
          <w:rFonts w:hint="eastAsia" w:ascii="方正小标宋简体" w:hAnsi="方正小标宋简体" w:eastAsia="方正小标宋简体" w:cs="方正小标宋简体"/>
          <w:sz w:val="52"/>
          <w:szCs w:val="52"/>
        </w:rPr>
      </w:pPr>
    </w:p>
    <w:p w14:paraId="56FD6409">
      <w:pPr>
        <w:adjustRightInd w:val="0"/>
        <w:snapToGrid w:val="0"/>
        <w:spacing w:line="360" w:lineRule="auto"/>
        <w:jc w:val="center"/>
        <w:outlineLvl w:val="0"/>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202</w:t>
      </w:r>
      <w:r>
        <w:rPr>
          <w:rFonts w:hint="eastAsia" w:ascii="方正小标宋简体" w:hAnsi="方正小标宋简体" w:eastAsia="方正小标宋简体" w:cs="方正小标宋简体"/>
          <w:sz w:val="52"/>
          <w:szCs w:val="52"/>
          <w:lang w:val="en-US" w:eastAsia="zh-CN"/>
        </w:rPr>
        <w:t>2</w:t>
      </w:r>
      <w:r>
        <w:rPr>
          <w:rFonts w:hint="eastAsia" w:ascii="方正小标宋简体" w:hAnsi="方正小标宋简体" w:eastAsia="方正小标宋简体" w:cs="方正小标宋简体"/>
          <w:sz w:val="52"/>
          <w:szCs w:val="52"/>
        </w:rPr>
        <w:t>年度</w:t>
      </w:r>
      <w:bookmarkEnd w:id="1"/>
      <w:bookmarkEnd w:id="2"/>
      <w:bookmarkEnd w:id="3"/>
      <w:bookmarkEnd w:id="4"/>
      <w:bookmarkEnd w:id="5"/>
    </w:p>
    <w:bookmarkEnd w:id="0"/>
    <w:p w14:paraId="06DBB7B4">
      <w:pPr>
        <w:adjustRightInd w:val="0"/>
        <w:snapToGrid w:val="0"/>
        <w:spacing w:line="360" w:lineRule="auto"/>
        <w:jc w:val="center"/>
        <w:outlineLvl w:val="0"/>
        <w:rPr>
          <w:rFonts w:hint="eastAsia" w:ascii="方正小标宋简体" w:hAnsi="方正小标宋简体" w:eastAsia="方正小标宋简体" w:cs="方正小标宋简体"/>
          <w:sz w:val="52"/>
          <w:szCs w:val="52"/>
        </w:rPr>
      </w:pPr>
      <w:bookmarkStart w:id="6" w:name="_Toc15377194"/>
      <w:bookmarkStart w:id="7" w:name="_Toc15396476"/>
      <w:bookmarkStart w:id="8" w:name="_Toc15377426"/>
      <w:bookmarkStart w:id="9" w:name="_Toc15306268"/>
      <w:bookmarkStart w:id="10" w:name="_Toc15378442"/>
      <w:bookmarkStart w:id="11" w:name="_Toc15396598"/>
      <w:r>
        <w:rPr>
          <w:rFonts w:hint="eastAsia" w:ascii="方正小标宋简体" w:hAnsi="方正小标宋简体" w:eastAsia="方正小标宋简体" w:cs="方正小标宋简体"/>
          <w:sz w:val="52"/>
          <w:szCs w:val="52"/>
        </w:rPr>
        <w:t>峨边彝族自治县杨村乡中心小学</w:t>
      </w:r>
    </w:p>
    <w:p w14:paraId="6F235493">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52"/>
          <w:szCs w:val="52"/>
        </w:rPr>
        <w:t>单位决算</w:t>
      </w:r>
      <w:bookmarkEnd w:id="6"/>
      <w:bookmarkEnd w:id="7"/>
      <w:bookmarkEnd w:id="8"/>
      <w:bookmarkEnd w:id="9"/>
      <w:bookmarkEnd w:id="10"/>
      <w:bookmarkEnd w:id="11"/>
      <w:r>
        <w:rPr>
          <w:rFonts w:hint="eastAsia" w:ascii="方正小标宋简体" w:hAnsi="方正小标宋简体" w:eastAsia="方正小标宋简体" w:cs="方正小标宋简体"/>
          <w:sz w:val="52"/>
          <w:szCs w:val="52"/>
        </w:rPr>
        <w:t>公开编制说明</w:t>
      </w:r>
    </w:p>
    <w:p w14:paraId="0546F376">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14:paraId="7769324A">
      <w:pPr>
        <w:widowControl/>
        <w:jc w:val="center"/>
        <w:rPr>
          <w:rFonts w:ascii="黑体" w:hAnsi="黑体" w:eastAsia="黑体" w:cstheme="minorBidi"/>
          <w:sz w:val="28"/>
          <w:szCs w:val="28"/>
        </w:rPr>
      </w:pPr>
    </w:p>
    <w:p w14:paraId="589462CF">
      <w:pPr>
        <w:pStyle w:val="10"/>
      </w:pPr>
      <w:r>
        <w:rPr>
          <w:rFonts w:hint="eastAsia"/>
        </w:rPr>
        <w:t>公开时间：202</w:t>
      </w:r>
      <w:r>
        <w:rPr>
          <w:rFonts w:hint="eastAsia"/>
          <w:lang w:val="en-US" w:eastAsia="zh-CN"/>
        </w:rPr>
        <w:t>3</w:t>
      </w:r>
      <w:r>
        <w:rPr>
          <w:rFonts w:hint="eastAsia"/>
        </w:rPr>
        <w:t>年</w:t>
      </w:r>
      <w:r>
        <w:rPr>
          <w:rFonts w:hint="eastAsia"/>
          <w:lang w:val="en-US" w:eastAsia="zh-CN"/>
        </w:rPr>
        <w:t xml:space="preserve">  </w:t>
      </w:r>
      <w:r>
        <w:rPr>
          <w:rFonts w:hint="eastAsia"/>
        </w:rPr>
        <w:t>月</w:t>
      </w:r>
      <w:r>
        <w:rPr>
          <w:rFonts w:hint="eastAsia"/>
          <w:lang w:val="en-US" w:eastAsia="zh-CN"/>
        </w:rPr>
        <w:t xml:space="preserve">   </w:t>
      </w:r>
      <w:r>
        <w:rPr>
          <w:rFonts w:hint="eastAsia"/>
        </w:rPr>
        <w:t>日</w:t>
      </w:r>
    </w:p>
    <w:p w14:paraId="039C16B8"/>
    <w:p w14:paraId="0AF0C25C">
      <w:pPr>
        <w:pStyle w:val="10"/>
        <w:adjustRightInd w:val="0"/>
        <w:snapToGrid w:val="0"/>
        <w:spacing w:before="0" w:line="440" w:lineRule="exact"/>
        <w:jc w:val="distribute"/>
        <w:rPr>
          <w:rFonts w:cstheme="minorBidi"/>
          <w:sz w:val="24"/>
          <w:szCs w:val="24"/>
        </w:rPr>
      </w:pPr>
      <w:r>
        <w:rPr>
          <w:rFonts w:hint="eastAsia"/>
          <w:sz w:val="24"/>
        </w:rPr>
        <w:t>第一部分</w:t>
      </w:r>
      <w:r>
        <w:rPr>
          <w:sz w:val="24"/>
        </w:rPr>
        <w:t xml:space="preserve"> </w:t>
      </w:r>
      <w:r>
        <w:rPr>
          <w:rFonts w:hint="eastAsia"/>
          <w:sz w:val="24"/>
        </w:rPr>
        <w:t>单位概况…………………………………………………………………4</w:t>
      </w:r>
    </w:p>
    <w:p w14:paraId="0B093514">
      <w:pPr>
        <w:pStyle w:val="11"/>
        <w:adjustRightInd w:val="0"/>
        <w:snapToGrid w:val="0"/>
        <w:spacing w:line="440" w:lineRule="exact"/>
        <w:ind w:left="0" w:leftChars="0" w:firstLine="480" w:firstLineChars="200"/>
        <w:jc w:val="distribute"/>
        <w:rPr>
          <w:sz w:val="24"/>
        </w:rPr>
      </w:pPr>
      <w:r>
        <w:rPr>
          <w:rFonts w:hint="eastAsia"/>
          <w:sz w:val="24"/>
        </w:rPr>
        <w:t>一、职能简介……………………………………………………………………4</w:t>
      </w:r>
    </w:p>
    <w:p w14:paraId="4FF7F64C">
      <w:pPr>
        <w:pStyle w:val="11"/>
        <w:adjustRightInd w:val="0"/>
        <w:snapToGrid w:val="0"/>
        <w:spacing w:line="440" w:lineRule="exact"/>
        <w:ind w:left="0" w:leftChars="0" w:firstLine="480" w:firstLineChars="200"/>
        <w:jc w:val="distribute"/>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二、202</w:t>
      </w:r>
      <w:r>
        <w:rPr>
          <w:rFonts w:hint="eastAsia" w:asciiTheme="minorEastAsia" w:hAnsiTheme="minorEastAsia" w:eastAsiaTheme="minorEastAsia" w:cstheme="minorEastAsia"/>
          <w:sz w:val="24"/>
          <w:lang w:val="en-US" w:eastAsia="zh-CN"/>
        </w:rPr>
        <w:t>2</w:t>
      </w:r>
      <w:r>
        <w:rPr>
          <w:rFonts w:hint="eastAsia" w:asciiTheme="minorEastAsia" w:hAnsiTheme="minorEastAsia" w:eastAsiaTheme="minorEastAsia" w:cstheme="minorEastAsia"/>
          <w:sz w:val="24"/>
        </w:rPr>
        <w:t>年重点工作完成情况</w:t>
      </w:r>
      <w:r>
        <w:rPr>
          <w:rFonts w:hint="eastAsia"/>
          <w:sz w:val="24"/>
        </w:rPr>
        <w:t>…………………………………………………5</w:t>
      </w:r>
    </w:p>
    <w:p w14:paraId="51B16A35">
      <w:pPr>
        <w:pStyle w:val="10"/>
        <w:adjustRightInd w:val="0"/>
        <w:snapToGrid w:val="0"/>
        <w:spacing w:before="0" w:line="440" w:lineRule="exact"/>
        <w:jc w:val="distribute"/>
        <w:rPr>
          <w:sz w:val="24"/>
          <w:szCs w:val="24"/>
        </w:rPr>
      </w:pPr>
      <w:r>
        <w:rPr>
          <w:rFonts w:hint="eastAsia"/>
          <w:sz w:val="24"/>
        </w:rPr>
        <w:t>第二部分 202</w:t>
      </w:r>
      <w:r>
        <w:rPr>
          <w:rFonts w:hint="eastAsia"/>
          <w:sz w:val="24"/>
          <w:lang w:val="en-US" w:eastAsia="zh-CN"/>
        </w:rPr>
        <w:t>2</w:t>
      </w:r>
      <w:r>
        <w:rPr>
          <w:rFonts w:hint="eastAsia"/>
          <w:sz w:val="24"/>
        </w:rPr>
        <w:t>年度单位决算情况说明……………………………………………8</w:t>
      </w:r>
    </w:p>
    <w:p w14:paraId="1C61A944">
      <w:pPr>
        <w:pStyle w:val="11"/>
        <w:adjustRightInd w:val="0"/>
        <w:snapToGrid w:val="0"/>
        <w:spacing w:line="440" w:lineRule="exact"/>
        <w:ind w:left="0" w:leftChars="0" w:firstLine="480" w:firstLineChars="200"/>
        <w:rPr>
          <w:rFonts w:ascii="仿宋" w:hAnsi="仿宋" w:eastAsia="仿宋" w:cstheme="minorBidi"/>
          <w:sz w:val="24"/>
        </w:rPr>
      </w:pPr>
      <w:r>
        <w:rPr>
          <w:rFonts w:hint="eastAsia"/>
          <w:sz w:val="24"/>
        </w:rPr>
        <w:t>一、收入支出决算总体情况说明………………………………………………8</w:t>
      </w:r>
    </w:p>
    <w:p w14:paraId="6D57BEB3">
      <w:pPr>
        <w:pStyle w:val="11"/>
        <w:adjustRightInd w:val="0"/>
        <w:snapToGrid w:val="0"/>
        <w:spacing w:line="440" w:lineRule="exact"/>
        <w:ind w:left="0" w:leftChars="0" w:firstLine="480" w:firstLineChars="200"/>
        <w:rPr>
          <w:rFonts w:ascii="仿宋" w:hAnsi="仿宋" w:eastAsia="仿宋" w:cstheme="minorBidi"/>
          <w:sz w:val="24"/>
        </w:rPr>
      </w:pPr>
      <w:r>
        <w:rPr>
          <w:rFonts w:hint="eastAsia"/>
          <w:sz w:val="24"/>
        </w:rPr>
        <w:t>二、收入决算情况说明…………………………………………………………8</w:t>
      </w:r>
    </w:p>
    <w:p w14:paraId="14D81712">
      <w:pPr>
        <w:pStyle w:val="11"/>
        <w:adjustRightInd w:val="0"/>
        <w:snapToGrid w:val="0"/>
        <w:spacing w:line="440" w:lineRule="exact"/>
        <w:ind w:left="0" w:leftChars="0" w:firstLine="480" w:firstLineChars="200"/>
        <w:rPr>
          <w:rFonts w:ascii="仿宋" w:hAnsi="仿宋" w:eastAsia="仿宋" w:cstheme="minorBidi"/>
          <w:sz w:val="24"/>
        </w:rPr>
      </w:pPr>
      <w:r>
        <w:rPr>
          <w:rFonts w:hint="eastAsia"/>
          <w:sz w:val="24"/>
        </w:rPr>
        <w:t>三、支出决算情况说明…………………………………………………………9</w:t>
      </w:r>
    </w:p>
    <w:p w14:paraId="42A8C6CF">
      <w:pPr>
        <w:pStyle w:val="11"/>
        <w:adjustRightInd w:val="0"/>
        <w:snapToGrid w:val="0"/>
        <w:spacing w:line="440" w:lineRule="exact"/>
        <w:ind w:left="0" w:leftChars="0" w:firstLine="480" w:firstLineChars="200"/>
        <w:rPr>
          <w:rFonts w:ascii="仿宋" w:hAnsi="仿宋" w:eastAsia="仿宋" w:cstheme="minorBidi"/>
          <w:sz w:val="24"/>
        </w:rPr>
      </w:pPr>
      <w:r>
        <w:rPr>
          <w:rFonts w:hint="eastAsia"/>
          <w:sz w:val="24"/>
        </w:rPr>
        <w:t>四、财政拨款收入支出决算总体情况说明……………………………………9</w:t>
      </w:r>
    </w:p>
    <w:p w14:paraId="0CA016A9">
      <w:pPr>
        <w:pStyle w:val="11"/>
        <w:adjustRightInd w:val="0"/>
        <w:snapToGrid w:val="0"/>
        <w:spacing w:line="440" w:lineRule="exact"/>
        <w:ind w:left="0" w:leftChars="0" w:firstLine="480" w:firstLineChars="200"/>
        <w:rPr>
          <w:rFonts w:ascii="仿宋" w:hAnsi="仿宋" w:eastAsia="仿宋" w:cstheme="minorBidi"/>
          <w:sz w:val="24"/>
        </w:rPr>
      </w:pPr>
      <w:r>
        <w:rPr>
          <w:rFonts w:hint="eastAsia"/>
          <w:sz w:val="24"/>
        </w:rPr>
        <w:t>五、一般公共预算财政拨款支出决算情况说明………………………………10</w:t>
      </w:r>
    </w:p>
    <w:p w14:paraId="012898E4">
      <w:pPr>
        <w:pStyle w:val="11"/>
        <w:adjustRightInd w:val="0"/>
        <w:snapToGrid w:val="0"/>
        <w:spacing w:line="440" w:lineRule="exact"/>
        <w:ind w:left="0" w:leftChars="0" w:firstLine="480" w:firstLineChars="200"/>
        <w:rPr>
          <w:rFonts w:ascii="仿宋" w:hAnsi="仿宋" w:eastAsia="仿宋" w:cstheme="minorBidi"/>
          <w:sz w:val="24"/>
        </w:rPr>
      </w:pPr>
      <w:r>
        <w:rPr>
          <w:rFonts w:hint="eastAsia"/>
          <w:sz w:val="24"/>
        </w:rPr>
        <w:t>六、一般公共预算财政拨款基本支出决算情况说明…………………………12</w:t>
      </w:r>
    </w:p>
    <w:p w14:paraId="7C67E671">
      <w:pPr>
        <w:pStyle w:val="11"/>
        <w:adjustRightInd w:val="0"/>
        <w:snapToGrid w:val="0"/>
        <w:spacing w:line="440" w:lineRule="exact"/>
        <w:ind w:left="0" w:leftChars="0" w:firstLine="480" w:firstLineChars="200"/>
        <w:rPr>
          <w:rFonts w:ascii="仿宋" w:hAnsi="仿宋" w:eastAsia="仿宋" w:cstheme="minorBidi"/>
          <w:sz w:val="24"/>
        </w:rPr>
      </w:pPr>
      <w:r>
        <w:rPr>
          <w:rFonts w:hint="eastAsia"/>
          <w:sz w:val="24"/>
        </w:rPr>
        <w:t>七、“三公”经费财政拨款支出决算情况说明………………………………13</w:t>
      </w:r>
    </w:p>
    <w:p w14:paraId="6D9AC730">
      <w:pPr>
        <w:pStyle w:val="11"/>
        <w:adjustRightInd w:val="0"/>
        <w:snapToGrid w:val="0"/>
        <w:spacing w:line="440" w:lineRule="exact"/>
        <w:ind w:left="0" w:leftChars="0" w:firstLine="480" w:firstLineChars="200"/>
        <w:rPr>
          <w:rFonts w:ascii="仿宋" w:hAnsi="仿宋" w:eastAsia="仿宋" w:cstheme="minorBidi"/>
          <w:sz w:val="24"/>
        </w:rPr>
      </w:pPr>
      <w:r>
        <w:rPr>
          <w:rFonts w:hint="eastAsia"/>
          <w:sz w:val="24"/>
        </w:rPr>
        <w:t>八、政府性基金预算支出决算情况说明………………………………………15</w:t>
      </w:r>
    </w:p>
    <w:p w14:paraId="7A227E13">
      <w:pPr>
        <w:pStyle w:val="11"/>
        <w:adjustRightInd w:val="0"/>
        <w:snapToGrid w:val="0"/>
        <w:spacing w:line="440" w:lineRule="exact"/>
        <w:ind w:left="0" w:leftChars="0" w:firstLine="480" w:firstLineChars="200"/>
        <w:rPr>
          <w:sz w:val="24"/>
        </w:rPr>
      </w:pPr>
      <w:r>
        <w:rPr>
          <w:rFonts w:hint="eastAsia"/>
          <w:sz w:val="24"/>
        </w:rPr>
        <w:t>九、国有资本经营预算支出决算情况说明……………………………………15</w:t>
      </w:r>
    </w:p>
    <w:p w14:paraId="62D1D1B6">
      <w:pPr>
        <w:pStyle w:val="11"/>
        <w:adjustRightInd w:val="0"/>
        <w:snapToGrid w:val="0"/>
        <w:spacing w:line="440" w:lineRule="exact"/>
        <w:ind w:left="0" w:leftChars="0" w:firstLine="480" w:firstLineChars="200"/>
        <w:rPr>
          <w:sz w:val="24"/>
        </w:rPr>
      </w:pPr>
      <w:r>
        <w:rPr>
          <w:rFonts w:hint="eastAsia"/>
          <w:sz w:val="24"/>
        </w:rPr>
        <w:t>十、其他重要事项的情况说明…………………………………………………15</w:t>
      </w:r>
    </w:p>
    <w:p w14:paraId="71DEBE21">
      <w:pPr>
        <w:pStyle w:val="10"/>
        <w:adjustRightInd w:val="0"/>
        <w:snapToGrid w:val="0"/>
        <w:spacing w:before="0" w:line="440" w:lineRule="exact"/>
        <w:jc w:val="distribute"/>
        <w:rPr>
          <w:rFonts w:cstheme="minorBidi"/>
          <w:sz w:val="24"/>
          <w:szCs w:val="24"/>
        </w:rPr>
      </w:pPr>
      <w:r>
        <w:rPr>
          <w:rFonts w:hint="eastAsia"/>
          <w:sz w:val="24"/>
        </w:rPr>
        <w:t>第三部分</w:t>
      </w:r>
      <w:r>
        <w:rPr>
          <w:sz w:val="24"/>
        </w:rPr>
        <w:t xml:space="preserve"> </w:t>
      </w:r>
      <w:r>
        <w:rPr>
          <w:rFonts w:hint="eastAsia"/>
          <w:sz w:val="24"/>
        </w:rPr>
        <w:t>名词解释…………………………………………………………………17</w:t>
      </w:r>
    </w:p>
    <w:p w14:paraId="208BF878">
      <w:pPr>
        <w:pStyle w:val="10"/>
        <w:adjustRightInd w:val="0"/>
        <w:snapToGrid w:val="0"/>
        <w:spacing w:before="0" w:line="440" w:lineRule="exact"/>
        <w:jc w:val="distribute"/>
        <w:rPr>
          <w:rFonts w:cstheme="minorBidi"/>
          <w:sz w:val="24"/>
          <w:szCs w:val="24"/>
        </w:rPr>
      </w:pPr>
      <w:r>
        <w:rPr>
          <w:rFonts w:hint="eastAsia"/>
          <w:sz w:val="24"/>
        </w:rPr>
        <w:t>第四部分</w:t>
      </w:r>
      <w:r>
        <w:rPr>
          <w:sz w:val="24"/>
        </w:rPr>
        <w:t xml:space="preserve"> </w:t>
      </w:r>
      <w:r>
        <w:rPr>
          <w:rFonts w:hint="eastAsia"/>
          <w:sz w:val="24"/>
        </w:rPr>
        <w:t>附件………………………………………………………………………20</w:t>
      </w:r>
    </w:p>
    <w:p w14:paraId="1781758B">
      <w:pPr>
        <w:pStyle w:val="10"/>
        <w:adjustRightInd w:val="0"/>
        <w:snapToGrid w:val="0"/>
        <w:spacing w:before="0" w:line="440" w:lineRule="exact"/>
        <w:jc w:val="distribute"/>
        <w:rPr>
          <w:rFonts w:cstheme="minorBidi"/>
          <w:sz w:val="24"/>
          <w:szCs w:val="24"/>
        </w:rPr>
      </w:pPr>
      <w:r>
        <w:rPr>
          <w:rFonts w:hint="eastAsia"/>
          <w:sz w:val="24"/>
        </w:rPr>
        <w:t>第五部分</w:t>
      </w:r>
      <w:r>
        <w:rPr>
          <w:sz w:val="24"/>
        </w:rPr>
        <w:t xml:space="preserve"> </w:t>
      </w:r>
      <w:r>
        <w:rPr>
          <w:rFonts w:hint="eastAsia"/>
          <w:sz w:val="24"/>
        </w:rPr>
        <w:t>附表………………………………………………………………………22</w:t>
      </w:r>
    </w:p>
    <w:p w14:paraId="68B7EC3E">
      <w:pPr>
        <w:pStyle w:val="11"/>
        <w:adjustRightInd w:val="0"/>
        <w:snapToGrid w:val="0"/>
        <w:spacing w:line="440" w:lineRule="exact"/>
        <w:jc w:val="left"/>
        <w:rPr>
          <w:sz w:val="24"/>
        </w:rPr>
      </w:pPr>
      <w:r>
        <w:rPr>
          <w:rFonts w:hint="eastAsia"/>
          <w:sz w:val="24"/>
        </w:rPr>
        <w:t>一、收入支出决算总表…………………………………………………………22</w:t>
      </w:r>
    </w:p>
    <w:p w14:paraId="69C02FC2">
      <w:pPr>
        <w:pStyle w:val="11"/>
        <w:adjustRightInd w:val="0"/>
        <w:snapToGrid w:val="0"/>
        <w:spacing w:line="440" w:lineRule="exact"/>
        <w:jc w:val="left"/>
        <w:rPr>
          <w:sz w:val="24"/>
        </w:rPr>
      </w:pPr>
      <w:r>
        <w:rPr>
          <w:rFonts w:hint="eastAsia"/>
          <w:sz w:val="24"/>
        </w:rPr>
        <w:t>二、收入决算表…………………………………………………………………22</w:t>
      </w:r>
    </w:p>
    <w:p w14:paraId="5AD6775A">
      <w:pPr>
        <w:pStyle w:val="11"/>
        <w:adjustRightInd w:val="0"/>
        <w:snapToGrid w:val="0"/>
        <w:spacing w:line="440" w:lineRule="exact"/>
        <w:jc w:val="left"/>
        <w:rPr>
          <w:sz w:val="24"/>
        </w:rPr>
      </w:pPr>
      <w:r>
        <w:rPr>
          <w:rFonts w:hint="eastAsia"/>
          <w:sz w:val="24"/>
        </w:rPr>
        <w:t>三、支出决算表…………………………………………………………………22</w:t>
      </w:r>
    </w:p>
    <w:p w14:paraId="2BEA6EC2">
      <w:pPr>
        <w:pStyle w:val="11"/>
        <w:adjustRightInd w:val="0"/>
        <w:snapToGrid w:val="0"/>
        <w:spacing w:line="440" w:lineRule="exact"/>
        <w:jc w:val="left"/>
        <w:rPr>
          <w:sz w:val="24"/>
        </w:rPr>
      </w:pPr>
      <w:r>
        <w:rPr>
          <w:rFonts w:hint="eastAsia"/>
          <w:sz w:val="24"/>
        </w:rPr>
        <w:t>四、财政拨款收入支出决算总表………………………………………………22</w:t>
      </w:r>
    </w:p>
    <w:p w14:paraId="56683874">
      <w:pPr>
        <w:pStyle w:val="11"/>
        <w:adjustRightInd w:val="0"/>
        <w:snapToGrid w:val="0"/>
        <w:spacing w:line="440" w:lineRule="exact"/>
        <w:jc w:val="left"/>
        <w:rPr>
          <w:sz w:val="24"/>
        </w:rPr>
      </w:pPr>
      <w:r>
        <w:rPr>
          <w:rFonts w:hint="eastAsia"/>
          <w:sz w:val="24"/>
        </w:rPr>
        <w:t>五、财政拨款支出决算明细表…………………………………………………22</w:t>
      </w:r>
    </w:p>
    <w:p w14:paraId="753ABF3E">
      <w:pPr>
        <w:pStyle w:val="11"/>
        <w:adjustRightInd w:val="0"/>
        <w:snapToGrid w:val="0"/>
        <w:spacing w:line="440" w:lineRule="exact"/>
        <w:jc w:val="left"/>
        <w:rPr>
          <w:sz w:val="24"/>
        </w:rPr>
      </w:pPr>
      <w:r>
        <w:rPr>
          <w:rFonts w:hint="eastAsia"/>
          <w:sz w:val="24"/>
        </w:rPr>
        <w:t>六、一般公共预算财政拨款支出决算表………………………………………22</w:t>
      </w:r>
    </w:p>
    <w:p w14:paraId="759B81C1">
      <w:pPr>
        <w:pStyle w:val="11"/>
        <w:adjustRightInd w:val="0"/>
        <w:snapToGrid w:val="0"/>
        <w:spacing w:line="440" w:lineRule="exact"/>
        <w:jc w:val="left"/>
        <w:rPr>
          <w:sz w:val="24"/>
        </w:rPr>
      </w:pPr>
      <w:r>
        <w:rPr>
          <w:rFonts w:hint="eastAsia"/>
          <w:sz w:val="24"/>
        </w:rPr>
        <w:t>七、一般公共预算财政拨款支出决算明细表…………………………………22</w:t>
      </w:r>
    </w:p>
    <w:p w14:paraId="177FB2BA">
      <w:pPr>
        <w:pStyle w:val="11"/>
        <w:adjustRightInd w:val="0"/>
        <w:snapToGrid w:val="0"/>
        <w:spacing w:line="440" w:lineRule="exact"/>
        <w:jc w:val="left"/>
        <w:rPr>
          <w:sz w:val="24"/>
        </w:rPr>
      </w:pPr>
      <w:r>
        <w:rPr>
          <w:rFonts w:hint="eastAsia"/>
          <w:sz w:val="24"/>
        </w:rPr>
        <w:t>八、一般公共预算财政拨款基本支出决算表…………………………………22</w:t>
      </w:r>
    </w:p>
    <w:p w14:paraId="6D966611">
      <w:pPr>
        <w:pStyle w:val="11"/>
        <w:adjustRightInd w:val="0"/>
        <w:snapToGrid w:val="0"/>
        <w:spacing w:line="440" w:lineRule="exact"/>
        <w:jc w:val="left"/>
        <w:rPr>
          <w:sz w:val="24"/>
        </w:rPr>
      </w:pPr>
      <w:r>
        <w:rPr>
          <w:rFonts w:hint="eastAsia"/>
          <w:sz w:val="24"/>
        </w:rPr>
        <w:t>九、一般公共预算财政拨款项目支出决算表…………………………………22</w:t>
      </w:r>
    </w:p>
    <w:p w14:paraId="5A745825">
      <w:pPr>
        <w:pStyle w:val="11"/>
        <w:adjustRightInd w:val="0"/>
        <w:snapToGrid w:val="0"/>
        <w:spacing w:line="440" w:lineRule="exact"/>
        <w:jc w:val="left"/>
        <w:rPr>
          <w:sz w:val="24"/>
        </w:rPr>
      </w:pPr>
      <w:r>
        <w:rPr>
          <w:rFonts w:hint="eastAsia"/>
          <w:sz w:val="24"/>
        </w:rPr>
        <w:t>十、一般公共预算财政拨款“三公”经费支出决算表………………………22</w:t>
      </w:r>
    </w:p>
    <w:p w14:paraId="6961A359">
      <w:pPr>
        <w:pStyle w:val="11"/>
        <w:adjustRightInd w:val="0"/>
        <w:snapToGrid w:val="0"/>
        <w:spacing w:line="440" w:lineRule="exact"/>
        <w:jc w:val="left"/>
        <w:rPr>
          <w:sz w:val="24"/>
        </w:rPr>
      </w:pPr>
      <w:r>
        <w:rPr>
          <w:rFonts w:hint="eastAsia"/>
          <w:sz w:val="24"/>
        </w:rPr>
        <w:t>十一、政府性基金预算财政拨款收入支出决算表……………………………22</w:t>
      </w:r>
    </w:p>
    <w:p w14:paraId="2556954A">
      <w:pPr>
        <w:pStyle w:val="11"/>
        <w:adjustRightInd w:val="0"/>
        <w:snapToGrid w:val="0"/>
        <w:spacing w:line="440" w:lineRule="exact"/>
        <w:jc w:val="left"/>
        <w:rPr>
          <w:sz w:val="24"/>
        </w:rPr>
      </w:pPr>
      <w:r>
        <w:rPr>
          <w:rFonts w:hint="eastAsia"/>
          <w:sz w:val="24"/>
        </w:rPr>
        <w:t>十二、政府性基金预算财政拨款“三公”经费支出决算表…………………22</w:t>
      </w:r>
    </w:p>
    <w:p w14:paraId="41A3BBD3">
      <w:pPr>
        <w:pStyle w:val="11"/>
        <w:adjustRightInd w:val="0"/>
        <w:snapToGrid w:val="0"/>
        <w:spacing w:line="440" w:lineRule="exact"/>
        <w:jc w:val="left"/>
        <w:rPr>
          <w:sz w:val="24"/>
        </w:rPr>
      </w:pPr>
      <w:r>
        <w:rPr>
          <w:rFonts w:hint="eastAsia"/>
          <w:sz w:val="24"/>
        </w:rPr>
        <w:t>十三、国有资本经营预算财政拨款收入支出决算表…………………………22</w:t>
      </w:r>
    </w:p>
    <w:p w14:paraId="0D36B649">
      <w:pPr>
        <w:pStyle w:val="11"/>
        <w:adjustRightInd w:val="0"/>
        <w:snapToGrid w:val="0"/>
        <w:spacing w:line="440" w:lineRule="exact"/>
        <w:jc w:val="left"/>
        <w:rPr>
          <w:sz w:val="24"/>
        </w:rPr>
      </w:pPr>
      <w:r>
        <w:rPr>
          <w:rFonts w:hint="eastAsia"/>
          <w:sz w:val="24"/>
        </w:rPr>
        <w:t>十四、国有资本经营预算财政拨款支出决算表………………………………22</w:t>
      </w:r>
    </w:p>
    <w:p w14:paraId="5A4C2B15">
      <w:pPr>
        <w:pStyle w:val="11"/>
        <w:adjustRightInd w:val="0"/>
        <w:snapToGrid w:val="0"/>
        <w:spacing w:line="440" w:lineRule="exact"/>
        <w:jc w:val="left"/>
        <w:rPr>
          <w:sz w:val="24"/>
        </w:rPr>
      </w:pPr>
    </w:p>
    <w:p w14:paraId="70B484DD">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14:paraId="6A68DD43">
      <w:pPr>
        <w:pStyle w:val="3"/>
        <w:jc w:val="center"/>
        <w:rPr>
          <w:rStyle w:val="25"/>
          <w:rFonts w:ascii="黑体" w:hAnsi="黑体" w:eastAsia="黑体"/>
          <w:b/>
          <w:bCs w:val="0"/>
        </w:rPr>
      </w:pPr>
      <w:r>
        <w:rPr>
          <w:rFonts w:hint="eastAsia" w:ascii="黑体" w:hAnsi="黑体" w:eastAsia="黑体"/>
          <w:b w:val="0"/>
        </w:rPr>
        <w:t>第一部分 单位</w:t>
      </w:r>
      <w:r>
        <w:rPr>
          <w:rStyle w:val="25"/>
          <w:rFonts w:hint="eastAsia" w:ascii="黑体" w:hAnsi="黑体" w:eastAsia="黑体"/>
          <w:b w:val="0"/>
          <w:bCs w:val="0"/>
        </w:rPr>
        <w:t>概况</w:t>
      </w:r>
      <w:bookmarkEnd w:id="12"/>
      <w:bookmarkEnd w:id="13"/>
    </w:p>
    <w:p w14:paraId="48C632CE">
      <w:pPr>
        <w:widowControl/>
        <w:jc w:val="left"/>
        <w:rPr>
          <w:rFonts w:ascii="黑体" w:eastAsia="黑体"/>
          <w:sz w:val="32"/>
          <w:szCs w:val="32"/>
        </w:rPr>
      </w:pPr>
    </w:p>
    <w:p w14:paraId="083254DF">
      <w:pPr>
        <w:pStyle w:val="4"/>
        <w:keepNext/>
        <w:keepLines/>
        <w:pageBreakBefore w:val="0"/>
        <w:widowControl w:val="0"/>
        <w:kinsoku/>
        <w:wordWrap/>
        <w:overflowPunct/>
        <w:topLinePunct w:val="0"/>
        <w:autoSpaceDE/>
        <w:autoSpaceDN/>
        <w:bidi w:val="0"/>
        <w:adjustRightInd/>
        <w:snapToGrid/>
        <w:spacing w:line="600" w:lineRule="exact"/>
        <w:ind w:firstLine="640" w:firstLineChars="200"/>
        <w:textAlignment w:val="auto"/>
        <w:rPr>
          <w:rStyle w:val="26"/>
          <w:rFonts w:ascii="黑体" w:hAnsi="黑体" w:eastAsia="黑体"/>
          <w:b w:val="0"/>
          <w:bCs w:val="0"/>
        </w:rPr>
      </w:pPr>
      <w:bookmarkStart w:id="14" w:name="_Toc15396600"/>
      <w:bookmarkStart w:id="15" w:name="_Toc15377197"/>
      <w:r>
        <w:rPr>
          <w:rStyle w:val="26"/>
          <w:rFonts w:hint="eastAsia" w:ascii="黑体" w:hAnsi="黑体" w:eastAsia="黑体"/>
          <w:b w:val="0"/>
          <w:bCs w:val="0"/>
        </w:rPr>
        <w:t>一、职能简介</w:t>
      </w:r>
    </w:p>
    <w:p w14:paraId="435B7F2A">
      <w:pPr>
        <w:pStyle w:val="2"/>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1.宣传贯彻执行党和国家的教育方针、政策、法律法规等，坚持依法治教、依法治学，贯彻执行县教体局的行政规章制度。</w:t>
      </w:r>
    </w:p>
    <w:p w14:paraId="2AF4BB81">
      <w:pPr>
        <w:pStyle w:val="2"/>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2.配合县、镇人民政府制定符合党的教育方针和国家教育法律法规以及本校实际的教育发展规划和学校布局调整规划，并抓好组织实施和落实工作。</w:t>
      </w:r>
    </w:p>
    <w:p w14:paraId="1BAE7BFF">
      <w:pPr>
        <w:pStyle w:val="2"/>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3.巩固提高“两基”工作成果和整体水平，配合各级人民政府依法动员、组织适龄儿童少年入学，严格控制辍学。</w:t>
      </w:r>
    </w:p>
    <w:p w14:paraId="4D07AD88">
      <w:pPr>
        <w:pStyle w:val="2"/>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4.组织开展本校的教育教学科研和教育教学改革，科研兴教，科研兴校。负责对本校教育教学业务的具体管理，负责教育教学管理及教研教改工作，全力推进素质教育实施。</w:t>
      </w:r>
    </w:p>
    <w:p w14:paraId="69028516">
      <w:pPr>
        <w:pStyle w:val="2"/>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5.按照干部和教师的职数、编制和管理权限，负责本校教师人事管理、继续教育、考核考评等工作。</w:t>
      </w:r>
    </w:p>
    <w:p w14:paraId="72936FEA">
      <w:pPr>
        <w:pStyle w:val="2"/>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6.负责本校财务和基建管理，筹措资金，改善办学条件等工作。</w:t>
      </w:r>
    </w:p>
    <w:p w14:paraId="6DFB50B4">
      <w:pPr>
        <w:pStyle w:val="2"/>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7.指导、管理、检查、评价本校的教育教学工作，提高办学质量和办学效益。按照义务教育课程计划，开齐课程，开足课时，认真实施中小学的教育教学管理，全面推进素质教育，全面提高教育教学质量。</w:t>
      </w:r>
    </w:p>
    <w:p w14:paraId="0BD8A286">
      <w:pPr>
        <w:ind w:firstLine="640" w:firstLineChars="200"/>
      </w:pPr>
      <w:r>
        <w:rPr>
          <w:rFonts w:hint="eastAsia" w:ascii="仿宋" w:hAnsi="仿宋" w:eastAsia="仿宋"/>
          <w:bCs/>
          <w:color w:val="000000"/>
          <w:sz w:val="32"/>
          <w:szCs w:val="32"/>
        </w:rPr>
        <w:t>8.完成主管部门和各级上级组织交办的其他事项</w:t>
      </w:r>
    </w:p>
    <w:p w14:paraId="6314E9BB">
      <w:pPr>
        <w:pStyle w:val="4"/>
        <w:keepNext/>
        <w:keepLines/>
        <w:pageBreakBefore w:val="0"/>
        <w:widowControl w:val="0"/>
        <w:kinsoku/>
        <w:wordWrap/>
        <w:overflowPunct/>
        <w:topLinePunct w:val="0"/>
        <w:autoSpaceDE/>
        <w:autoSpaceDN/>
        <w:bidi w:val="0"/>
        <w:adjustRightInd/>
        <w:snapToGrid/>
        <w:spacing w:line="600" w:lineRule="exact"/>
        <w:ind w:firstLine="640" w:firstLineChars="200"/>
        <w:textAlignment w:val="auto"/>
        <w:rPr>
          <w:rFonts w:ascii="黑体" w:hAnsi="黑体" w:eastAsia="黑体"/>
          <w:b w:val="0"/>
        </w:rPr>
      </w:pPr>
      <w:r>
        <w:rPr>
          <w:rFonts w:hint="eastAsia" w:ascii="黑体" w:hAnsi="黑体" w:eastAsia="黑体"/>
          <w:b w:val="0"/>
        </w:rPr>
        <w:t>二、202</w:t>
      </w:r>
      <w:r>
        <w:rPr>
          <w:rFonts w:hint="eastAsia" w:ascii="黑体" w:hAnsi="黑体" w:eastAsia="黑体"/>
          <w:b w:val="0"/>
          <w:lang w:val="en-US" w:eastAsia="zh-CN"/>
        </w:rPr>
        <w:t>2</w:t>
      </w:r>
      <w:r>
        <w:rPr>
          <w:rFonts w:hint="eastAsia" w:ascii="黑体" w:hAnsi="黑体" w:eastAsia="黑体"/>
          <w:b w:val="0"/>
        </w:rPr>
        <w:t>年重点工作</w:t>
      </w:r>
      <w:bookmarkEnd w:id="14"/>
      <w:bookmarkEnd w:id="15"/>
      <w:r>
        <w:rPr>
          <w:rFonts w:hint="eastAsia" w:ascii="黑体" w:hAnsi="黑体" w:eastAsia="黑体"/>
          <w:b w:val="0"/>
        </w:rPr>
        <w:t>完成情况</w:t>
      </w:r>
    </w:p>
    <w:p w14:paraId="76D035FE">
      <w:pPr>
        <w:spacing w:line="600" w:lineRule="exact"/>
        <w:ind w:firstLine="640" w:firstLineChars="200"/>
        <w:rPr>
          <w:rFonts w:ascii="仿宋_GB2312" w:hAnsi="楷体" w:eastAsia="仿宋_GB2312"/>
          <w:sz w:val="32"/>
        </w:rPr>
      </w:pPr>
      <w:r>
        <w:rPr>
          <w:rFonts w:hint="eastAsia" w:ascii="仿宋_GB2312" w:hAnsi="仿宋" w:eastAsia="仿宋_GB2312"/>
          <w:color w:val="000000"/>
          <w:sz w:val="32"/>
        </w:rPr>
        <w:t>本学年，我校以党的教育方针为指导，认真贯彻落实自治县教育局工作会议精神。全面</w:t>
      </w:r>
      <w:r>
        <w:rPr>
          <w:rFonts w:hint="eastAsia" w:ascii="仿宋_GB2312" w:hAnsi="仿宋" w:eastAsia="仿宋_GB2312"/>
          <w:color w:val="000000"/>
          <w:sz w:val="32"/>
          <w:lang w:eastAsia="zh-CN"/>
        </w:rPr>
        <w:t>贯彻落实</w:t>
      </w:r>
      <w:r>
        <w:rPr>
          <w:rFonts w:hint="eastAsia" w:ascii="仿宋_GB2312" w:hAnsi="仿宋" w:eastAsia="仿宋_GB2312"/>
          <w:color w:val="000000"/>
          <w:sz w:val="32"/>
        </w:rPr>
        <w:t>科学发展观，紧紧围绕“教育局工作要点”和本校实际认真开展学校教育教学工作，以</w:t>
      </w:r>
      <w:r>
        <w:rPr>
          <w:rFonts w:ascii="仿宋_GB2312" w:hAnsi="仿宋" w:eastAsia="仿宋_GB2312"/>
          <w:color w:val="000000"/>
          <w:sz w:val="32"/>
        </w:rPr>
        <w:t xml:space="preserve"> </w:t>
      </w:r>
      <w:r>
        <w:rPr>
          <w:rFonts w:hint="eastAsia" w:ascii="仿宋_GB2312" w:hAnsi="仿宋" w:eastAsia="仿宋_GB2312"/>
          <w:color w:val="000000"/>
          <w:sz w:val="32"/>
        </w:rPr>
        <w:t>“社会主义核心价值观”为德育教育核心，以“全县工作作风整顿”活动为契机，强化师生廉洁意识，突出师生思想政治工作，致力于学校教育教学质量的提升和办学特色的</w:t>
      </w:r>
      <w:r>
        <w:rPr>
          <w:rFonts w:hint="eastAsia" w:ascii="仿宋_GB2312" w:hAnsi="仿宋" w:eastAsia="仿宋_GB2312"/>
          <w:color w:val="000000"/>
          <w:sz w:val="32"/>
          <w:lang w:eastAsia="zh-CN"/>
        </w:rPr>
        <w:t>凸显</w:t>
      </w:r>
      <w:r>
        <w:rPr>
          <w:rFonts w:hint="eastAsia" w:ascii="仿宋_GB2312" w:hAnsi="仿宋" w:eastAsia="仿宋_GB2312"/>
          <w:color w:val="000000"/>
          <w:sz w:val="32"/>
        </w:rPr>
        <w:t>，努力打造和谐校园。</w:t>
      </w:r>
      <w:r>
        <w:rPr>
          <w:rFonts w:ascii="仿宋_GB2312" w:hAnsi="楷体" w:eastAsia="仿宋_GB2312"/>
          <w:sz w:val="32"/>
        </w:rPr>
        <w:t xml:space="preserve"> </w:t>
      </w:r>
    </w:p>
    <w:p w14:paraId="32BBE2E9">
      <w:pPr>
        <w:spacing w:line="600" w:lineRule="exact"/>
        <w:ind w:firstLine="640" w:firstLineChars="200"/>
        <w:rPr>
          <w:rFonts w:ascii="仿宋_GB2312" w:hAnsi="仿宋" w:eastAsia="仿宋_GB2312"/>
          <w:color w:val="000000"/>
          <w:sz w:val="32"/>
        </w:rPr>
      </w:pPr>
      <w:r>
        <w:rPr>
          <w:rFonts w:hint="eastAsia" w:ascii="仿宋_GB2312" w:hAnsi="仿宋" w:eastAsia="仿宋_GB2312"/>
          <w:color w:val="000000"/>
          <w:sz w:val="32"/>
        </w:rPr>
        <w:t>（一）继续加强师德师风建设和班子建设</w:t>
      </w:r>
    </w:p>
    <w:p w14:paraId="7C6A8847">
      <w:pPr>
        <w:spacing w:line="600" w:lineRule="exact"/>
        <w:ind w:firstLine="640" w:firstLineChars="200"/>
        <w:rPr>
          <w:rFonts w:ascii="仿宋_GB2312" w:hAnsi="仿宋" w:eastAsia="仿宋_GB2312"/>
          <w:color w:val="000000"/>
          <w:sz w:val="32"/>
        </w:rPr>
      </w:pPr>
      <w:r>
        <w:rPr>
          <w:rFonts w:hint="eastAsia" w:ascii="仿宋_GB2312" w:hAnsi="仿宋" w:eastAsia="仿宋_GB2312"/>
          <w:color w:val="000000"/>
          <w:sz w:val="32"/>
        </w:rPr>
        <w:t>强化学习《</w:t>
      </w:r>
      <w:r>
        <w:rPr>
          <w:rFonts w:hint="eastAsia" w:ascii="仿宋_GB2312" w:hAnsi="仿宋" w:eastAsia="仿宋_GB2312"/>
          <w:color w:val="000000"/>
          <w:sz w:val="32"/>
          <w:lang w:eastAsia="zh-CN"/>
        </w:rPr>
        <w:t>中华人民共和国义务教育法</w:t>
      </w:r>
      <w:r>
        <w:rPr>
          <w:rFonts w:hint="eastAsia" w:ascii="仿宋_GB2312" w:hAnsi="仿宋" w:eastAsia="仿宋_GB2312"/>
          <w:color w:val="000000"/>
          <w:sz w:val="32"/>
        </w:rPr>
        <w:t>》《教师职业道德十不准》和《学校的各项管理规定》，规范教师的教育教学行为；进一步强化了领导班子的责任意识、管理意识、服务意识和创新意识，充分发挥领导班子的领导效能。</w:t>
      </w:r>
    </w:p>
    <w:p w14:paraId="12750084">
      <w:pPr>
        <w:spacing w:line="600" w:lineRule="exact"/>
        <w:ind w:firstLine="640" w:firstLineChars="200"/>
        <w:rPr>
          <w:rFonts w:ascii="仿宋_GB2312" w:hAnsi="仿宋" w:eastAsia="仿宋_GB2312"/>
          <w:color w:val="000000"/>
          <w:sz w:val="32"/>
        </w:rPr>
      </w:pPr>
      <w:r>
        <w:rPr>
          <w:rFonts w:hint="eastAsia" w:ascii="仿宋_GB2312" w:hAnsi="仿宋" w:eastAsia="仿宋_GB2312"/>
          <w:color w:val="000000"/>
          <w:sz w:val="32"/>
        </w:rPr>
        <w:t>（二）</w:t>
      </w:r>
      <w:r>
        <w:rPr>
          <w:rFonts w:hint="eastAsia" w:ascii="仿宋_GB2312" w:hAnsi="仿宋" w:eastAsia="仿宋_GB2312"/>
          <w:color w:val="000000"/>
          <w:sz w:val="32"/>
          <w:lang w:eastAsia="zh-CN"/>
        </w:rPr>
        <w:t>加强</w:t>
      </w:r>
      <w:r>
        <w:rPr>
          <w:rFonts w:hint="eastAsia" w:ascii="仿宋_GB2312" w:hAnsi="仿宋" w:eastAsia="仿宋_GB2312"/>
          <w:color w:val="000000"/>
          <w:sz w:val="32"/>
        </w:rPr>
        <w:t>党支部建设</w:t>
      </w:r>
    </w:p>
    <w:p w14:paraId="30B0FB09">
      <w:pPr>
        <w:spacing w:line="600" w:lineRule="exact"/>
        <w:ind w:firstLine="640" w:firstLineChars="200"/>
        <w:rPr>
          <w:rFonts w:ascii="仿宋_GB2312" w:hAnsi="仿宋" w:eastAsia="仿宋_GB2312"/>
          <w:color w:val="000000"/>
          <w:sz w:val="32"/>
        </w:rPr>
      </w:pPr>
      <w:r>
        <w:rPr>
          <w:rFonts w:hint="eastAsia" w:ascii="仿宋_GB2312" w:hAnsi="仿宋" w:eastAsia="仿宋_GB2312"/>
          <w:color w:val="000000"/>
          <w:sz w:val="32"/>
        </w:rPr>
        <w:t>多次组织党员干部学习</w:t>
      </w:r>
      <w:r>
        <w:rPr>
          <w:rFonts w:hint="eastAsia" w:ascii="仿宋_GB2312" w:hAnsi="仿宋" w:eastAsia="仿宋_GB2312"/>
          <w:color w:val="000000"/>
          <w:sz w:val="32"/>
          <w:lang w:eastAsia="zh-CN"/>
        </w:rPr>
        <w:t>党的十九届五中、六中全会精神</w:t>
      </w:r>
      <w:r>
        <w:rPr>
          <w:rFonts w:hint="eastAsia" w:ascii="仿宋_GB2312" w:hAnsi="仿宋" w:eastAsia="仿宋_GB2312"/>
          <w:color w:val="000000"/>
          <w:sz w:val="32"/>
        </w:rPr>
        <w:t>，学习《习近平系列讲话》《中</w:t>
      </w:r>
      <w:r>
        <w:rPr>
          <w:rFonts w:hint="eastAsia" w:ascii="仿宋_GB2312" w:hAnsi="仿宋" w:eastAsia="仿宋_GB2312"/>
          <w:color w:val="000000"/>
          <w:sz w:val="32"/>
          <w:lang w:eastAsia="zh-CN"/>
        </w:rPr>
        <w:t>国共产党</w:t>
      </w:r>
      <w:r>
        <w:rPr>
          <w:rFonts w:hint="eastAsia" w:ascii="仿宋_GB2312" w:hAnsi="仿宋" w:eastAsia="仿宋_GB2312"/>
          <w:color w:val="000000"/>
          <w:sz w:val="32"/>
        </w:rPr>
        <w:t>纪律处分条例》等，提升了党员干部的政治</w:t>
      </w:r>
      <w:r>
        <w:rPr>
          <w:rFonts w:hint="eastAsia" w:ascii="仿宋_GB2312" w:hAnsi="仿宋" w:eastAsia="仿宋_GB2312"/>
          <w:color w:val="000000"/>
          <w:sz w:val="32"/>
          <w:lang w:eastAsia="zh-CN"/>
        </w:rPr>
        <w:t>站位</w:t>
      </w:r>
      <w:r>
        <w:rPr>
          <w:rFonts w:hint="eastAsia" w:ascii="仿宋_GB2312" w:hAnsi="仿宋" w:eastAsia="仿宋_GB2312"/>
          <w:color w:val="000000"/>
          <w:sz w:val="32"/>
        </w:rPr>
        <w:t>，加强了“四个意识”和“四个自信”，</w:t>
      </w:r>
      <w:r>
        <w:rPr>
          <w:rFonts w:hint="eastAsia" w:ascii="仿宋_GB2312" w:hAnsi="仿宋" w:eastAsia="仿宋_GB2312"/>
          <w:color w:val="000000"/>
          <w:sz w:val="32"/>
          <w:lang w:eastAsia="zh-CN"/>
        </w:rPr>
        <w:t>做到“两个维护”</w:t>
      </w:r>
      <w:r>
        <w:rPr>
          <w:rFonts w:hint="eastAsia" w:ascii="仿宋_GB2312" w:hAnsi="仿宋" w:eastAsia="仿宋_GB2312"/>
          <w:color w:val="000000"/>
          <w:sz w:val="32"/>
        </w:rPr>
        <w:t>。</w:t>
      </w:r>
    </w:p>
    <w:p w14:paraId="162F95F0">
      <w:pPr>
        <w:spacing w:line="600" w:lineRule="exact"/>
        <w:ind w:firstLine="640" w:firstLineChars="200"/>
        <w:rPr>
          <w:rFonts w:ascii="仿宋_GB2312" w:hAnsi="仿宋" w:eastAsia="仿宋_GB2312"/>
          <w:color w:val="000000"/>
          <w:sz w:val="32"/>
        </w:rPr>
      </w:pPr>
      <w:r>
        <w:rPr>
          <w:rFonts w:hint="eastAsia" w:ascii="仿宋_GB2312" w:hAnsi="仿宋" w:eastAsia="仿宋_GB2312"/>
          <w:color w:val="000000"/>
          <w:sz w:val="32"/>
        </w:rPr>
        <w:t>（三）加强班主任管理工作</w:t>
      </w:r>
    </w:p>
    <w:p w14:paraId="0250CBCC">
      <w:pPr>
        <w:spacing w:line="600" w:lineRule="exact"/>
        <w:ind w:firstLine="640" w:firstLineChars="200"/>
        <w:rPr>
          <w:rFonts w:ascii="仿宋_GB2312" w:hAnsi="仿宋" w:eastAsia="仿宋_GB2312"/>
          <w:color w:val="000000"/>
          <w:sz w:val="32"/>
        </w:rPr>
      </w:pPr>
      <w:r>
        <w:rPr>
          <w:rFonts w:hint="eastAsia" w:ascii="仿宋_GB2312" w:hAnsi="仿宋" w:eastAsia="仿宋_GB2312"/>
          <w:color w:val="000000"/>
          <w:sz w:val="32"/>
        </w:rPr>
        <w:t>以“会”代“培”，提升了班主任工作的管理水平，增强了班主任的工作作风，从整体上促进了教师队伍素质上新台阶。</w:t>
      </w:r>
    </w:p>
    <w:p w14:paraId="454BFA1D">
      <w:pPr>
        <w:spacing w:line="600" w:lineRule="exact"/>
        <w:ind w:firstLine="640" w:firstLineChars="200"/>
        <w:rPr>
          <w:rFonts w:ascii="仿宋_GB2312" w:hAnsi="仿宋" w:eastAsia="仿宋_GB2312"/>
          <w:color w:val="000000"/>
          <w:sz w:val="32"/>
        </w:rPr>
      </w:pPr>
      <w:r>
        <w:rPr>
          <w:rFonts w:hint="eastAsia" w:ascii="仿宋_GB2312" w:hAnsi="仿宋" w:eastAsia="仿宋_GB2312"/>
          <w:color w:val="000000"/>
          <w:sz w:val="32"/>
        </w:rPr>
        <w:t>（四）加强了德育教育工作</w:t>
      </w:r>
    </w:p>
    <w:p w14:paraId="1C7557B2">
      <w:pPr>
        <w:spacing w:line="600" w:lineRule="exact"/>
        <w:ind w:firstLine="640" w:firstLineChars="200"/>
        <w:rPr>
          <w:rFonts w:ascii="仿宋_GB2312" w:hAnsi="仿宋" w:eastAsia="仿宋_GB2312"/>
          <w:color w:val="000000"/>
          <w:sz w:val="32"/>
        </w:rPr>
      </w:pPr>
      <w:r>
        <w:rPr>
          <w:rFonts w:hint="eastAsia" w:ascii="仿宋_GB2312" w:hAnsi="仿宋" w:eastAsia="仿宋_GB2312"/>
          <w:color w:val="000000"/>
          <w:sz w:val="32"/>
        </w:rPr>
        <w:t>学校以德育办公室为首，班主任为主力军的德育建设队伍团队，积极组织开展了各种活动，以活动贯穿整个德育教育，同时加强了宣传阵地建设。</w:t>
      </w:r>
    </w:p>
    <w:p w14:paraId="3A1B905C">
      <w:pPr>
        <w:spacing w:line="600" w:lineRule="exact"/>
        <w:ind w:firstLine="640" w:firstLineChars="200"/>
        <w:rPr>
          <w:rFonts w:ascii="仿宋_GB2312" w:hAnsi="仿宋" w:eastAsia="仿宋_GB2312"/>
          <w:color w:val="000000"/>
          <w:sz w:val="32"/>
        </w:rPr>
      </w:pPr>
      <w:r>
        <w:rPr>
          <w:rFonts w:hint="eastAsia" w:ascii="仿宋_GB2312" w:hAnsi="仿宋" w:eastAsia="仿宋_GB2312"/>
          <w:color w:val="000000"/>
          <w:sz w:val="32"/>
        </w:rPr>
        <w:t>（五）</w:t>
      </w:r>
      <w:r>
        <w:rPr>
          <w:rFonts w:hint="eastAsia" w:ascii="仿宋_GB2312" w:hAnsi="仿宋" w:eastAsia="仿宋_GB2312"/>
          <w:color w:val="000000"/>
          <w:sz w:val="32"/>
          <w:lang w:eastAsia="zh-CN"/>
        </w:rPr>
        <w:t>加强</w:t>
      </w:r>
      <w:r>
        <w:rPr>
          <w:rFonts w:hint="eastAsia" w:ascii="仿宋_GB2312" w:hAnsi="仿宋" w:eastAsia="仿宋_GB2312"/>
          <w:color w:val="000000"/>
          <w:sz w:val="32"/>
        </w:rPr>
        <w:t>教育教学管理</w:t>
      </w:r>
    </w:p>
    <w:p w14:paraId="40A80963">
      <w:pPr>
        <w:spacing w:line="600" w:lineRule="exact"/>
        <w:ind w:firstLine="640" w:firstLineChars="200"/>
        <w:rPr>
          <w:rFonts w:ascii="仿宋_GB2312" w:hAnsi="仿宋" w:eastAsia="仿宋_GB2312"/>
          <w:color w:val="000000"/>
          <w:sz w:val="32"/>
        </w:rPr>
      </w:pPr>
      <w:r>
        <w:rPr>
          <w:rFonts w:hint="eastAsia" w:ascii="仿宋_GB2312" w:hAnsi="仿宋" w:eastAsia="仿宋_GB2312"/>
          <w:color w:val="000000"/>
          <w:sz w:val="32"/>
        </w:rPr>
        <w:t>学校依托双周一下午业务学习时间，各教研组组织组员深入教育教学理论学习，积极组织教师培训，多人次参加县各种教学比武获青年教师课堂展评等获不同等级的奖励。</w:t>
      </w:r>
    </w:p>
    <w:p w14:paraId="0038232F">
      <w:pPr>
        <w:spacing w:line="600" w:lineRule="exact"/>
        <w:ind w:firstLine="640" w:firstLineChars="200"/>
        <w:rPr>
          <w:rFonts w:ascii="仿宋_GB2312" w:hAnsi="仿宋" w:eastAsia="仿宋_GB2312"/>
          <w:color w:val="000000"/>
          <w:sz w:val="32"/>
        </w:rPr>
      </w:pPr>
      <w:r>
        <w:rPr>
          <w:rFonts w:hint="eastAsia" w:ascii="仿宋_GB2312" w:hAnsi="仿宋" w:eastAsia="仿宋_GB2312"/>
          <w:color w:val="000000"/>
          <w:sz w:val="32"/>
        </w:rPr>
        <w:t>（六）加强了安全管理和校园文化建设</w:t>
      </w:r>
    </w:p>
    <w:p w14:paraId="252FFDEA">
      <w:pPr>
        <w:spacing w:line="600" w:lineRule="exact"/>
        <w:ind w:firstLine="640" w:firstLineChars="200"/>
        <w:rPr>
          <w:rFonts w:ascii="仿宋_GB2312" w:hAnsi="仿宋" w:eastAsia="仿宋_GB2312"/>
          <w:color w:val="000000"/>
          <w:sz w:val="32"/>
        </w:rPr>
      </w:pPr>
      <w:r>
        <w:rPr>
          <w:rFonts w:hint="eastAsia" w:ascii="仿宋_GB2312" w:hAnsi="仿宋" w:eastAsia="仿宋_GB2312"/>
          <w:color w:val="000000"/>
          <w:sz w:val="32"/>
        </w:rPr>
        <w:t>平时注意仔细排查安全漏洞，及时消除不安全因素。坚持每天全校晨检、午检、晚检，每月进行了消防、防震减灾等应急演练。完成了学生宿舍楼的文化建设，对食堂和宿舍楼进一步进行了墙面维护维修。</w:t>
      </w:r>
    </w:p>
    <w:p w14:paraId="66F0F956">
      <w:pPr>
        <w:spacing w:line="600" w:lineRule="exact"/>
        <w:ind w:firstLine="640" w:firstLineChars="200"/>
        <w:rPr>
          <w:rFonts w:ascii="仿宋_GB2312" w:hAnsi="仿宋" w:eastAsia="仿宋_GB2312"/>
          <w:color w:val="000000"/>
          <w:sz w:val="32"/>
        </w:rPr>
      </w:pPr>
      <w:r>
        <w:rPr>
          <w:rFonts w:hint="eastAsia" w:ascii="仿宋_GB2312" w:hAnsi="仿宋" w:eastAsia="仿宋_GB2312"/>
          <w:color w:val="000000"/>
          <w:sz w:val="32"/>
        </w:rPr>
        <w:t>（七）加强了“一村一幼”管理和建设</w:t>
      </w:r>
    </w:p>
    <w:p w14:paraId="201F9777">
      <w:pPr>
        <w:spacing w:line="600" w:lineRule="exact"/>
        <w:ind w:firstLine="640" w:firstLineChars="200"/>
        <w:rPr>
          <w:rFonts w:ascii="仿宋_GB2312" w:hAnsi="仿宋" w:eastAsia="仿宋_GB2312"/>
          <w:color w:val="000000"/>
          <w:sz w:val="32"/>
        </w:rPr>
      </w:pPr>
      <w:r>
        <w:rPr>
          <w:rFonts w:hint="eastAsia" w:ascii="仿宋_GB2312" w:hAnsi="仿宋" w:eastAsia="仿宋_GB2312"/>
          <w:color w:val="000000"/>
          <w:sz w:val="32"/>
        </w:rPr>
        <w:t>规范了村幼工作管理，严格按照相关规定招收幼儿，依法办园；完成对村幼教师送培</w:t>
      </w:r>
      <w:r>
        <w:rPr>
          <w:rFonts w:hint="eastAsia" w:ascii="仿宋_GB2312" w:hAnsi="仿宋" w:eastAsia="仿宋_GB2312"/>
          <w:color w:val="000000"/>
          <w:sz w:val="32"/>
          <w:lang w:val="en-US" w:eastAsia="zh-CN"/>
        </w:rPr>
        <w:t>20</w:t>
      </w:r>
      <w:r>
        <w:rPr>
          <w:rFonts w:hint="eastAsia" w:ascii="仿宋_GB2312" w:hAnsi="仿宋" w:eastAsia="仿宋_GB2312"/>
          <w:color w:val="000000"/>
          <w:sz w:val="32"/>
        </w:rPr>
        <w:t>人次。撤销</w:t>
      </w:r>
      <w:r>
        <w:rPr>
          <w:rFonts w:ascii="仿宋_GB2312" w:hAnsi="仿宋" w:eastAsia="仿宋_GB2312"/>
          <w:color w:val="000000"/>
          <w:sz w:val="32"/>
        </w:rPr>
        <w:t>2</w:t>
      </w:r>
      <w:r>
        <w:rPr>
          <w:rFonts w:hint="eastAsia" w:ascii="仿宋_GB2312" w:hAnsi="仿宋" w:eastAsia="仿宋_GB2312"/>
          <w:color w:val="000000"/>
          <w:sz w:val="32"/>
        </w:rPr>
        <w:t>所村幼并入四坪村第</w:t>
      </w:r>
      <w:r>
        <w:rPr>
          <w:rFonts w:hint="eastAsia" w:ascii="仿宋_GB2312" w:hAnsi="仿宋" w:eastAsia="仿宋_GB2312"/>
          <w:color w:val="000000"/>
          <w:sz w:val="32"/>
          <w:lang w:val="en-US" w:eastAsia="zh-CN"/>
        </w:rPr>
        <w:t>一</w:t>
      </w:r>
      <w:r>
        <w:rPr>
          <w:rFonts w:hint="eastAsia" w:ascii="仿宋_GB2312" w:hAnsi="仿宋" w:eastAsia="仿宋_GB2312"/>
          <w:color w:val="000000"/>
          <w:sz w:val="32"/>
        </w:rPr>
        <w:t>幼儿园。</w:t>
      </w:r>
    </w:p>
    <w:p w14:paraId="6ACB4756">
      <w:pPr>
        <w:spacing w:line="600" w:lineRule="exact"/>
        <w:ind w:firstLine="640" w:firstLineChars="200"/>
        <w:rPr>
          <w:rFonts w:ascii="仿宋_GB2312" w:hAnsi="仿宋" w:eastAsia="仿宋_GB2312"/>
          <w:color w:val="000000"/>
          <w:sz w:val="32"/>
        </w:rPr>
      </w:pPr>
      <w:r>
        <w:rPr>
          <w:rFonts w:hint="eastAsia" w:ascii="仿宋_GB2312" w:hAnsi="仿宋" w:eastAsia="仿宋_GB2312"/>
          <w:color w:val="000000"/>
          <w:sz w:val="32"/>
        </w:rPr>
        <w:t>（八）进一步推进了语言文字工作</w:t>
      </w:r>
    </w:p>
    <w:p w14:paraId="01D3B16C">
      <w:pPr>
        <w:spacing w:line="600" w:lineRule="exact"/>
        <w:ind w:firstLine="640" w:firstLineChars="200"/>
        <w:rPr>
          <w:rFonts w:ascii="仿宋_GB2312" w:hAnsi="仿宋" w:eastAsia="仿宋_GB2312"/>
          <w:color w:val="000000"/>
          <w:sz w:val="32"/>
        </w:rPr>
      </w:pPr>
      <w:r>
        <w:rPr>
          <w:rFonts w:hint="eastAsia" w:ascii="仿宋_GB2312" w:hAnsi="仿宋" w:eastAsia="仿宋_GB2312"/>
          <w:color w:val="000000"/>
          <w:sz w:val="32"/>
        </w:rPr>
        <w:t>进一步营造了推普氛围，通过五四，</w:t>
      </w:r>
      <w:r>
        <w:rPr>
          <w:rFonts w:hint="eastAsia" w:ascii="仿宋_GB2312" w:hAnsi="仿宋" w:eastAsia="仿宋_GB2312"/>
          <w:color w:val="000000"/>
          <w:sz w:val="32"/>
          <w:lang w:eastAsia="zh-CN"/>
        </w:rPr>
        <w:t>一二·九</w:t>
      </w:r>
      <w:r>
        <w:rPr>
          <w:rFonts w:hint="eastAsia" w:ascii="仿宋_GB2312" w:hAnsi="仿宋" w:eastAsia="仿宋_GB2312"/>
          <w:color w:val="000000"/>
          <w:sz w:val="32"/>
        </w:rPr>
        <w:t>活动进一步推广普通话活动，全校师生能在校园内坚持说普通话。</w:t>
      </w:r>
    </w:p>
    <w:p w14:paraId="45622384">
      <w:pPr>
        <w:spacing w:line="600" w:lineRule="exact"/>
        <w:ind w:firstLine="640" w:firstLineChars="200"/>
        <w:rPr>
          <w:rFonts w:ascii="仿宋_GB2312" w:hAnsi="仿宋" w:eastAsia="仿宋_GB2312"/>
          <w:color w:val="000000"/>
          <w:sz w:val="32"/>
        </w:rPr>
      </w:pPr>
      <w:r>
        <w:rPr>
          <w:rFonts w:hint="eastAsia" w:ascii="仿宋_GB2312" w:hAnsi="仿宋" w:eastAsia="仿宋_GB2312"/>
          <w:color w:val="000000"/>
          <w:sz w:val="32"/>
        </w:rPr>
        <w:t>（九）</w:t>
      </w:r>
      <w:r>
        <w:rPr>
          <w:rFonts w:hint="eastAsia" w:ascii="仿宋_GB2312" w:hAnsi="仿宋" w:eastAsia="仿宋_GB2312"/>
          <w:color w:val="000000"/>
          <w:sz w:val="32"/>
          <w:lang w:eastAsia="zh-CN"/>
        </w:rPr>
        <w:t>加强</w:t>
      </w:r>
      <w:r>
        <w:rPr>
          <w:rFonts w:hint="eastAsia" w:ascii="仿宋_GB2312" w:hAnsi="仿宋" w:eastAsia="仿宋_GB2312"/>
          <w:color w:val="000000"/>
          <w:sz w:val="32"/>
        </w:rPr>
        <w:t>其他工作推进和管理</w:t>
      </w:r>
    </w:p>
    <w:p w14:paraId="62039D2F">
      <w:pPr>
        <w:spacing w:line="600" w:lineRule="exact"/>
        <w:ind w:firstLine="640" w:firstLineChars="200"/>
        <w:rPr>
          <w:rFonts w:ascii="仿宋_GB2312" w:hAnsi="仿宋" w:eastAsia="仿宋_GB2312"/>
          <w:color w:val="000000"/>
          <w:sz w:val="32"/>
        </w:rPr>
      </w:pPr>
      <w:r>
        <w:rPr>
          <w:rFonts w:hint="eastAsia" w:ascii="仿宋_GB2312" w:hAnsi="仿宋" w:eastAsia="仿宋_GB2312"/>
          <w:color w:val="000000"/>
          <w:sz w:val="32"/>
        </w:rPr>
        <w:t>一是在财务管理上坚持按财经纪律收支；二是加强了营养餐和食堂管理；三是扎实开展了“控辍保学”工作；四是加强了寄宿制学生的管理；五是配合镇</w:t>
      </w:r>
      <w:r>
        <w:rPr>
          <w:rFonts w:hint="eastAsia" w:ascii="仿宋_GB2312" w:hAnsi="仿宋" w:eastAsia="仿宋_GB2312"/>
          <w:color w:val="000000"/>
          <w:sz w:val="32"/>
          <w:lang w:eastAsia="zh-CN"/>
        </w:rPr>
        <w:t>党委、政府</w:t>
      </w:r>
      <w:r>
        <w:rPr>
          <w:rFonts w:hint="eastAsia" w:ascii="仿宋_GB2312" w:hAnsi="仿宋" w:eastAsia="仿宋_GB2312"/>
          <w:color w:val="000000"/>
          <w:sz w:val="32"/>
        </w:rPr>
        <w:t>高质量完成了“脱贫攻坚后评估”工作；六是积极筹备开展了“双规</w:t>
      </w:r>
      <w:r>
        <w:rPr>
          <w:rFonts w:hint="eastAsia" w:ascii="仿宋_GB2312" w:hAnsi="仿宋" w:eastAsia="仿宋_GB2312"/>
          <w:color w:val="000000"/>
          <w:sz w:val="32"/>
          <w:lang w:eastAsia="zh-CN"/>
        </w:rPr>
        <w:t>‘双减’工作</w:t>
      </w:r>
      <w:r>
        <w:rPr>
          <w:rFonts w:hint="eastAsia" w:ascii="仿宋_GB2312" w:hAnsi="仿宋" w:eastAsia="仿宋_GB2312"/>
          <w:color w:val="000000"/>
          <w:sz w:val="32"/>
        </w:rPr>
        <w:t>”和“五项管理”工作并成功开展了学生课后服务工作；七是完成了学生体质健康检测和上报工作，完成了体育艺术工作填报等。</w:t>
      </w:r>
    </w:p>
    <w:p w14:paraId="339E9BDE">
      <w:pPr>
        <w:widowControl/>
        <w:jc w:val="left"/>
        <w:rPr>
          <w:rFonts w:ascii="仿宋" w:hAnsi="仿宋" w:eastAsia="仿宋"/>
          <w:kern w:val="0"/>
          <w:sz w:val="32"/>
          <w:szCs w:val="32"/>
        </w:rPr>
      </w:pPr>
      <w:r>
        <w:rPr>
          <w:rFonts w:ascii="仿宋" w:hAnsi="仿宋" w:eastAsia="仿宋"/>
          <w:sz w:val="32"/>
          <w:szCs w:val="32"/>
        </w:rPr>
        <w:br w:type="page"/>
      </w:r>
    </w:p>
    <w:p w14:paraId="1E46994F">
      <w:pPr>
        <w:pStyle w:val="3"/>
        <w:ind w:right="440"/>
        <w:jc w:val="center"/>
      </w:pPr>
      <w:bookmarkStart w:id="16" w:name="_Toc15377204"/>
      <w:bookmarkStart w:id="17" w:name="_Toc15396602"/>
      <w:r>
        <w:rPr>
          <w:rFonts w:hint="eastAsia" w:ascii="黑体" w:hAnsi="黑体" w:eastAsia="黑体"/>
          <w:b w:val="0"/>
        </w:rPr>
        <w:t>第二部分 202</w:t>
      </w:r>
      <w:r>
        <w:rPr>
          <w:rFonts w:hint="eastAsia" w:ascii="黑体" w:hAnsi="黑体" w:eastAsia="黑体"/>
          <w:b w:val="0"/>
          <w:lang w:val="en-US" w:eastAsia="zh-CN"/>
        </w:rPr>
        <w:t>2</w:t>
      </w:r>
      <w:r>
        <w:rPr>
          <w:rFonts w:hint="eastAsia" w:ascii="黑体" w:hAnsi="黑体" w:eastAsia="黑体"/>
          <w:b w:val="0"/>
        </w:rPr>
        <w:t>年度</w:t>
      </w:r>
      <w:r>
        <w:rPr>
          <w:rStyle w:val="25"/>
          <w:rFonts w:hint="eastAsia" w:ascii="黑体" w:hAnsi="黑体" w:eastAsia="黑体"/>
          <w:b w:val="0"/>
          <w:bCs/>
        </w:rPr>
        <w:t>单位决算情况说明</w:t>
      </w:r>
      <w:bookmarkEnd w:id="16"/>
      <w:bookmarkEnd w:id="17"/>
    </w:p>
    <w:p w14:paraId="5F0E1EF0">
      <w:pPr>
        <w:pStyle w:val="24"/>
        <w:numPr>
          <w:ilvl w:val="0"/>
          <w:numId w:val="1"/>
        </w:numPr>
        <w:spacing w:line="600" w:lineRule="exact"/>
        <w:ind w:firstLineChars="0"/>
        <w:outlineLvl w:val="1"/>
        <w:rPr>
          <w:rStyle w:val="26"/>
          <w:rFonts w:ascii="黑体" w:hAnsi="黑体" w:eastAsia="黑体"/>
          <w:b w:val="0"/>
        </w:rPr>
      </w:pPr>
      <w:bookmarkStart w:id="18" w:name="_Toc15377205"/>
      <w:bookmarkStart w:id="19" w:name="_Toc15396603"/>
      <w:r>
        <w:rPr>
          <w:rFonts w:hint="eastAsia" w:ascii="黑体" w:hAnsi="黑体" w:eastAsia="黑体"/>
          <w:sz w:val="32"/>
          <w:szCs w:val="32"/>
        </w:rPr>
        <w:t>收</w:t>
      </w:r>
      <w:r>
        <w:rPr>
          <w:rStyle w:val="26"/>
          <w:rFonts w:hint="eastAsia" w:ascii="黑体" w:hAnsi="黑体" w:eastAsia="黑体"/>
          <w:b w:val="0"/>
        </w:rPr>
        <w:t>入支出决算总体情况说明</w:t>
      </w:r>
      <w:bookmarkEnd w:id="18"/>
      <w:bookmarkEnd w:id="19"/>
    </w:p>
    <w:p w14:paraId="5B658E59">
      <w:pPr>
        <w:spacing w:line="600" w:lineRule="exact"/>
        <w:ind w:firstLine="640" w:firstLineChars="200"/>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2</w:t>
      </w:r>
      <w:r>
        <w:rPr>
          <w:rFonts w:hint="eastAsia" w:ascii="仿宋" w:hAnsi="仿宋" w:eastAsia="仿宋"/>
          <w:sz w:val="32"/>
          <w:szCs w:val="32"/>
        </w:rPr>
        <w:t>年度收、支总计</w:t>
      </w:r>
      <w:r>
        <w:rPr>
          <w:rFonts w:hint="eastAsia" w:ascii="仿宋" w:hAnsi="仿宋" w:eastAsia="仿宋"/>
          <w:sz w:val="32"/>
          <w:szCs w:val="32"/>
          <w:lang w:val="en-US" w:eastAsia="zh-CN"/>
        </w:rPr>
        <w:t>8517060.52</w:t>
      </w:r>
      <w:r>
        <w:rPr>
          <w:rFonts w:hint="eastAsia" w:ascii="仿宋" w:hAnsi="仿宋" w:eastAsia="仿宋"/>
          <w:sz w:val="32"/>
          <w:szCs w:val="32"/>
        </w:rPr>
        <w:t>元。与202</w:t>
      </w:r>
      <w:r>
        <w:rPr>
          <w:rFonts w:hint="eastAsia" w:ascii="仿宋" w:hAnsi="仿宋" w:eastAsia="仿宋"/>
          <w:sz w:val="32"/>
          <w:szCs w:val="32"/>
          <w:lang w:val="en-US" w:eastAsia="zh-CN"/>
        </w:rPr>
        <w:t>1</w:t>
      </w:r>
      <w:r>
        <w:rPr>
          <w:rFonts w:hint="eastAsia" w:ascii="仿宋" w:hAnsi="仿宋" w:eastAsia="仿宋"/>
          <w:sz w:val="32"/>
          <w:szCs w:val="32"/>
        </w:rPr>
        <w:t>年相比，收、支总计各</w:t>
      </w:r>
      <w:r>
        <w:rPr>
          <w:rFonts w:hint="eastAsia" w:ascii="仿宋" w:hAnsi="仿宋" w:eastAsia="仿宋"/>
          <w:sz w:val="32"/>
          <w:szCs w:val="32"/>
          <w:lang w:val="en-US" w:eastAsia="zh-CN"/>
        </w:rPr>
        <w:t>减少1811639.48</w:t>
      </w:r>
      <w:r>
        <w:rPr>
          <w:rFonts w:hint="eastAsia" w:ascii="仿宋" w:hAnsi="仿宋" w:eastAsia="仿宋"/>
          <w:sz w:val="32"/>
          <w:szCs w:val="32"/>
        </w:rPr>
        <w:t>元，</w:t>
      </w:r>
      <w:r>
        <w:rPr>
          <w:rFonts w:hint="eastAsia" w:ascii="仿宋" w:hAnsi="仿宋" w:eastAsia="仿宋"/>
          <w:sz w:val="32"/>
          <w:szCs w:val="32"/>
          <w:lang w:val="en-US" w:eastAsia="zh-CN"/>
        </w:rPr>
        <w:t>减少17.53</w:t>
      </w:r>
      <w:r>
        <w:rPr>
          <w:rFonts w:ascii="仿宋" w:hAnsi="仿宋" w:eastAsia="仿宋"/>
          <w:sz w:val="32"/>
          <w:szCs w:val="32"/>
        </w:rPr>
        <w:t>%</w:t>
      </w:r>
      <w:r>
        <w:rPr>
          <w:rFonts w:hint="eastAsia" w:ascii="仿宋" w:hAnsi="仿宋" w:eastAsia="仿宋"/>
          <w:sz w:val="32"/>
          <w:szCs w:val="32"/>
        </w:rPr>
        <w:t>。主要变动原因是202</w:t>
      </w:r>
      <w:r>
        <w:rPr>
          <w:rFonts w:hint="eastAsia" w:ascii="仿宋" w:hAnsi="仿宋" w:eastAsia="仿宋"/>
          <w:sz w:val="32"/>
          <w:szCs w:val="32"/>
          <w:lang w:val="en-US" w:eastAsia="zh-CN"/>
        </w:rPr>
        <w:t>2</w:t>
      </w:r>
      <w:r>
        <w:rPr>
          <w:rFonts w:hint="eastAsia" w:ascii="仿宋" w:hAnsi="仿宋" w:eastAsia="仿宋"/>
          <w:sz w:val="32"/>
          <w:szCs w:val="32"/>
        </w:rPr>
        <w:t>年事业单位调整工资标准，上年结转和结余等。</w:t>
      </w:r>
    </w:p>
    <w:p w14:paraId="390483FC">
      <w:pPr>
        <w:spacing w:line="600" w:lineRule="exact"/>
        <w:ind w:firstLine="420" w:firstLineChars="200"/>
        <w:jc w:val="left"/>
        <w:rPr>
          <w:rFonts w:ascii="仿宋_GB2312" w:eastAsia="仿宋_GB2312"/>
          <w:sz w:val="32"/>
          <w:szCs w:val="32"/>
        </w:rPr>
      </w:pPr>
      <w:r>
        <w:drawing>
          <wp:anchor distT="0" distB="0" distL="114300" distR="114300" simplePos="0" relativeHeight="251659264" behindDoc="0" locked="0" layoutInCell="1" allowOverlap="1">
            <wp:simplePos x="0" y="0"/>
            <wp:positionH relativeFrom="column">
              <wp:posOffset>417195</wp:posOffset>
            </wp:positionH>
            <wp:positionV relativeFrom="paragraph">
              <wp:posOffset>121920</wp:posOffset>
            </wp:positionV>
            <wp:extent cx="4374515" cy="2197735"/>
            <wp:effectExtent l="0" t="0" r="26035" b="12065"/>
            <wp:wrapSquare wrapText="bothSides"/>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14:paraId="7D2D4788">
      <w:pPr>
        <w:spacing w:line="600" w:lineRule="exact"/>
        <w:ind w:firstLine="640" w:firstLineChars="200"/>
        <w:jc w:val="left"/>
        <w:rPr>
          <w:rFonts w:ascii="仿宋_GB2312" w:eastAsia="仿宋_GB2312"/>
          <w:sz w:val="32"/>
          <w:szCs w:val="32"/>
        </w:rPr>
      </w:pPr>
    </w:p>
    <w:p w14:paraId="1C962F01">
      <w:pPr>
        <w:spacing w:line="600" w:lineRule="exact"/>
        <w:ind w:firstLine="640" w:firstLineChars="200"/>
        <w:jc w:val="left"/>
        <w:rPr>
          <w:rFonts w:ascii="仿宋_GB2312" w:eastAsia="仿宋_GB2312"/>
          <w:sz w:val="32"/>
          <w:szCs w:val="32"/>
        </w:rPr>
      </w:pPr>
    </w:p>
    <w:p w14:paraId="0428B4A3">
      <w:pPr>
        <w:spacing w:line="600" w:lineRule="exact"/>
        <w:ind w:firstLine="640" w:firstLineChars="200"/>
        <w:jc w:val="left"/>
        <w:rPr>
          <w:rFonts w:ascii="仿宋_GB2312" w:eastAsia="仿宋_GB2312"/>
          <w:sz w:val="32"/>
          <w:szCs w:val="32"/>
        </w:rPr>
      </w:pPr>
    </w:p>
    <w:p w14:paraId="24572775">
      <w:pPr>
        <w:pStyle w:val="24"/>
        <w:numPr>
          <w:ilvl w:val="0"/>
          <w:numId w:val="1"/>
        </w:numPr>
        <w:spacing w:line="600" w:lineRule="exact"/>
        <w:ind w:firstLineChars="0"/>
        <w:outlineLvl w:val="1"/>
        <w:rPr>
          <w:rStyle w:val="26"/>
          <w:rFonts w:ascii="黑体" w:hAnsi="黑体" w:eastAsia="黑体"/>
          <w:b w:val="0"/>
        </w:rPr>
      </w:pPr>
      <w:bookmarkStart w:id="20" w:name="_Toc15377206"/>
      <w:bookmarkStart w:id="21" w:name="_Toc15396604"/>
      <w:r>
        <w:rPr>
          <w:rFonts w:hint="eastAsia" w:ascii="黑体" w:hAnsi="黑体" w:eastAsia="黑体"/>
          <w:sz w:val="32"/>
          <w:szCs w:val="32"/>
        </w:rPr>
        <w:t>收</w:t>
      </w:r>
      <w:r>
        <w:rPr>
          <w:rStyle w:val="26"/>
          <w:rFonts w:hint="eastAsia" w:ascii="黑体" w:hAnsi="黑体" w:eastAsia="黑体"/>
          <w:b w:val="0"/>
        </w:rPr>
        <w:t>入决算情况说明</w:t>
      </w:r>
      <w:bookmarkEnd w:id="20"/>
      <w:bookmarkEnd w:id="21"/>
    </w:p>
    <w:p w14:paraId="31F43313">
      <w:pPr>
        <w:spacing w:line="600" w:lineRule="exact"/>
        <w:ind w:firstLine="640" w:firstLineChars="200"/>
        <w:outlineLvl w:val="1"/>
        <w:rPr>
          <w:rFonts w:ascii="仿宋" w:hAnsi="仿宋" w:eastAsia="仿宋"/>
          <w:b/>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年本年收入合计</w:t>
      </w:r>
      <w:r>
        <w:rPr>
          <w:rFonts w:hint="eastAsia" w:ascii="仿宋" w:hAnsi="仿宋" w:eastAsia="仿宋"/>
          <w:sz w:val="32"/>
          <w:szCs w:val="32"/>
          <w:lang w:val="en-US" w:eastAsia="zh-CN"/>
        </w:rPr>
        <w:t>8895265.52</w:t>
      </w:r>
      <w:r>
        <w:rPr>
          <w:rFonts w:hint="eastAsia" w:ascii="仿宋" w:hAnsi="仿宋" w:eastAsia="仿宋"/>
          <w:sz w:val="32"/>
          <w:szCs w:val="32"/>
        </w:rPr>
        <w:t>元，其中：一般公共预算财政拨款收入</w:t>
      </w:r>
      <w:r>
        <w:rPr>
          <w:rFonts w:hint="eastAsia" w:ascii="仿宋" w:hAnsi="仿宋" w:eastAsia="仿宋"/>
          <w:sz w:val="32"/>
          <w:szCs w:val="32"/>
          <w:lang w:val="en-US" w:eastAsia="zh-CN"/>
        </w:rPr>
        <w:t>8895265.52</w:t>
      </w:r>
      <w:r>
        <w:rPr>
          <w:rFonts w:hint="eastAsia" w:ascii="仿宋" w:hAnsi="仿宋" w:eastAsia="仿宋"/>
          <w:sz w:val="32"/>
          <w:szCs w:val="32"/>
        </w:rPr>
        <w:t>元，占100.00</w:t>
      </w:r>
      <w:r>
        <w:rPr>
          <w:rFonts w:ascii="仿宋" w:hAnsi="仿宋" w:eastAsia="仿宋"/>
          <w:sz w:val="32"/>
          <w:szCs w:val="32"/>
        </w:rPr>
        <w:t>%</w:t>
      </w:r>
      <w:r>
        <w:rPr>
          <w:rFonts w:hint="eastAsia" w:ascii="仿宋" w:hAnsi="仿宋" w:eastAsia="仿宋"/>
          <w:sz w:val="32"/>
          <w:szCs w:val="32"/>
        </w:rPr>
        <w:t>。</w:t>
      </w:r>
    </w:p>
    <w:p w14:paraId="558CD9C6">
      <w:pPr>
        <w:spacing w:line="600" w:lineRule="exact"/>
        <w:ind w:firstLine="420" w:firstLineChars="200"/>
        <w:rPr>
          <w:rFonts w:ascii="仿宋" w:hAnsi="仿宋" w:eastAsia="仿宋"/>
          <w:sz w:val="32"/>
          <w:szCs w:val="32"/>
        </w:rPr>
      </w:pPr>
      <w:r>
        <w:rPr>
          <w:rFonts w:hint="eastAsia"/>
        </w:rPr>
        <w:drawing>
          <wp:anchor distT="0" distB="0" distL="114300" distR="114300" simplePos="0" relativeHeight="251660288" behindDoc="0" locked="0" layoutInCell="1" allowOverlap="1">
            <wp:simplePos x="0" y="0"/>
            <wp:positionH relativeFrom="column">
              <wp:posOffset>869950</wp:posOffset>
            </wp:positionH>
            <wp:positionV relativeFrom="paragraph">
              <wp:posOffset>120650</wp:posOffset>
            </wp:positionV>
            <wp:extent cx="3799840" cy="2159635"/>
            <wp:effectExtent l="38100" t="0" r="10160" b="12065"/>
            <wp:wrapSquare wrapText="bothSides"/>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300CD30F">
      <w:pPr>
        <w:spacing w:line="600" w:lineRule="exact"/>
        <w:ind w:firstLine="640" w:firstLineChars="200"/>
        <w:rPr>
          <w:rFonts w:ascii="仿宋_GB2312" w:eastAsia="仿宋_GB2312"/>
          <w:sz w:val="32"/>
          <w:szCs w:val="32"/>
        </w:rPr>
      </w:pPr>
    </w:p>
    <w:p w14:paraId="56F193FE">
      <w:pPr>
        <w:pStyle w:val="2"/>
        <w:spacing w:before="93"/>
      </w:pPr>
    </w:p>
    <w:p w14:paraId="57F31F8E">
      <w:pPr>
        <w:pStyle w:val="24"/>
        <w:numPr>
          <w:ilvl w:val="0"/>
          <w:numId w:val="1"/>
        </w:numPr>
        <w:spacing w:line="600" w:lineRule="exact"/>
        <w:ind w:firstLineChars="0"/>
        <w:outlineLvl w:val="1"/>
        <w:rPr>
          <w:rStyle w:val="26"/>
          <w:rFonts w:ascii="黑体" w:hAnsi="黑体" w:eastAsia="黑体"/>
          <w:b w:val="0"/>
        </w:rPr>
      </w:pPr>
      <w:bookmarkStart w:id="22" w:name="_Toc15396605"/>
      <w:bookmarkStart w:id="23" w:name="_Toc15377207"/>
      <w:r>
        <w:rPr>
          <w:rFonts w:hint="eastAsia" w:ascii="黑体" w:hAnsi="黑体" w:eastAsia="黑体"/>
          <w:sz w:val="32"/>
          <w:szCs w:val="32"/>
        </w:rPr>
        <w:t>支</w:t>
      </w:r>
      <w:r>
        <w:rPr>
          <w:rStyle w:val="26"/>
          <w:rFonts w:hint="eastAsia" w:ascii="黑体" w:hAnsi="黑体" w:eastAsia="黑体"/>
          <w:b w:val="0"/>
        </w:rPr>
        <w:t>出决算情况说明</w:t>
      </w:r>
      <w:bookmarkEnd w:id="22"/>
      <w:bookmarkEnd w:id="23"/>
    </w:p>
    <w:p w14:paraId="0DACA030">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年本年支出合计</w:t>
      </w:r>
      <w:r>
        <w:rPr>
          <w:rFonts w:hint="eastAsia" w:ascii="仿宋" w:hAnsi="仿宋" w:eastAsia="仿宋"/>
          <w:sz w:val="32"/>
          <w:szCs w:val="32"/>
          <w:lang w:val="en-US" w:eastAsia="zh-CN"/>
        </w:rPr>
        <w:t>8895265.52</w:t>
      </w:r>
      <w:r>
        <w:rPr>
          <w:rFonts w:hint="eastAsia" w:ascii="仿宋" w:hAnsi="仿宋" w:eastAsia="仿宋"/>
          <w:sz w:val="32"/>
          <w:szCs w:val="32"/>
        </w:rPr>
        <w:t>元，其中：基本支出</w:t>
      </w:r>
      <w:r>
        <w:rPr>
          <w:rFonts w:hint="eastAsia" w:ascii="仿宋" w:hAnsi="仿宋" w:eastAsia="仿宋"/>
          <w:sz w:val="32"/>
          <w:szCs w:val="32"/>
          <w:lang w:val="en-US" w:eastAsia="zh-CN"/>
        </w:rPr>
        <w:t>7575594.08</w:t>
      </w:r>
      <w:r>
        <w:rPr>
          <w:rFonts w:hint="eastAsia" w:ascii="仿宋" w:hAnsi="仿宋" w:eastAsia="仿宋"/>
          <w:sz w:val="32"/>
          <w:szCs w:val="32"/>
        </w:rPr>
        <w:t>元，占</w:t>
      </w:r>
      <w:r>
        <w:rPr>
          <w:rFonts w:hint="eastAsia" w:ascii="仿宋" w:hAnsi="仿宋" w:eastAsia="仿宋"/>
          <w:sz w:val="32"/>
          <w:szCs w:val="32"/>
          <w:lang w:val="en-US" w:eastAsia="zh-CN"/>
        </w:rPr>
        <w:t>85.16</w:t>
      </w:r>
      <w:r>
        <w:rPr>
          <w:rFonts w:ascii="仿宋" w:hAnsi="仿宋" w:eastAsia="仿宋"/>
          <w:sz w:val="32"/>
          <w:szCs w:val="32"/>
        </w:rPr>
        <w:t>%</w:t>
      </w:r>
      <w:r>
        <w:rPr>
          <w:rFonts w:hint="eastAsia" w:ascii="仿宋" w:hAnsi="仿宋" w:eastAsia="仿宋"/>
          <w:sz w:val="32"/>
          <w:szCs w:val="32"/>
        </w:rPr>
        <w:t>；项目支出</w:t>
      </w:r>
      <w:r>
        <w:rPr>
          <w:rFonts w:hint="eastAsia" w:ascii="仿宋" w:hAnsi="仿宋" w:eastAsia="仿宋"/>
          <w:sz w:val="32"/>
          <w:szCs w:val="32"/>
          <w:lang w:val="en-US" w:eastAsia="zh-CN"/>
        </w:rPr>
        <w:t>1319671.44</w:t>
      </w:r>
      <w:r>
        <w:rPr>
          <w:rFonts w:hint="eastAsia" w:ascii="仿宋" w:hAnsi="仿宋" w:eastAsia="仿宋"/>
          <w:sz w:val="32"/>
          <w:szCs w:val="32"/>
        </w:rPr>
        <w:t>元，占</w:t>
      </w:r>
      <w:r>
        <w:rPr>
          <w:rFonts w:hint="eastAsia" w:ascii="仿宋" w:hAnsi="仿宋" w:eastAsia="仿宋"/>
          <w:sz w:val="32"/>
          <w:szCs w:val="32"/>
          <w:lang w:val="en-US" w:eastAsia="zh-CN"/>
        </w:rPr>
        <w:t>14.84</w:t>
      </w:r>
      <w:r>
        <w:rPr>
          <w:rFonts w:ascii="仿宋" w:hAnsi="仿宋" w:eastAsia="仿宋"/>
          <w:sz w:val="32"/>
          <w:szCs w:val="32"/>
        </w:rPr>
        <w:t>%</w:t>
      </w:r>
      <w:r>
        <w:rPr>
          <w:rFonts w:hint="eastAsia" w:ascii="仿宋" w:hAnsi="仿宋" w:eastAsia="仿宋"/>
          <w:sz w:val="32"/>
          <w:szCs w:val="32"/>
        </w:rPr>
        <w:t>。</w:t>
      </w:r>
    </w:p>
    <w:p w14:paraId="02DDC08E">
      <w:pPr>
        <w:spacing w:line="600" w:lineRule="exact"/>
        <w:ind w:firstLine="640"/>
        <w:rPr>
          <w:rFonts w:ascii="仿宋" w:hAnsi="仿宋" w:eastAsia="仿宋"/>
          <w:sz w:val="32"/>
          <w:szCs w:val="32"/>
          <w:shd w:val="pct10" w:color="auto" w:fill="FFFFFF"/>
        </w:rPr>
      </w:pPr>
      <w:r>
        <w:rPr>
          <w:rFonts w:hint="eastAsia"/>
        </w:rPr>
        <w:drawing>
          <wp:anchor distT="0" distB="0" distL="114300" distR="114300" simplePos="0" relativeHeight="251661312" behindDoc="0" locked="0" layoutInCell="1" allowOverlap="1">
            <wp:simplePos x="0" y="0"/>
            <wp:positionH relativeFrom="column">
              <wp:posOffset>788670</wp:posOffset>
            </wp:positionH>
            <wp:positionV relativeFrom="paragraph">
              <wp:posOffset>219710</wp:posOffset>
            </wp:positionV>
            <wp:extent cx="3867150" cy="2537460"/>
            <wp:effectExtent l="38100" t="0" r="19050" b="15240"/>
            <wp:wrapSquare wrapText="bothSides"/>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6E985BD7">
      <w:pPr>
        <w:pStyle w:val="2"/>
        <w:spacing w:before="93"/>
        <w:rPr>
          <w:sz w:val="32"/>
          <w:szCs w:val="32"/>
        </w:rPr>
      </w:pPr>
    </w:p>
    <w:p w14:paraId="4C5E77C6">
      <w:pPr>
        <w:pStyle w:val="2"/>
        <w:spacing w:before="93"/>
        <w:rPr>
          <w:sz w:val="32"/>
          <w:szCs w:val="32"/>
        </w:rPr>
      </w:pPr>
    </w:p>
    <w:p w14:paraId="3C2527B5">
      <w:pPr>
        <w:pStyle w:val="2"/>
        <w:spacing w:before="93"/>
        <w:rPr>
          <w:sz w:val="32"/>
          <w:szCs w:val="32"/>
        </w:rPr>
      </w:pPr>
    </w:p>
    <w:p w14:paraId="73E8338B">
      <w:pPr>
        <w:pStyle w:val="2"/>
        <w:spacing w:before="93"/>
        <w:rPr>
          <w:sz w:val="32"/>
          <w:szCs w:val="32"/>
        </w:rPr>
      </w:pPr>
    </w:p>
    <w:p w14:paraId="64B46734">
      <w:pPr>
        <w:pStyle w:val="2"/>
        <w:spacing w:before="93"/>
        <w:rPr>
          <w:sz w:val="32"/>
          <w:szCs w:val="32"/>
        </w:rPr>
      </w:pPr>
    </w:p>
    <w:p w14:paraId="6541128A">
      <w:pPr>
        <w:pStyle w:val="2"/>
        <w:spacing w:before="93"/>
        <w:rPr>
          <w:sz w:val="32"/>
          <w:szCs w:val="32"/>
        </w:rPr>
      </w:pPr>
    </w:p>
    <w:p w14:paraId="27D3A1A9">
      <w:pPr>
        <w:spacing w:line="600" w:lineRule="exact"/>
        <w:ind w:firstLine="640" w:firstLineChars="200"/>
        <w:outlineLvl w:val="1"/>
        <w:rPr>
          <w:rStyle w:val="26"/>
          <w:rFonts w:ascii="黑体" w:hAnsi="黑体" w:eastAsia="黑体"/>
          <w:b w:val="0"/>
        </w:rPr>
      </w:pPr>
      <w:bookmarkStart w:id="24" w:name="_Toc15377208"/>
      <w:bookmarkStart w:id="25" w:name="_Toc15396606"/>
      <w:r>
        <w:rPr>
          <w:rFonts w:hint="eastAsia" w:ascii="黑体" w:hAnsi="黑体" w:eastAsia="黑体"/>
          <w:sz w:val="32"/>
          <w:szCs w:val="32"/>
        </w:rPr>
        <w:t>四、财</w:t>
      </w:r>
      <w:r>
        <w:rPr>
          <w:rStyle w:val="26"/>
          <w:rFonts w:hint="eastAsia" w:ascii="黑体" w:hAnsi="黑体" w:eastAsia="黑体"/>
          <w:b w:val="0"/>
        </w:rPr>
        <w:t>政拨款收入支出决算总体情况说明</w:t>
      </w:r>
      <w:bookmarkEnd w:id="24"/>
      <w:bookmarkEnd w:id="25"/>
    </w:p>
    <w:p w14:paraId="1BF4C3C3">
      <w:pPr>
        <w:spacing w:line="600" w:lineRule="exact"/>
        <w:ind w:firstLine="640"/>
        <w:rPr>
          <w:rFonts w:ascii="仿宋" w:hAnsi="仿宋" w:eastAsia="仿宋"/>
          <w:color w:val="auto"/>
          <w:sz w:val="32"/>
          <w:szCs w:val="32"/>
          <w:highlight w:val="none"/>
          <w:shd w:val="clear" w:color="FFFFFF" w:fill="D9D9D9"/>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年财政拨款收、支总计</w:t>
      </w:r>
      <w:r>
        <w:rPr>
          <w:rFonts w:hint="eastAsia" w:ascii="仿宋" w:hAnsi="仿宋" w:eastAsia="仿宋"/>
          <w:sz w:val="32"/>
          <w:szCs w:val="32"/>
          <w:lang w:val="en-US" w:eastAsia="zh-CN"/>
        </w:rPr>
        <w:t>8895265.52</w:t>
      </w:r>
      <w:r>
        <w:rPr>
          <w:rFonts w:hint="eastAsia" w:ascii="仿宋" w:hAnsi="仿宋" w:eastAsia="仿宋"/>
          <w:sz w:val="32"/>
          <w:szCs w:val="32"/>
        </w:rPr>
        <w:t>元。与</w:t>
      </w: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1</w:t>
      </w:r>
      <w:r>
        <w:rPr>
          <w:rFonts w:hint="eastAsia" w:ascii="仿宋" w:hAnsi="仿宋" w:eastAsia="仿宋"/>
          <w:sz w:val="32"/>
          <w:szCs w:val="32"/>
        </w:rPr>
        <w:t>年相比，财政拨款收、支总计各</w:t>
      </w:r>
      <w:r>
        <w:rPr>
          <w:rFonts w:hint="eastAsia" w:ascii="仿宋" w:hAnsi="仿宋" w:eastAsia="仿宋"/>
          <w:sz w:val="32"/>
          <w:szCs w:val="32"/>
          <w:lang w:val="en-US" w:eastAsia="zh-CN"/>
        </w:rPr>
        <w:t>减少1433434.48</w:t>
      </w:r>
      <w:r>
        <w:rPr>
          <w:rFonts w:hint="eastAsia" w:ascii="仿宋" w:hAnsi="仿宋" w:eastAsia="仿宋"/>
          <w:sz w:val="32"/>
          <w:szCs w:val="32"/>
        </w:rPr>
        <w:t>元，</w:t>
      </w:r>
      <w:r>
        <w:rPr>
          <w:rFonts w:hint="eastAsia" w:ascii="仿宋" w:hAnsi="仿宋" w:eastAsia="仿宋"/>
          <w:sz w:val="32"/>
          <w:szCs w:val="32"/>
          <w:lang w:val="en-US" w:eastAsia="zh-CN"/>
        </w:rPr>
        <w:t>减少13.88</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color w:val="auto"/>
          <w:sz w:val="32"/>
          <w:szCs w:val="32"/>
          <w:highlight w:val="none"/>
          <w:shd w:val="clear" w:color="auto" w:fill="auto"/>
        </w:rPr>
        <w:t>主要变动原因是</w:t>
      </w:r>
      <w:r>
        <w:rPr>
          <w:rFonts w:hint="eastAsia" w:ascii="仿宋" w:hAnsi="仿宋" w:eastAsia="仿宋"/>
          <w:color w:val="auto"/>
          <w:sz w:val="32"/>
          <w:szCs w:val="32"/>
          <w:highlight w:val="none"/>
          <w:shd w:val="clear" w:color="auto" w:fill="auto"/>
          <w:lang w:val="en-US" w:eastAsia="zh-CN"/>
        </w:rPr>
        <w:t>学生人数减少</w:t>
      </w:r>
      <w:r>
        <w:rPr>
          <w:rFonts w:hint="eastAsia" w:ascii="仿宋" w:hAnsi="仿宋" w:eastAsia="仿宋"/>
          <w:color w:val="auto"/>
          <w:sz w:val="32"/>
          <w:szCs w:val="32"/>
          <w:highlight w:val="none"/>
          <w:shd w:val="clear" w:color="auto" w:fill="auto"/>
        </w:rPr>
        <w:t>，</w:t>
      </w:r>
      <w:r>
        <w:rPr>
          <w:rFonts w:hint="eastAsia" w:ascii="仿宋" w:hAnsi="仿宋" w:eastAsia="仿宋"/>
          <w:color w:val="auto"/>
          <w:sz w:val="32"/>
          <w:szCs w:val="32"/>
          <w:highlight w:val="none"/>
          <w:shd w:val="clear" w:color="auto" w:fill="auto"/>
          <w:lang w:val="en-US" w:eastAsia="zh-CN"/>
        </w:rPr>
        <w:t>办公经费减少。</w:t>
      </w:r>
      <w:r>
        <w:rPr>
          <w:rFonts w:hint="eastAsia" w:ascii="仿宋" w:hAnsi="仿宋" w:eastAsia="仿宋"/>
          <w:color w:val="auto"/>
          <w:sz w:val="32"/>
          <w:szCs w:val="32"/>
          <w:highlight w:val="none"/>
          <w:shd w:val="clear" w:color="auto" w:fill="auto"/>
        </w:rPr>
        <w:t>202</w:t>
      </w:r>
      <w:r>
        <w:rPr>
          <w:rFonts w:hint="eastAsia" w:ascii="仿宋" w:hAnsi="仿宋" w:eastAsia="仿宋"/>
          <w:color w:val="auto"/>
          <w:sz w:val="32"/>
          <w:szCs w:val="32"/>
          <w:highlight w:val="none"/>
          <w:shd w:val="clear" w:color="auto" w:fill="auto"/>
          <w:lang w:val="en-US" w:eastAsia="zh-CN"/>
        </w:rPr>
        <w:t>2</w:t>
      </w:r>
      <w:r>
        <w:rPr>
          <w:rFonts w:hint="eastAsia" w:ascii="仿宋" w:hAnsi="仿宋" w:eastAsia="仿宋"/>
          <w:color w:val="auto"/>
          <w:sz w:val="32"/>
          <w:szCs w:val="32"/>
          <w:highlight w:val="none"/>
          <w:shd w:val="clear" w:color="auto" w:fill="auto"/>
        </w:rPr>
        <w:t>年事业单位调整工资标准，上年结转和结余等。</w:t>
      </w:r>
    </w:p>
    <w:p w14:paraId="77A56445">
      <w:pPr>
        <w:spacing w:line="600" w:lineRule="exact"/>
        <w:ind w:firstLine="640"/>
        <w:rPr>
          <w:rFonts w:ascii="黑体" w:hAnsi="黑体" w:eastAsia="黑体"/>
          <w:sz w:val="32"/>
          <w:szCs w:val="32"/>
          <w:highlight w:val="none"/>
        </w:rPr>
      </w:pPr>
      <w:bookmarkStart w:id="26" w:name="_Toc15377209"/>
      <w:bookmarkStart w:id="27" w:name="_Toc15396607"/>
      <w:r>
        <w:rPr>
          <w:rFonts w:ascii="仿宋" w:hAnsi="仿宋" w:eastAsia="仿宋"/>
          <w:b/>
          <w:sz w:val="32"/>
          <w:szCs w:val="32"/>
          <w:highlight w:val="none"/>
        </w:rPr>
        <w:drawing>
          <wp:anchor distT="0" distB="0" distL="114300" distR="114300" simplePos="0" relativeHeight="251662336" behindDoc="0" locked="0" layoutInCell="1" allowOverlap="1">
            <wp:simplePos x="0" y="0"/>
            <wp:positionH relativeFrom="column">
              <wp:posOffset>452120</wp:posOffset>
            </wp:positionH>
            <wp:positionV relativeFrom="paragraph">
              <wp:posOffset>240030</wp:posOffset>
            </wp:positionV>
            <wp:extent cx="4504690" cy="2360930"/>
            <wp:effectExtent l="0" t="0" r="10160" b="20320"/>
            <wp:wrapSquare wrapText="bothSides"/>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ascii="仿宋" w:hAnsi="仿宋" w:eastAsia="仿宋"/>
          <w:b/>
          <w:sz w:val="32"/>
          <w:szCs w:val="32"/>
          <w:highlight w:val="none"/>
        </w:rPr>
        <w:t>元</w:t>
      </w:r>
    </w:p>
    <w:p w14:paraId="5DE5EEF0">
      <w:pPr>
        <w:spacing w:line="600" w:lineRule="exact"/>
        <w:ind w:firstLine="640"/>
        <w:rPr>
          <w:rFonts w:ascii="黑体" w:hAnsi="黑体" w:eastAsia="黑体"/>
          <w:sz w:val="32"/>
          <w:szCs w:val="32"/>
        </w:rPr>
      </w:pPr>
    </w:p>
    <w:p w14:paraId="4E8F1B0E">
      <w:pPr>
        <w:spacing w:line="600" w:lineRule="exact"/>
        <w:ind w:firstLine="640"/>
        <w:rPr>
          <w:rFonts w:ascii="黑体" w:hAnsi="黑体" w:eastAsia="黑体"/>
          <w:sz w:val="32"/>
          <w:szCs w:val="32"/>
        </w:rPr>
      </w:pPr>
    </w:p>
    <w:p w14:paraId="246E2CB4">
      <w:pPr>
        <w:spacing w:line="600" w:lineRule="exact"/>
        <w:ind w:firstLine="640"/>
        <w:rPr>
          <w:rFonts w:ascii="黑体" w:hAnsi="黑体" w:eastAsia="黑体"/>
          <w:sz w:val="32"/>
          <w:szCs w:val="32"/>
        </w:rPr>
      </w:pPr>
    </w:p>
    <w:p w14:paraId="36A1AE19">
      <w:pPr>
        <w:spacing w:line="600" w:lineRule="exact"/>
        <w:ind w:firstLine="640"/>
        <w:rPr>
          <w:rFonts w:ascii="黑体" w:hAnsi="黑体" w:eastAsia="黑体"/>
          <w:sz w:val="32"/>
          <w:szCs w:val="32"/>
        </w:rPr>
      </w:pPr>
    </w:p>
    <w:p w14:paraId="7BC27159">
      <w:pPr>
        <w:spacing w:line="600" w:lineRule="exact"/>
        <w:ind w:firstLine="640"/>
        <w:rPr>
          <w:rFonts w:ascii="黑体" w:hAnsi="黑体" w:eastAsia="黑体"/>
          <w:sz w:val="32"/>
          <w:szCs w:val="32"/>
        </w:rPr>
      </w:pPr>
    </w:p>
    <w:p w14:paraId="629A2417">
      <w:pPr>
        <w:spacing w:line="600" w:lineRule="exact"/>
        <w:ind w:firstLine="640"/>
        <w:rPr>
          <w:rFonts w:ascii="黑体" w:hAnsi="黑体" w:eastAsia="黑体"/>
          <w:sz w:val="32"/>
          <w:szCs w:val="32"/>
        </w:rPr>
      </w:pPr>
    </w:p>
    <w:p w14:paraId="4A68EAF0">
      <w:pPr>
        <w:spacing w:line="600" w:lineRule="exact"/>
        <w:ind w:firstLine="640"/>
        <w:rPr>
          <w:rStyle w:val="26"/>
          <w:rFonts w:ascii="黑体" w:hAnsi="黑体" w:eastAsia="黑体"/>
          <w:b w:val="0"/>
        </w:rPr>
      </w:pPr>
      <w:r>
        <w:rPr>
          <w:rFonts w:hint="eastAsia" w:ascii="黑体" w:hAnsi="黑体" w:eastAsia="黑体"/>
          <w:sz w:val="32"/>
          <w:szCs w:val="32"/>
        </w:rPr>
        <w:t>五、</w:t>
      </w:r>
      <w:r>
        <w:rPr>
          <w:rFonts w:hint="eastAsia" w:ascii="黑体" w:hAnsi="黑体" w:eastAsia="黑体"/>
          <w:b/>
          <w:sz w:val="32"/>
          <w:szCs w:val="32"/>
        </w:rPr>
        <w:t>一</w:t>
      </w:r>
      <w:r>
        <w:rPr>
          <w:rStyle w:val="26"/>
          <w:rFonts w:hint="eastAsia" w:ascii="黑体" w:hAnsi="黑体" w:eastAsia="黑体"/>
          <w:b w:val="0"/>
        </w:rPr>
        <w:t>般公共预算财政拨款支出决算情况说明</w:t>
      </w:r>
      <w:bookmarkEnd w:id="26"/>
      <w:bookmarkEnd w:id="27"/>
    </w:p>
    <w:p w14:paraId="7AA11433">
      <w:pPr>
        <w:spacing w:line="600" w:lineRule="exact"/>
        <w:ind w:firstLine="643" w:firstLineChars="200"/>
        <w:outlineLvl w:val="2"/>
        <w:rPr>
          <w:rFonts w:ascii="仿宋" w:hAnsi="仿宋" w:eastAsia="仿宋"/>
          <w:b/>
          <w:color w:val="00B0F0"/>
          <w:sz w:val="32"/>
          <w:szCs w:val="32"/>
        </w:rPr>
      </w:pPr>
      <w:bookmarkStart w:id="28" w:name="_Toc15377210"/>
      <w:r>
        <w:rPr>
          <w:rFonts w:hint="eastAsia" w:ascii="仿宋" w:hAnsi="仿宋" w:eastAsia="仿宋"/>
          <w:b/>
          <w:sz w:val="32"/>
          <w:szCs w:val="32"/>
        </w:rPr>
        <w:t>（一）一般公共预算财政拨款支出决算总体情况</w:t>
      </w:r>
      <w:bookmarkEnd w:id="28"/>
    </w:p>
    <w:p w14:paraId="0CAE92B0">
      <w:pPr>
        <w:spacing w:line="600" w:lineRule="exact"/>
        <w:ind w:firstLine="640" w:firstLineChars="200"/>
        <w:rPr>
          <w:rFonts w:ascii="仿宋" w:hAnsi="仿宋" w:eastAsia="仿宋"/>
          <w:color w:val="auto"/>
          <w:sz w:val="32"/>
          <w:szCs w:val="32"/>
          <w:highlight w:val="none"/>
          <w:shd w:val="clear" w:color="auto" w:fill="auto"/>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年一般公共预算财政拨款支出</w:t>
      </w:r>
      <w:r>
        <w:rPr>
          <w:rFonts w:hint="eastAsia" w:ascii="仿宋" w:hAnsi="仿宋" w:eastAsia="仿宋"/>
          <w:sz w:val="32"/>
          <w:szCs w:val="32"/>
          <w:lang w:val="en-US" w:eastAsia="zh-CN"/>
        </w:rPr>
        <w:t>8895265.52</w:t>
      </w:r>
      <w:r>
        <w:rPr>
          <w:rFonts w:hint="eastAsia" w:ascii="仿宋" w:hAnsi="仿宋" w:eastAsia="仿宋"/>
          <w:sz w:val="32"/>
          <w:szCs w:val="32"/>
        </w:rPr>
        <w:t>元，占本年支出合计的100.00</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1</w:t>
      </w:r>
      <w:r>
        <w:rPr>
          <w:rFonts w:hint="eastAsia" w:ascii="仿宋" w:hAnsi="仿宋" w:eastAsia="仿宋"/>
          <w:sz w:val="32"/>
          <w:szCs w:val="32"/>
        </w:rPr>
        <w:t>年相比，一般公共预算财政拨款支出</w:t>
      </w:r>
      <w:r>
        <w:rPr>
          <w:rFonts w:hint="eastAsia" w:ascii="仿宋" w:hAnsi="仿宋" w:eastAsia="仿宋"/>
          <w:sz w:val="32"/>
          <w:szCs w:val="32"/>
          <w:lang w:val="en-US" w:eastAsia="zh-CN"/>
        </w:rPr>
        <w:t>减少478534.48</w:t>
      </w:r>
      <w:r>
        <w:rPr>
          <w:rFonts w:hint="eastAsia" w:ascii="仿宋" w:hAnsi="仿宋" w:eastAsia="仿宋"/>
          <w:sz w:val="32"/>
          <w:szCs w:val="32"/>
        </w:rPr>
        <w:t>元，</w:t>
      </w:r>
      <w:r>
        <w:rPr>
          <w:rFonts w:hint="eastAsia" w:ascii="仿宋" w:hAnsi="仿宋" w:eastAsia="仿宋"/>
          <w:sz w:val="32"/>
          <w:szCs w:val="32"/>
          <w:lang w:val="en-US" w:eastAsia="zh-CN"/>
        </w:rPr>
        <w:t>减少5.11</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color w:val="auto"/>
          <w:sz w:val="32"/>
          <w:szCs w:val="32"/>
          <w:highlight w:val="none"/>
          <w:shd w:val="clear" w:color="auto" w:fill="auto"/>
        </w:rPr>
        <w:t>主要变动原因是</w:t>
      </w:r>
      <w:r>
        <w:rPr>
          <w:rFonts w:hint="eastAsia" w:ascii="仿宋" w:hAnsi="仿宋" w:eastAsia="仿宋"/>
          <w:color w:val="auto"/>
          <w:sz w:val="32"/>
          <w:szCs w:val="32"/>
          <w:highlight w:val="none"/>
          <w:shd w:val="clear" w:color="auto" w:fill="auto"/>
          <w:lang w:val="en-US" w:eastAsia="zh-CN"/>
        </w:rPr>
        <w:t>学生人数减少</w:t>
      </w:r>
      <w:r>
        <w:rPr>
          <w:rFonts w:hint="eastAsia" w:ascii="仿宋" w:hAnsi="仿宋" w:eastAsia="仿宋"/>
          <w:color w:val="auto"/>
          <w:sz w:val="32"/>
          <w:szCs w:val="32"/>
          <w:highlight w:val="none"/>
          <w:shd w:val="clear" w:color="auto" w:fill="auto"/>
        </w:rPr>
        <w:t>，</w:t>
      </w:r>
      <w:r>
        <w:rPr>
          <w:rFonts w:hint="eastAsia" w:ascii="仿宋" w:hAnsi="仿宋" w:eastAsia="仿宋"/>
          <w:color w:val="auto"/>
          <w:sz w:val="32"/>
          <w:szCs w:val="32"/>
          <w:highlight w:val="none"/>
          <w:shd w:val="clear" w:color="auto" w:fill="auto"/>
          <w:lang w:val="en-US" w:eastAsia="zh-CN"/>
        </w:rPr>
        <w:t>办公经费减少。</w:t>
      </w:r>
      <w:r>
        <w:rPr>
          <w:rFonts w:hint="eastAsia" w:ascii="仿宋" w:hAnsi="仿宋" w:eastAsia="仿宋"/>
          <w:color w:val="auto"/>
          <w:sz w:val="32"/>
          <w:szCs w:val="32"/>
          <w:highlight w:val="none"/>
          <w:shd w:val="clear" w:color="auto" w:fill="auto"/>
        </w:rPr>
        <w:t>202</w:t>
      </w:r>
      <w:r>
        <w:rPr>
          <w:rFonts w:hint="eastAsia" w:ascii="仿宋" w:hAnsi="仿宋" w:eastAsia="仿宋"/>
          <w:color w:val="auto"/>
          <w:sz w:val="32"/>
          <w:szCs w:val="32"/>
          <w:highlight w:val="none"/>
          <w:shd w:val="clear" w:color="auto" w:fill="auto"/>
          <w:lang w:val="en-US" w:eastAsia="zh-CN"/>
        </w:rPr>
        <w:t>2</w:t>
      </w:r>
      <w:r>
        <w:rPr>
          <w:rFonts w:hint="eastAsia" w:ascii="仿宋" w:hAnsi="仿宋" w:eastAsia="仿宋"/>
          <w:color w:val="auto"/>
          <w:sz w:val="32"/>
          <w:szCs w:val="32"/>
          <w:highlight w:val="none"/>
          <w:shd w:val="clear" w:color="auto" w:fill="auto"/>
        </w:rPr>
        <w:t>年事业单位调整工资标准等。</w:t>
      </w:r>
    </w:p>
    <w:p w14:paraId="26EFBB33">
      <w:pPr>
        <w:spacing w:line="600" w:lineRule="exact"/>
        <w:ind w:firstLine="640" w:firstLineChars="200"/>
        <w:rPr>
          <w:rFonts w:ascii="仿宋" w:hAnsi="仿宋" w:eastAsia="仿宋"/>
          <w:sz w:val="32"/>
          <w:szCs w:val="32"/>
        </w:rPr>
      </w:pPr>
      <w:r>
        <w:rPr>
          <w:rFonts w:hint="eastAsia" w:ascii="仿宋" w:hAnsi="仿宋" w:eastAsia="仿宋"/>
          <w:sz w:val="32"/>
          <w:szCs w:val="32"/>
        </w:rPr>
        <w:drawing>
          <wp:anchor distT="0" distB="0" distL="114300" distR="114300" simplePos="0" relativeHeight="251663360" behindDoc="0" locked="0" layoutInCell="1" allowOverlap="1">
            <wp:simplePos x="0" y="0"/>
            <wp:positionH relativeFrom="column">
              <wp:posOffset>370205</wp:posOffset>
            </wp:positionH>
            <wp:positionV relativeFrom="paragraph">
              <wp:posOffset>360045</wp:posOffset>
            </wp:positionV>
            <wp:extent cx="4638675" cy="2336165"/>
            <wp:effectExtent l="0" t="0" r="9525" b="26035"/>
            <wp:wrapSquare wrapText="bothSides"/>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23886D22">
      <w:pPr>
        <w:pStyle w:val="2"/>
        <w:spacing w:before="93"/>
      </w:pPr>
    </w:p>
    <w:p w14:paraId="31190D67">
      <w:pPr>
        <w:pStyle w:val="2"/>
        <w:spacing w:before="93"/>
      </w:pPr>
    </w:p>
    <w:p w14:paraId="2AD5DF0E">
      <w:pPr>
        <w:pStyle w:val="2"/>
        <w:spacing w:before="93"/>
      </w:pPr>
    </w:p>
    <w:p w14:paraId="12B9DB04">
      <w:pPr>
        <w:pStyle w:val="2"/>
        <w:spacing w:before="93"/>
      </w:pPr>
    </w:p>
    <w:p w14:paraId="59F15336">
      <w:pPr>
        <w:pStyle w:val="2"/>
        <w:spacing w:before="93"/>
      </w:pPr>
    </w:p>
    <w:p w14:paraId="33502F0D">
      <w:pPr>
        <w:pStyle w:val="2"/>
        <w:spacing w:before="93"/>
      </w:pPr>
    </w:p>
    <w:p w14:paraId="4898A401">
      <w:pPr>
        <w:spacing w:line="600" w:lineRule="exact"/>
        <w:ind w:firstLine="643" w:firstLineChars="200"/>
        <w:outlineLvl w:val="2"/>
        <w:rPr>
          <w:rFonts w:ascii="仿宋" w:hAnsi="仿宋" w:eastAsia="仿宋"/>
          <w:b/>
          <w:sz w:val="32"/>
          <w:szCs w:val="32"/>
        </w:rPr>
      </w:pPr>
      <w:bookmarkStart w:id="29" w:name="_Toc15377211"/>
      <w:r>
        <w:rPr>
          <w:rFonts w:hint="eastAsia" w:ascii="仿宋" w:hAnsi="仿宋" w:eastAsia="仿宋"/>
          <w:b/>
          <w:sz w:val="32"/>
          <w:szCs w:val="32"/>
        </w:rPr>
        <w:t>（二）一般公共预算财政拨款支出决算结构情况</w:t>
      </w:r>
      <w:bookmarkEnd w:id="29"/>
      <w:r>
        <w:rPr>
          <w:rFonts w:hint="eastAsia" w:ascii="仿宋" w:hAnsi="仿宋" w:eastAsia="仿宋"/>
          <w:b/>
          <w:sz w:val="32"/>
          <w:szCs w:val="32"/>
        </w:rPr>
        <w:t>（Z01表）</w:t>
      </w:r>
    </w:p>
    <w:p w14:paraId="3E23DC63">
      <w:pPr>
        <w:spacing w:line="600" w:lineRule="exact"/>
        <w:ind w:firstLine="640"/>
        <w:rPr>
          <w:rFonts w:ascii="仿宋" w:hAnsi="仿宋" w:eastAsia="仿宋"/>
          <w:b/>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年一般公共预算财政拨款支出</w:t>
      </w:r>
      <w:r>
        <w:rPr>
          <w:rFonts w:hint="eastAsia" w:ascii="仿宋" w:hAnsi="仿宋" w:eastAsia="仿宋"/>
          <w:sz w:val="32"/>
          <w:szCs w:val="32"/>
          <w:lang w:val="en-US" w:eastAsia="zh-CN"/>
        </w:rPr>
        <w:t>8895265.52</w:t>
      </w:r>
      <w:r>
        <w:rPr>
          <w:rFonts w:hint="eastAsia" w:ascii="仿宋" w:hAnsi="仿宋" w:eastAsia="仿宋"/>
          <w:sz w:val="32"/>
          <w:szCs w:val="32"/>
        </w:rPr>
        <w:t>元，主要用于以下方面</w:t>
      </w:r>
      <w:r>
        <w:rPr>
          <w:rFonts w:ascii="仿宋" w:hAnsi="仿宋" w:eastAsia="仿宋"/>
          <w:sz w:val="32"/>
          <w:szCs w:val="32"/>
        </w:rPr>
        <w:t>:</w:t>
      </w:r>
      <w:r>
        <w:rPr>
          <w:rFonts w:hint="eastAsia" w:ascii="仿宋" w:hAnsi="仿宋" w:eastAsia="仿宋"/>
          <w:b/>
          <w:sz w:val="32"/>
          <w:szCs w:val="32"/>
        </w:rPr>
        <w:t>教育支出（类）</w:t>
      </w:r>
      <w:r>
        <w:rPr>
          <w:rFonts w:hint="eastAsia" w:ascii="仿宋" w:hAnsi="仿宋" w:eastAsia="仿宋"/>
          <w:sz w:val="32"/>
          <w:szCs w:val="32"/>
          <w:lang w:val="en-US" w:eastAsia="zh-CN"/>
        </w:rPr>
        <w:t>6857786.69</w:t>
      </w:r>
      <w:r>
        <w:rPr>
          <w:rFonts w:hint="eastAsia" w:ascii="仿宋" w:hAnsi="仿宋" w:eastAsia="仿宋"/>
          <w:sz w:val="32"/>
          <w:szCs w:val="32"/>
        </w:rPr>
        <w:t>元，占7</w:t>
      </w:r>
      <w:r>
        <w:rPr>
          <w:rFonts w:hint="eastAsia" w:ascii="仿宋" w:hAnsi="仿宋" w:eastAsia="仿宋"/>
          <w:sz w:val="32"/>
          <w:szCs w:val="32"/>
          <w:lang w:val="en-US" w:eastAsia="zh-CN"/>
        </w:rPr>
        <w:t>7.09</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社会保障和就业（类）</w:t>
      </w:r>
      <w:r>
        <w:rPr>
          <w:rFonts w:hint="eastAsia" w:ascii="仿宋" w:hAnsi="仿宋" w:eastAsia="仿宋"/>
          <w:sz w:val="32"/>
          <w:szCs w:val="32"/>
        </w:rPr>
        <w:t>支出</w:t>
      </w:r>
      <w:r>
        <w:rPr>
          <w:rFonts w:hint="eastAsia" w:ascii="仿宋" w:hAnsi="仿宋" w:eastAsia="仿宋"/>
          <w:sz w:val="32"/>
          <w:szCs w:val="32"/>
          <w:lang w:val="en-US" w:eastAsia="zh-CN"/>
        </w:rPr>
        <w:t>1126577.64</w:t>
      </w:r>
      <w:r>
        <w:rPr>
          <w:rFonts w:hint="eastAsia" w:ascii="仿宋" w:hAnsi="仿宋" w:eastAsia="仿宋"/>
          <w:sz w:val="32"/>
          <w:szCs w:val="32"/>
        </w:rPr>
        <w:t>元，占</w:t>
      </w:r>
      <w:r>
        <w:rPr>
          <w:rFonts w:hint="eastAsia" w:ascii="仿宋" w:hAnsi="仿宋" w:eastAsia="仿宋"/>
          <w:sz w:val="32"/>
          <w:szCs w:val="32"/>
          <w:lang w:val="en-US" w:eastAsia="zh-CN"/>
        </w:rPr>
        <w:t>12.66</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269583.87</w:t>
      </w:r>
      <w:r>
        <w:rPr>
          <w:rFonts w:hint="eastAsia" w:ascii="仿宋" w:hAnsi="仿宋" w:eastAsia="仿宋"/>
          <w:sz w:val="32"/>
          <w:szCs w:val="32"/>
        </w:rPr>
        <w:t>元，占</w:t>
      </w:r>
      <w:r>
        <w:rPr>
          <w:rFonts w:hint="eastAsia" w:ascii="仿宋" w:hAnsi="仿宋" w:eastAsia="仿宋"/>
          <w:sz w:val="32"/>
          <w:szCs w:val="32"/>
          <w:lang w:val="en-US" w:eastAsia="zh-CN"/>
        </w:rPr>
        <w:t>3.03</w:t>
      </w:r>
      <w:r>
        <w:rPr>
          <w:rFonts w:ascii="仿宋" w:hAnsi="仿宋" w:eastAsia="仿宋"/>
          <w:sz w:val="32"/>
          <w:szCs w:val="32"/>
        </w:rPr>
        <w:t>%</w:t>
      </w:r>
      <w:r>
        <w:rPr>
          <w:rFonts w:hint="eastAsia" w:ascii="仿宋" w:hAnsi="仿宋" w:eastAsia="仿宋"/>
          <w:sz w:val="32"/>
          <w:szCs w:val="32"/>
        </w:rPr>
        <w:t>；农林水支出</w:t>
      </w:r>
      <w:r>
        <w:rPr>
          <w:rFonts w:hint="eastAsia" w:ascii="仿宋" w:hAnsi="仿宋" w:eastAsia="仿宋"/>
          <w:sz w:val="32"/>
          <w:szCs w:val="32"/>
          <w:lang w:val="en-US" w:eastAsia="zh-CN"/>
        </w:rPr>
        <w:t>0</w:t>
      </w:r>
      <w:r>
        <w:rPr>
          <w:rFonts w:hint="eastAsia" w:ascii="仿宋" w:hAnsi="仿宋" w:eastAsia="仿宋"/>
          <w:sz w:val="32"/>
          <w:szCs w:val="32"/>
        </w:rPr>
        <w:t>元，占0%；住房保障支出</w:t>
      </w:r>
      <w:r>
        <w:rPr>
          <w:rFonts w:hint="eastAsia" w:ascii="仿宋" w:hAnsi="仿宋" w:eastAsia="仿宋"/>
          <w:sz w:val="32"/>
          <w:szCs w:val="32"/>
          <w:lang w:val="en-US" w:eastAsia="zh-CN"/>
        </w:rPr>
        <w:t>641317.32</w:t>
      </w:r>
      <w:r>
        <w:rPr>
          <w:rFonts w:hint="eastAsia" w:ascii="仿宋" w:hAnsi="仿宋" w:eastAsia="仿宋"/>
          <w:sz w:val="32"/>
          <w:szCs w:val="32"/>
        </w:rPr>
        <w:t>元，占</w:t>
      </w:r>
      <w:r>
        <w:rPr>
          <w:rFonts w:hint="eastAsia" w:ascii="仿宋" w:hAnsi="仿宋" w:eastAsia="仿宋"/>
          <w:sz w:val="32"/>
          <w:szCs w:val="32"/>
          <w:lang w:val="en-US" w:eastAsia="zh-CN"/>
        </w:rPr>
        <w:t>7.22</w:t>
      </w:r>
      <w:r>
        <w:rPr>
          <w:rFonts w:ascii="仿宋" w:hAnsi="仿宋" w:eastAsia="仿宋"/>
          <w:sz w:val="32"/>
          <w:szCs w:val="32"/>
        </w:rPr>
        <w:t>%</w:t>
      </w:r>
      <w:r>
        <w:rPr>
          <w:rFonts w:hint="eastAsia" w:ascii="仿宋" w:hAnsi="仿宋" w:eastAsia="仿宋"/>
          <w:sz w:val="32"/>
          <w:szCs w:val="32"/>
        </w:rPr>
        <w:t>。</w:t>
      </w:r>
    </w:p>
    <w:p w14:paraId="6EF77BFD">
      <w:pPr>
        <w:spacing w:line="600" w:lineRule="exact"/>
        <w:ind w:firstLine="640" w:firstLineChars="200"/>
        <w:rPr>
          <w:rFonts w:ascii="仿宋" w:hAnsi="仿宋" w:eastAsia="仿宋"/>
          <w:sz w:val="32"/>
          <w:szCs w:val="32"/>
        </w:rPr>
      </w:pPr>
      <w:r>
        <w:rPr>
          <w:rFonts w:hint="eastAsia" w:ascii="仿宋" w:hAnsi="仿宋" w:eastAsia="仿宋"/>
          <w:sz w:val="32"/>
          <w:szCs w:val="32"/>
        </w:rPr>
        <w:drawing>
          <wp:anchor distT="0" distB="0" distL="114300" distR="114300" simplePos="0" relativeHeight="251664384" behindDoc="0" locked="0" layoutInCell="1" allowOverlap="1">
            <wp:simplePos x="0" y="0"/>
            <wp:positionH relativeFrom="column">
              <wp:posOffset>554990</wp:posOffset>
            </wp:positionH>
            <wp:positionV relativeFrom="paragraph">
              <wp:posOffset>49530</wp:posOffset>
            </wp:positionV>
            <wp:extent cx="4332605" cy="2286000"/>
            <wp:effectExtent l="0" t="0" r="10795" b="19050"/>
            <wp:wrapSquare wrapText="bothSides"/>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64636BFB">
      <w:pPr>
        <w:pStyle w:val="2"/>
        <w:spacing w:before="93"/>
      </w:pPr>
    </w:p>
    <w:p w14:paraId="579277F7">
      <w:pPr>
        <w:pStyle w:val="2"/>
        <w:spacing w:before="93"/>
      </w:pPr>
    </w:p>
    <w:p w14:paraId="09804BD5">
      <w:pPr>
        <w:pStyle w:val="2"/>
        <w:spacing w:before="93"/>
      </w:pPr>
    </w:p>
    <w:p w14:paraId="436959B3">
      <w:pPr>
        <w:pStyle w:val="2"/>
        <w:spacing w:before="93"/>
      </w:pPr>
    </w:p>
    <w:p w14:paraId="65BC0238">
      <w:pPr>
        <w:pStyle w:val="2"/>
        <w:spacing w:before="93"/>
      </w:pPr>
    </w:p>
    <w:p w14:paraId="64F9D372">
      <w:pPr>
        <w:spacing w:line="600" w:lineRule="exact"/>
        <w:ind w:firstLine="643" w:firstLineChars="200"/>
        <w:outlineLvl w:val="2"/>
        <w:rPr>
          <w:rFonts w:ascii="仿宋" w:hAnsi="仿宋" w:eastAsia="仿宋"/>
          <w:b/>
          <w:sz w:val="32"/>
          <w:szCs w:val="32"/>
        </w:rPr>
      </w:pPr>
      <w:bookmarkStart w:id="30" w:name="_Toc15377212"/>
      <w:r>
        <w:rPr>
          <w:rFonts w:hint="eastAsia" w:ascii="仿宋" w:hAnsi="仿宋" w:eastAsia="仿宋"/>
          <w:b/>
          <w:sz w:val="32"/>
          <w:szCs w:val="32"/>
        </w:rPr>
        <w:t>（三）一般公共预算财政拨款支出决算具体情况</w:t>
      </w:r>
      <w:bookmarkEnd w:id="30"/>
    </w:p>
    <w:p w14:paraId="29EAAB77">
      <w:pPr>
        <w:spacing w:line="600" w:lineRule="exact"/>
        <w:ind w:firstLine="643" w:firstLineChars="200"/>
        <w:outlineLvl w:val="2"/>
        <w:rPr>
          <w:rFonts w:ascii="仿宋" w:hAnsi="仿宋" w:eastAsia="仿宋"/>
          <w:sz w:val="32"/>
          <w:szCs w:val="32"/>
        </w:rPr>
      </w:pPr>
      <w:bookmarkStart w:id="31" w:name="_Toc15378460"/>
      <w:bookmarkStart w:id="32" w:name="_Toc15377213"/>
      <w:bookmarkStart w:id="33" w:name="_Toc15377444"/>
      <w:r>
        <w:rPr>
          <w:rFonts w:hint="eastAsia" w:ascii="仿宋" w:hAnsi="仿宋" w:eastAsia="仿宋"/>
          <w:b/>
          <w:sz w:val="32"/>
          <w:szCs w:val="32"/>
        </w:rPr>
        <w:t>202</w:t>
      </w:r>
      <w:r>
        <w:rPr>
          <w:rFonts w:hint="eastAsia" w:ascii="仿宋" w:hAnsi="仿宋" w:eastAsia="仿宋"/>
          <w:b/>
          <w:sz w:val="32"/>
          <w:szCs w:val="32"/>
          <w:lang w:val="en-US" w:eastAsia="zh-CN"/>
        </w:rPr>
        <w:t>2</w:t>
      </w:r>
      <w:r>
        <w:rPr>
          <w:rFonts w:hint="eastAsia" w:ascii="仿宋" w:hAnsi="仿宋" w:eastAsia="仿宋"/>
          <w:b/>
          <w:sz w:val="32"/>
          <w:szCs w:val="32"/>
        </w:rPr>
        <w:t>年一般公共预算支出决算数为</w:t>
      </w:r>
      <w:r>
        <w:rPr>
          <w:rFonts w:hint="eastAsia" w:ascii="仿宋" w:hAnsi="仿宋" w:eastAsia="仿宋"/>
          <w:b/>
          <w:sz w:val="32"/>
          <w:szCs w:val="32"/>
          <w:lang w:val="en-US" w:eastAsia="zh-CN"/>
        </w:rPr>
        <w:t>8895265.52元</w:t>
      </w:r>
      <w:r>
        <w:rPr>
          <w:rFonts w:hint="eastAsia" w:ascii="仿宋" w:hAnsi="仿宋" w:eastAsia="仿宋"/>
          <w:sz w:val="32"/>
          <w:szCs w:val="32"/>
        </w:rPr>
        <w:t>，</w:t>
      </w:r>
      <w:r>
        <w:rPr>
          <w:rStyle w:val="15"/>
          <w:rFonts w:hint="eastAsia" w:ascii="仿宋" w:hAnsi="仿宋" w:eastAsia="仿宋"/>
          <w:bCs/>
          <w:sz w:val="32"/>
          <w:szCs w:val="32"/>
        </w:rPr>
        <w:t>完成预算</w:t>
      </w:r>
      <w:r>
        <w:rPr>
          <w:rStyle w:val="15"/>
          <w:rFonts w:hint="eastAsia" w:ascii="仿宋" w:hAnsi="仿宋" w:eastAsia="仿宋"/>
          <w:bCs/>
          <w:sz w:val="32"/>
          <w:szCs w:val="32"/>
          <w:lang w:val="en-US" w:eastAsia="zh-CN"/>
        </w:rPr>
        <w:t>100</w:t>
      </w:r>
      <w:r>
        <w:rPr>
          <w:rStyle w:val="15"/>
          <w:rFonts w:ascii="仿宋" w:hAnsi="仿宋" w:eastAsia="仿宋"/>
          <w:bCs/>
          <w:sz w:val="32"/>
          <w:szCs w:val="32"/>
        </w:rPr>
        <w:t>%</w:t>
      </w:r>
      <w:r>
        <w:rPr>
          <w:rStyle w:val="15"/>
          <w:rFonts w:hint="eastAsia" w:ascii="仿宋" w:hAnsi="仿宋" w:eastAsia="仿宋"/>
          <w:bCs/>
          <w:sz w:val="32"/>
          <w:szCs w:val="32"/>
        </w:rPr>
        <w:t>。其中：</w:t>
      </w:r>
      <w:bookmarkEnd w:id="31"/>
      <w:bookmarkEnd w:id="32"/>
      <w:bookmarkEnd w:id="33"/>
    </w:p>
    <w:p w14:paraId="1A19218C">
      <w:pPr>
        <w:spacing w:line="600" w:lineRule="exact"/>
        <w:ind w:firstLine="643" w:firstLineChars="200"/>
        <w:rPr>
          <w:rStyle w:val="15"/>
          <w:rFonts w:ascii="仿宋" w:hAnsi="仿宋" w:eastAsia="仿宋"/>
          <w:b w:val="0"/>
          <w:bCs/>
          <w:sz w:val="32"/>
          <w:szCs w:val="32"/>
        </w:rPr>
      </w:pPr>
      <w:r>
        <w:rPr>
          <w:rStyle w:val="15"/>
          <w:rFonts w:ascii="仿宋" w:hAnsi="仿宋" w:eastAsia="仿宋"/>
          <w:bCs/>
          <w:sz w:val="32"/>
          <w:szCs w:val="32"/>
        </w:rPr>
        <w:t>1.</w:t>
      </w:r>
      <w:r>
        <w:rPr>
          <w:rStyle w:val="15"/>
          <w:rFonts w:hint="eastAsia" w:ascii="仿宋" w:hAnsi="仿宋" w:eastAsia="仿宋"/>
          <w:bCs/>
          <w:sz w:val="32"/>
          <w:szCs w:val="32"/>
        </w:rPr>
        <w:t>教育支出（类）普通教育（款）学前教育（项）</w:t>
      </w:r>
      <w:r>
        <w:rPr>
          <w:rStyle w:val="15"/>
          <w:rFonts w:ascii="仿宋" w:hAnsi="仿宋" w:eastAsia="仿宋"/>
          <w:bCs/>
          <w:sz w:val="32"/>
          <w:szCs w:val="32"/>
        </w:rPr>
        <w:t>:</w:t>
      </w:r>
      <w:r>
        <w:rPr>
          <w:rStyle w:val="15"/>
          <w:rFonts w:ascii="仿宋" w:hAnsi="仿宋" w:eastAsia="仿宋"/>
          <w:b w:val="0"/>
          <w:bCs/>
          <w:sz w:val="32"/>
          <w:szCs w:val="32"/>
        </w:rPr>
        <w:t xml:space="preserve"> </w:t>
      </w:r>
      <w:r>
        <w:rPr>
          <w:rStyle w:val="15"/>
          <w:rFonts w:hint="eastAsia" w:ascii="仿宋" w:hAnsi="仿宋" w:eastAsia="仿宋"/>
          <w:b w:val="0"/>
          <w:bCs/>
          <w:sz w:val="32"/>
          <w:szCs w:val="32"/>
        </w:rPr>
        <w:t>支出决算为</w:t>
      </w:r>
      <w:r>
        <w:rPr>
          <w:rStyle w:val="15"/>
          <w:rFonts w:hint="eastAsia" w:ascii="仿宋" w:hAnsi="仿宋" w:eastAsia="仿宋"/>
          <w:b w:val="0"/>
          <w:bCs/>
          <w:sz w:val="32"/>
          <w:szCs w:val="32"/>
          <w:lang w:val="en-US" w:eastAsia="zh-CN"/>
        </w:rPr>
        <w:t>478032.80</w:t>
      </w:r>
      <w:r>
        <w:rPr>
          <w:rStyle w:val="15"/>
          <w:rFonts w:hint="eastAsia" w:ascii="仿宋" w:hAnsi="仿宋" w:eastAsia="仿宋"/>
          <w:b w:val="0"/>
          <w:bCs/>
          <w:sz w:val="32"/>
          <w:szCs w:val="32"/>
        </w:rPr>
        <w:t>元，完成预算</w:t>
      </w:r>
      <w:r>
        <w:rPr>
          <w:rStyle w:val="15"/>
          <w:rFonts w:hint="eastAsia" w:ascii="仿宋" w:hAnsi="仿宋" w:eastAsia="仿宋"/>
          <w:b w:val="0"/>
          <w:bCs/>
          <w:sz w:val="32"/>
          <w:szCs w:val="32"/>
          <w:lang w:val="en-US" w:eastAsia="zh-CN"/>
        </w:rPr>
        <w:t>27.03</w:t>
      </w:r>
      <w:r>
        <w:rPr>
          <w:rStyle w:val="15"/>
          <w:rFonts w:ascii="仿宋" w:hAnsi="仿宋" w:eastAsia="仿宋"/>
          <w:b w:val="0"/>
          <w:bCs/>
          <w:sz w:val="32"/>
          <w:szCs w:val="32"/>
        </w:rPr>
        <w:t>%</w:t>
      </w:r>
      <w:r>
        <w:rPr>
          <w:rStyle w:val="15"/>
          <w:rFonts w:hint="eastAsia" w:ascii="仿宋" w:hAnsi="仿宋" w:eastAsia="仿宋"/>
          <w:b w:val="0"/>
          <w:bCs/>
          <w:sz w:val="32"/>
          <w:szCs w:val="32"/>
        </w:rPr>
        <w:t>，年末结转</w:t>
      </w:r>
      <w:r>
        <w:rPr>
          <w:rStyle w:val="15"/>
          <w:rFonts w:hint="eastAsia" w:ascii="仿宋" w:hAnsi="仿宋" w:eastAsia="仿宋"/>
          <w:b w:val="0"/>
          <w:bCs/>
          <w:sz w:val="32"/>
          <w:szCs w:val="32"/>
          <w:lang w:val="en-US" w:eastAsia="zh-CN"/>
        </w:rPr>
        <w:t>348822.29</w:t>
      </w:r>
      <w:r>
        <w:rPr>
          <w:rStyle w:val="15"/>
          <w:rFonts w:hint="eastAsia" w:ascii="仿宋" w:hAnsi="仿宋" w:eastAsia="仿宋"/>
          <w:b w:val="0"/>
          <w:bCs/>
          <w:sz w:val="32"/>
          <w:szCs w:val="32"/>
        </w:rPr>
        <w:t>元。</w:t>
      </w:r>
    </w:p>
    <w:p w14:paraId="04471D82">
      <w:pPr>
        <w:spacing w:line="600" w:lineRule="exact"/>
        <w:ind w:firstLine="643" w:firstLineChars="200"/>
        <w:rPr>
          <w:rStyle w:val="15"/>
          <w:rFonts w:ascii="仿宋" w:hAnsi="仿宋" w:eastAsia="仿宋"/>
          <w:b w:val="0"/>
          <w:bCs/>
          <w:sz w:val="32"/>
          <w:szCs w:val="32"/>
        </w:rPr>
      </w:pPr>
      <w:r>
        <w:rPr>
          <w:rStyle w:val="15"/>
          <w:rFonts w:hint="eastAsia" w:ascii="仿宋" w:hAnsi="仿宋" w:eastAsia="仿宋"/>
          <w:bCs/>
          <w:sz w:val="32"/>
          <w:szCs w:val="32"/>
        </w:rPr>
        <w:t>2</w:t>
      </w:r>
      <w:r>
        <w:rPr>
          <w:rStyle w:val="15"/>
          <w:rFonts w:ascii="仿宋" w:hAnsi="仿宋" w:eastAsia="仿宋"/>
          <w:bCs/>
          <w:sz w:val="32"/>
          <w:szCs w:val="32"/>
        </w:rPr>
        <w:t>.</w:t>
      </w:r>
      <w:r>
        <w:rPr>
          <w:rStyle w:val="15"/>
          <w:rFonts w:hint="eastAsia" w:ascii="仿宋" w:hAnsi="仿宋" w:eastAsia="仿宋"/>
          <w:bCs/>
          <w:sz w:val="32"/>
          <w:szCs w:val="32"/>
        </w:rPr>
        <w:t>教育支出（类）普通教育（款）小学教育（项）</w:t>
      </w:r>
      <w:r>
        <w:rPr>
          <w:rStyle w:val="15"/>
          <w:rFonts w:ascii="仿宋" w:hAnsi="仿宋" w:eastAsia="仿宋"/>
          <w:bCs/>
          <w:sz w:val="32"/>
          <w:szCs w:val="32"/>
        </w:rPr>
        <w:t>:</w:t>
      </w:r>
      <w:r>
        <w:rPr>
          <w:rStyle w:val="15"/>
          <w:rFonts w:ascii="仿宋" w:hAnsi="仿宋" w:eastAsia="仿宋"/>
          <w:b w:val="0"/>
          <w:bCs/>
          <w:sz w:val="32"/>
          <w:szCs w:val="32"/>
        </w:rPr>
        <w:t xml:space="preserve"> </w:t>
      </w:r>
      <w:r>
        <w:rPr>
          <w:rStyle w:val="15"/>
          <w:rFonts w:hint="eastAsia" w:ascii="仿宋" w:hAnsi="仿宋" w:eastAsia="仿宋"/>
          <w:b w:val="0"/>
          <w:bCs/>
          <w:sz w:val="32"/>
          <w:szCs w:val="32"/>
        </w:rPr>
        <w:t>支出决算为</w:t>
      </w:r>
      <w:r>
        <w:rPr>
          <w:rStyle w:val="15"/>
          <w:rFonts w:hint="eastAsia" w:ascii="仿宋" w:hAnsi="仿宋" w:eastAsia="仿宋"/>
          <w:b w:val="0"/>
          <w:bCs/>
          <w:sz w:val="32"/>
          <w:szCs w:val="32"/>
          <w:lang w:val="en-US" w:eastAsia="zh-CN"/>
        </w:rPr>
        <w:t>5694075.89</w:t>
      </w:r>
      <w:r>
        <w:rPr>
          <w:rStyle w:val="15"/>
          <w:rFonts w:hint="eastAsia" w:ascii="仿宋" w:hAnsi="仿宋" w:eastAsia="仿宋"/>
          <w:b w:val="0"/>
          <w:bCs/>
          <w:sz w:val="32"/>
          <w:szCs w:val="32"/>
        </w:rPr>
        <w:t>元，完成预算</w:t>
      </w:r>
      <w:r>
        <w:rPr>
          <w:rStyle w:val="15"/>
          <w:rFonts w:hint="eastAsia" w:ascii="仿宋" w:hAnsi="仿宋" w:eastAsia="仿宋"/>
          <w:b w:val="0"/>
          <w:bCs/>
          <w:sz w:val="32"/>
          <w:szCs w:val="32"/>
          <w:lang w:val="en-US" w:eastAsia="zh-CN"/>
        </w:rPr>
        <w:t>99.73</w:t>
      </w:r>
      <w:r>
        <w:rPr>
          <w:rStyle w:val="15"/>
          <w:rFonts w:ascii="仿宋" w:hAnsi="仿宋" w:eastAsia="仿宋"/>
          <w:b w:val="0"/>
          <w:bCs/>
          <w:sz w:val="32"/>
          <w:szCs w:val="32"/>
        </w:rPr>
        <w:t>%</w:t>
      </w:r>
      <w:r>
        <w:rPr>
          <w:rStyle w:val="15"/>
          <w:rFonts w:hint="eastAsia" w:ascii="仿宋" w:hAnsi="仿宋" w:eastAsia="仿宋"/>
          <w:b w:val="0"/>
          <w:bCs/>
          <w:sz w:val="32"/>
          <w:szCs w:val="32"/>
        </w:rPr>
        <w:t>，年末结转</w:t>
      </w:r>
      <w:r>
        <w:rPr>
          <w:rStyle w:val="15"/>
          <w:rFonts w:hint="eastAsia" w:ascii="仿宋" w:hAnsi="仿宋" w:eastAsia="仿宋"/>
          <w:b w:val="0"/>
          <w:bCs/>
          <w:sz w:val="32"/>
          <w:szCs w:val="32"/>
          <w:lang w:val="en-US" w:eastAsia="zh-CN"/>
        </w:rPr>
        <w:t>15600</w:t>
      </w:r>
      <w:r>
        <w:rPr>
          <w:rStyle w:val="15"/>
          <w:rFonts w:hint="eastAsia" w:ascii="仿宋" w:hAnsi="仿宋" w:eastAsia="仿宋"/>
          <w:b w:val="0"/>
          <w:bCs/>
          <w:sz w:val="32"/>
          <w:szCs w:val="32"/>
        </w:rPr>
        <w:t>元。</w:t>
      </w:r>
    </w:p>
    <w:p w14:paraId="6F1FF543">
      <w:pPr>
        <w:spacing w:line="600" w:lineRule="exact"/>
        <w:ind w:firstLine="643" w:firstLineChars="200"/>
        <w:rPr>
          <w:rStyle w:val="15"/>
          <w:rFonts w:ascii="仿宋" w:hAnsi="仿宋" w:eastAsia="仿宋"/>
          <w:b w:val="0"/>
          <w:bCs/>
          <w:sz w:val="32"/>
          <w:szCs w:val="32"/>
        </w:rPr>
      </w:pPr>
      <w:r>
        <w:rPr>
          <w:rStyle w:val="15"/>
          <w:rFonts w:hint="eastAsia" w:ascii="仿宋" w:hAnsi="仿宋" w:eastAsia="仿宋"/>
          <w:bCs/>
          <w:sz w:val="32"/>
          <w:szCs w:val="32"/>
        </w:rPr>
        <w:t>3</w:t>
      </w:r>
      <w:r>
        <w:rPr>
          <w:rStyle w:val="15"/>
          <w:rFonts w:ascii="仿宋" w:hAnsi="仿宋" w:eastAsia="仿宋"/>
          <w:bCs/>
          <w:sz w:val="32"/>
          <w:szCs w:val="32"/>
        </w:rPr>
        <w:t>.</w:t>
      </w:r>
      <w:r>
        <w:rPr>
          <w:rStyle w:val="15"/>
          <w:rFonts w:hint="eastAsia" w:ascii="仿宋" w:hAnsi="仿宋" w:eastAsia="仿宋"/>
          <w:bCs/>
          <w:sz w:val="32"/>
          <w:szCs w:val="32"/>
        </w:rPr>
        <w:t>教育支出（类）普通教育（款）初中教育（项）</w:t>
      </w:r>
      <w:r>
        <w:rPr>
          <w:rStyle w:val="15"/>
          <w:rFonts w:ascii="仿宋" w:hAnsi="仿宋" w:eastAsia="仿宋"/>
          <w:bCs/>
          <w:sz w:val="32"/>
          <w:szCs w:val="32"/>
        </w:rPr>
        <w:t>:</w:t>
      </w:r>
      <w:r>
        <w:rPr>
          <w:rStyle w:val="15"/>
          <w:rFonts w:ascii="仿宋" w:hAnsi="仿宋" w:eastAsia="仿宋"/>
          <w:b w:val="0"/>
          <w:bCs/>
          <w:sz w:val="32"/>
          <w:szCs w:val="32"/>
        </w:rPr>
        <w:t xml:space="preserve"> </w:t>
      </w:r>
      <w:r>
        <w:rPr>
          <w:rStyle w:val="15"/>
          <w:rFonts w:hint="eastAsia" w:ascii="仿宋" w:hAnsi="仿宋" w:eastAsia="仿宋"/>
          <w:b w:val="0"/>
          <w:bCs/>
          <w:sz w:val="32"/>
          <w:szCs w:val="32"/>
        </w:rPr>
        <w:t>支出决算为</w:t>
      </w:r>
      <w:r>
        <w:rPr>
          <w:rStyle w:val="15"/>
          <w:rFonts w:hint="eastAsia" w:ascii="仿宋" w:hAnsi="仿宋" w:eastAsia="仿宋"/>
          <w:b w:val="0"/>
          <w:bCs/>
          <w:sz w:val="32"/>
          <w:szCs w:val="32"/>
          <w:lang w:val="en-US" w:eastAsia="zh-CN"/>
        </w:rPr>
        <w:t>685678</w:t>
      </w:r>
      <w:r>
        <w:rPr>
          <w:rStyle w:val="15"/>
          <w:rFonts w:hint="eastAsia" w:ascii="仿宋" w:hAnsi="仿宋" w:eastAsia="仿宋"/>
          <w:b w:val="0"/>
          <w:bCs/>
          <w:sz w:val="32"/>
          <w:szCs w:val="32"/>
        </w:rPr>
        <w:t>元，完成预算9</w:t>
      </w:r>
      <w:r>
        <w:rPr>
          <w:rStyle w:val="15"/>
          <w:rFonts w:hint="eastAsia" w:ascii="仿宋" w:hAnsi="仿宋" w:eastAsia="仿宋"/>
          <w:b w:val="0"/>
          <w:bCs/>
          <w:sz w:val="32"/>
          <w:szCs w:val="32"/>
          <w:lang w:val="en-US" w:eastAsia="zh-CN"/>
        </w:rPr>
        <w:t>5.65</w:t>
      </w:r>
      <w:r>
        <w:rPr>
          <w:rStyle w:val="15"/>
          <w:rFonts w:ascii="仿宋" w:hAnsi="仿宋" w:eastAsia="仿宋"/>
          <w:b w:val="0"/>
          <w:bCs/>
          <w:sz w:val="32"/>
          <w:szCs w:val="32"/>
        </w:rPr>
        <w:t>%</w:t>
      </w:r>
      <w:r>
        <w:rPr>
          <w:rStyle w:val="15"/>
          <w:rFonts w:hint="eastAsia" w:ascii="仿宋" w:hAnsi="仿宋" w:eastAsia="仿宋"/>
          <w:b w:val="0"/>
          <w:bCs/>
          <w:sz w:val="32"/>
          <w:szCs w:val="32"/>
        </w:rPr>
        <w:t>，年末结转</w:t>
      </w:r>
      <w:r>
        <w:rPr>
          <w:rStyle w:val="15"/>
          <w:rFonts w:hint="eastAsia" w:ascii="仿宋" w:hAnsi="仿宋" w:eastAsia="仿宋"/>
          <w:b w:val="0"/>
          <w:bCs/>
          <w:sz w:val="32"/>
          <w:szCs w:val="32"/>
          <w:lang w:val="en-US" w:eastAsia="zh-CN"/>
        </w:rPr>
        <w:t>29800</w:t>
      </w:r>
      <w:r>
        <w:rPr>
          <w:rStyle w:val="15"/>
          <w:rFonts w:hint="eastAsia" w:ascii="仿宋" w:hAnsi="仿宋" w:eastAsia="仿宋"/>
          <w:b w:val="0"/>
          <w:bCs/>
          <w:sz w:val="32"/>
          <w:szCs w:val="32"/>
        </w:rPr>
        <w:t>元。</w:t>
      </w:r>
    </w:p>
    <w:p w14:paraId="29E73373">
      <w:pPr>
        <w:spacing w:line="600" w:lineRule="exact"/>
        <w:ind w:firstLine="643" w:firstLineChars="200"/>
        <w:rPr>
          <w:rStyle w:val="15"/>
          <w:rFonts w:ascii="仿宋" w:hAnsi="仿宋" w:eastAsia="仿宋"/>
          <w:b w:val="0"/>
          <w:bCs/>
          <w:sz w:val="32"/>
          <w:szCs w:val="32"/>
        </w:rPr>
      </w:pPr>
      <w:r>
        <w:rPr>
          <w:rStyle w:val="15"/>
          <w:rFonts w:hint="eastAsia" w:ascii="仿宋" w:hAnsi="仿宋" w:eastAsia="仿宋"/>
          <w:bCs/>
          <w:sz w:val="32"/>
          <w:szCs w:val="32"/>
        </w:rPr>
        <w:t>4</w:t>
      </w:r>
      <w:r>
        <w:rPr>
          <w:rStyle w:val="15"/>
          <w:rFonts w:ascii="仿宋" w:hAnsi="仿宋" w:eastAsia="仿宋"/>
          <w:bCs/>
          <w:sz w:val="32"/>
          <w:szCs w:val="32"/>
        </w:rPr>
        <w:t>.</w:t>
      </w:r>
      <w:r>
        <w:rPr>
          <w:rStyle w:val="15"/>
          <w:rFonts w:hint="eastAsia" w:ascii="仿宋" w:hAnsi="仿宋" w:eastAsia="仿宋"/>
          <w:bCs/>
          <w:sz w:val="32"/>
          <w:szCs w:val="32"/>
        </w:rPr>
        <w:t>教育支出（类）普通教育（款）高中教育（项）</w:t>
      </w:r>
      <w:r>
        <w:rPr>
          <w:rStyle w:val="15"/>
          <w:rFonts w:ascii="仿宋" w:hAnsi="仿宋" w:eastAsia="仿宋"/>
          <w:bCs/>
          <w:sz w:val="32"/>
          <w:szCs w:val="32"/>
        </w:rPr>
        <w:t>:</w:t>
      </w:r>
      <w:r>
        <w:rPr>
          <w:rStyle w:val="15"/>
          <w:rFonts w:ascii="仿宋" w:hAnsi="仿宋" w:eastAsia="仿宋"/>
          <w:b w:val="0"/>
          <w:bCs/>
          <w:sz w:val="32"/>
          <w:szCs w:val="32"/>
        </w:rPr>
        <w:t xml:space="preserve"> </w:t>
      </w:r>
      <w:r>
        <w:rPr>
          <w:rStyle w:val="15"/>
          <w:rFonts w:hint="eastAsia" w:ascii="仿宋" w:hAnsi="仿宋" w:eastAsia="仿宋"/>
          <w:b w:val="0"/>
          <w:bCs/>
          <w:sz w:val="32"/>
          <w:szCs w:val="32"/>
        </w:rPr>
        <w:t>支出决算为</w:t>
      </w:r>
      <w:r>
        <w:rPr>
          <w:rStyle w:val="15"/>
          <w:rFonts w:hint="eastAsia" w:ascii="仿宋" w:hAnsi="仿宋" w:eastAsia="仿宋"/>
          <w:b w:val="0"/>
          <w:bCs/>
          <w:sz w:val="32"/>
          <w:szCs w:val="32"/>
          <w:lang w:val="en-US" w:eastAsia="zh-CN"/>
        </w:rPr>
        <w:t>0</w:t>
      </w:r>
      <w:r>
        <w:rPr>
          <w:rStyle w:val="15"/>
          <w:rFonts w:hint="eastAsia" w:ascii="仿宋" w:hAnsi="仿宋" w:eastAsia="仿宋"/>
          <w:b w:val="0"/>
          <w:bCs/>
          <w:sz w:val="32"/>
          <w:szCs w:val="32"/>
        </w:rPr>
        <w:t>元，完成预算100</w:t>
      </w:r>
      <w:r>
        <w:rPr>
          <w:rStyle w:val="15"/>
          <w:rFonts w:ascii="仿宋" w:hAnsi="仿宋" w:eastAsia="仿宋"/>
          <w:b w:val="0"/>
          <w:bCs/>
          <w:sz w:val="32"/>
          <w:szCs w:val="32"/>
        </w:rPr>
        <w:t>%</w:t>
      </w:r>
      <w:r>
        <w:rPr>
          <w:rStyle w:val="15"/>
          <w:rFonts w:hint="eastAsia" w:ascii="仿宋" w:hAnsi="仿宋" w:eastAsia="仿宋"/>
          <w:b w:val="0"/>
          <w:bCs/>
          <w:sz w:val="32"/>
          <w:szCs w:val="32"/>
        </w:rPr>
        <w:t>。</w:t>
      </w:r>
    </w:p>
    <w:p w14:paraId="4AABBF24">
      <w:pPr>
        <w:spacing w:line="600" w:lineRule="exact"/>
        <w:ind w:firstLine="643" w:firstLineChars="200"/>
        <w:rPr>
          <w:rStyle w:val="15"/>
          <w:rFonts w:ascii="仿宋" w:hAnsi="仿宋" w:eastAsia="仿宋"/>
          <w:b w:val="0"/>
          <w:bCs/>
          <w:sz w:val="32"/>
          <w:szCs w:val="32"/>
        </w:rPr>
      </w:pPr>
      <w:r>
        <w:rPr>
          <w:rStyle w:val="15"/>
          <w:rFonts w:hint="eastAsia" w:ascii="仿宋" w:hAnsi="仿宋" w:eastAsia="仿宋"/>
          <w:bCs/>
          <w:sz w:val="32"/>
          <w:szCs w:val="32"/>
        </w:rPr>
        <w:t>5</w:t>
      </w:r>
      <w:r>
        <w:rPr>
          <w:rStyle w:val="15"/>
          <w:rFonts w:ascii="仿宋" w:hAnsi="仿宋" w:eastAsia="仿宋"/>
          <w:bCs/>
          <w:sz w:val="32"/>
          <w:szCs w:val="32"/>
        </w:rPr>
        <w:t>.</w:t>
      </w:r>
      <w:r>
        <w:rPr>
          <w:rStyle w:val="15"/>
          <w:rFonts w:hint="eastAsia" w:ascii="仿宋" w:hAnsi="仿宋" w:eastAsia="仿宋"/>
          <w:bCs/>
          <w:sz w:val="32"/>
          <w:szCs w:val="32"/>
        </w:rPr>
        <w:t>教育支出（类）教育费附加安排的支出（款）其他教育费附加安排的支出（项）</w:t>
      </w:r>
      <w:r>
        <w:rPr>
          <w:rStyle w:val="15"/>
          <w:rFonts w:ascii="仿宋" w:hAnsi="仿宋" w:eastAsia="仿宋"/>
          <w:bCs/>
          <w:sz w:val="32"/>
          <w:szCs w:val="32"/>
        </w:rPr>
        <w:t>:</w:t>
      </w:r>
      <w:r>
        <w:rPr>
          <w:rStyle w:val="15"/>
          <w:rFonts w:ascii="仿宋" w:hAnsi="仿宋" w:eastAsia="仿宋"/>
          <w:b w:val="0"/>
          <w:bCs/>
          <w:sz w:val="32"/>
          <w:szCs w:val="32"/>
        </w:rPr>
        <w:t xml:space="preserve"> </w:t>
      </w:r>
      <w:r>
        <w:rPr>
          <w:rStyle w:val="15"/>
          <w:rFonts w:hint="eastAsia" w:ascii="仿宋" w:hAnsi="仿宋" w:eastAsia="仿宋"/>
          <w:b w:val="0"/>
          <w:bCs/>
          <w:sz w:val="32"/>
          <w:szCs w:val="32"/>
        </w:rPr>
        <w:t>支出决算为</w:t>
      </w:r>
      <w:r>
        <w:rPr>
          <w:rStyle w:val="15"/>
          <w:rFonts w:hint="eastAsia" w:ascii="仿宋" w:hAnsi="仿宋" w:eastAsia="仿宋"/>
          <w:b w:val="0"/>
          <w:bCs/>
          <w:sz w:val="32"/>
          <w:szCs w:val="32"/>
          <w:lang w:val="en-US" w:eastAsia="zh-CN"/>
        </w:rPr>
        <w:t>0</w:t>
      </w:r>
      <w:r>
        <w:rPr>
          <w:rStyle w:val="15"/>
          <w:rFonts w:hint="eastAsia" w:ascii="仿宋" w:hAnsi="仿宋" w:eastAsia="仿宋"/>
          <w:b w:val="0"/>
          <w:bCs/>
          <w:sz w:val="32"/>
          <w:szCs w:val="32"/>
        </w:rPr>
        <w:t>元，完成预算100.00</w:t>
      </w:r>
      <w:r>
        <w:rPr>
          <w:rStyle w:val="15"/>
          <w:rFonts w:ascii="仿宋" w:hAnsi="仿宋" w:eastAsia="仿宋"/>
          <w:b w:val="0"/>
          <w:bCs/>
          <w:sz w:val="32"/>
          <w:szCs w:val="32"/>
        </w:rPr>
        <w:t>%</w:t>
      </w:r>
      <w:r>
        <w:rPr>
          <w:rStyle w:val="15"/>
          <w:rFonts w:hint="eastAsia" w:ascii="仿宋" w:hAnsi="仿宋" w:eastAsia="仿宋"/>
          <w:b w:val="0"/>
          <w:bCs/>
          <w:sz w:val="32"/>
          <w:szCs w:val="32"/>
        </w:rPr>
        <w:t>。</w:t>
      </w:r>
    </w:p>
    <w:p w14:paraId="3D4FB3FD">
      <w:pPr>
        <w:spacing w:line="600" w:lineRule="exact"/>
        <w:ind w:firstLine="643" w:firstLineChars="200"/>
        <w:rPr>
          <w:rStyle w:val="15"/>
          <w:rFonts w:ascii="仿宋" w:hAnsi="仿宋" w:eastAsia="仿宋"/>
          <w:b w:val="0"/>
          <w:bCs/>
          <w:sz w:val="32"/>
          <w:szCs w:val="32"/>
        </w:rPr>
      </w:pPr>
      <w:r>
        <w:rPr>
          <w:rStyle w:val="15"/>
          <w:rFonts w:hint="eastAsia" w:ascii="仿宋" w:hAnsi="仿宋" w:eastAsia="仿宋"/>
          <w:bCs/>
          <w:sz w:val="32"/>
          <w:szCs w:val="32"/>
        </w:rPr>
        <w:t>6</w:t>
      </w:r>
      <w:r>
        <w:rPr>
          <w:rStyle w:val="15"/>
          <w:rFonts w:ascii="仿宋" w:hAnsi="仿宋" w:eastAsia="仿宋"/>
          <w:bCs/>
          <w:sz w:val="32"/>
          <w:szCs w:val="32"/>
        </w:rPr>
        <w:t>.</w:t>
      </w:r>
      <w:r>
        <w:rPr>
          <w:rStyle w:val="15"/>
          <w:rFonts w:hint="eastAsia" w:ascii="仿宋" w:hAnsi="仿宋" w:eastAsia="仿宋"/>
          <w:bCs/>
          <w:sz w:val="32"/>
          <w:szCs w:val="32"/>
        </w:rPr>
        <w:t>社会保障和就业支出（类）行政事业单位养老支出（款）机关事业单位基本养老保险缴费支出（项）</w:t>
      </w:r>
      <w:r>
        <w:rPr>
          <w:rStyle w:val="15"/>
          <w:rFonts w:ascii="仿宋" w:hAnsi="仿宋" w:eastAsia="仿宋"/>
          <w:bCs/>
          <w:sz w:val="32"/>
          <w:szCs w:val="32"/>
        </w:rPr>
        <w:t>:</w:t>
      </w:r>
      <w:r>
        <w:rPr>
          <w:rStyle w:val="15"/>
          <w:rFonts w:ascii="仿宋" w:hAnsi="仿宋" w:eastAsia="仿宋"/>
          <w:b w:val="0"/>
          <w:bCs/>
          <w:sz w:val="32"/>
          <w:szCs w:val="32"/>
        </w:rPr>
        <w:t xml:space="preserve"> </w:t>
      </w:r>
      <w:r>
        <w:rPr>
          <w:rStyle w:val="15"/>
          <w:rFonts w:hint="eastAsia" w:ascii="仿宋" w:hAnsi="仿宋" w:eastAsia="仿宋"/>
          <w:b w:val="0"/>
          <w:bCs/>
          <w:sz w:val="32"/>
          <w:szCs w:val="32"/>
        </w:rPr>
        <w:t>支出决算为</w:t>
      </w:r>
      <w:r>
        <w:rPr>
          <w:rStyle w:val="15"/>
          <w:rFonts w:hint="eastAsia" w:ascii="仿宋" w:hAnsi="仿宋" w:eastAsia="仿宋"/>
          <w:b w:val="0"/>
          <w:bCs/>
          <w:sz w:val="32"/>
          <w:szCs w:val="32"/>
          <w:lang w:val="en-US" w:eastAsia="zh-CN"/>
        </w:rPr>
        <w:t>598076.32</w:t>
      </w:r>
      <w:r>
        <w:rPr>
          <w:rStyle w:val="15"/>
          <w:rFonts w:hint="eastAsia" w:ascii="仿宋" w:hAnsi="仿宋" w:eastAsia="仿宋"/>
          <w:b w:val="0"/>
          <w:bCs/>
          <w:sz w:val="32"/>
          <w:szCs w:val="32"/>
        </w:rPr>
        <w:t>元，完成预算100.00</w:t>
      </w:r>
      <w:r>
        <w:rPr>
          <w:rStyle w:val="15"/>
          <w:rFonts w:ascii="仿宋" w:hAnsi="仿宋" w:eastAsia="仿宋"/>
          <w:b w:val="0"/>
          <w:bCs/>
          <w:sz w:val="32"/>
          <w:szCs w:val="32"/>
        </w:rPr>
        <w:t>%</w:t>
      </w:r>
      <w:r>
        <w:rPr>
          <w:rStyle w:val="15"/>
          <w:rFonts w:hint="eastAsia" w:ascii="仿宋" w:hAnsi="仿宋" w:eastAsia="仿宋"/>
          <w:b w:val="0"/>
          <w:bCs/>
          <w:sz w:val="32"/>
          <w:szCs w:val="32"/>
        </w:rPr>
        <w:t>。</w:t>
      </w:r>
    </w:p>
    <w:p w14:paraId="7A0F47F9">
      <w:pPr>
        <w:spacing w:line="600" w:lineRule="exact"/>
        <w:ind w:firstLine="643" w:firstLineChars="200"/>
        <w:rPr>
          <w:rStyle w:val="15"/>
          <w:rFonts w:ascii="仿宋" w:hAnsi="仿宋" w:eastAsia="仿宋"/>
          <w:b w:val="0"/>
          <w:bCs/>
          <w:sz w:val="32"/>
          <w:szCs w:val="32"/>
        </w:rPr>
      </w:pPr>
      <w:r>
        <w:rPr>
          <w:rStyle w:val="15"/>
          <w:rFonts w:hint="eastAsia" w:ascii="仿宋" w:hAnsi="仿宋" w:eastAsia="仿宋"/>
          <w:bCs/>
          <w:sz w:val="32"/>
          <w:szCs w:val="32"/>
        </w:rPr>
        <w:t>7</w:t>
      </w:r>
      <w:r>
        <w:rPr>
          <w:rStyle w:val="15"/>
          <w:rFonts w:ascii="仿宋" w:hAnsi="仿宋" w:eastAsia="仿宋"/>
          <w:bCs/>
          <w:sz w:val="32"/>
          <w:szCs w:val="32"/>
        </w:rPr>
        <w:t>.</w:t>
      </w:r>
      <w:r>
        <w:rPr>
          <w:rStyle w:val="15"/>
          <w:rFonts w:hint="eastAsia" w:ascii="仿宋" w:hAnsi="仿宋" w:eastAsia="仿宋"/>
          <w:bCs/>
          <w:sz w:val="32"/>
          <w:szCs w:val="32"/>
        </w:rPr>
        <w:t>社会保障和就业支出（类）行政事业单位养老支出（款）机关事业单位职业年金缴费支出（项）</w:t>
      </w:r>
      <w:r>
        <w:rPr>
          <w:rStyle w:val="15"/>
          <w:rFonts w:ascii="仿宋" w:hAnsi="仿宋" w:eastAsia="仿宋"/>
          <w:bCs/>
          <w:sz w:val="32"/>
          <w:szCs w:val="32"/>
        </w:rPr>
        <w:t>:</w:t>
      </w:r>
      <w:r>
        <w:rPr>
          <w:rStyle w:val="15"/>
          <w:rFonts w:ascii="仿宋" w:hAnsi="仿宋" w:eastAsia="仿宋"/>
          <w:b w:val="0"/>
          <w:bCs/>
          <w:sz w:val="32"/>
          <w:szCs w:val="32"/>
        </w:rPr>
        <w:t xml:space="preserve"> </w:t>
      </w:r>
      <w:r>
        <w:rPr>
          <w:rStyle w:val="15"/>
          <w:rFonts w:hint="eastAsia" w:ascii="仿宋" w:hAnsi="仿宋" w:eastAsia="仿宋"/>
          <w:b w:val="0"/>
          <w:bCs/>
          <w:sz w:val="32"/>
          <w:szCs w:val="32"/>
        </w:rPr>
        <w:t>支出决算为</w:t>
      </w:r>
      <w:r>
        <w:rPr>
          <w:rStyle w:val="15"/>
          <w:rFonts w:hint="eastAsia" w:ascii="仿宋" w:hAnsi="仿宋" w:eastAsia="仿宋"/>
          <w:b w:val="0"/>
          <w:bCs/>
          <w:sz w:val="32"/>
          <w:szCs w:val="32"/>
          <w:lang w:val="en-US" w:eastAsia="zh-CN"/>
        </w:rPr>
        <w:t>299038.16</w:t>
      </w:r>
      <w:r>
        <w:rPr>
          <w:rStyle w:val="15"/>
          <w:rFonts w:hint="eastAsia" w:ascii="仿宋" w:hAnsi="仿宋" w:eastAsia="仿宋"/>
          <w:b w:val="0"/>
          <w:bCs/>
          <w:sz w:val="32"/>
          <w:szCs w:val="32"/>
        </w:rPr>
        <w:t>元，完成预算100.00</w:t>
      </w:r>
      <w:r>
        <w:rPr>
          <w:rStyle w:val="15"/>
          <w:rFonts w:ascii="仿宋" w:hAnsi="仿宋" w:eastAsia="仿宋"/>
          <w:b w:val="0"/>
          <w:bCs/>
          <w:sz w:val="32"/>
          <w:szCs w:val="32"/>
        </w:rPr>
        <w:t>%</w:t>
      </w:r>
      <w:r>
        <w:rPr>
          <w:rStyle w:val="15"/>
          <w:rFonts w:hint="eastAsia" w:ascii="仿宋" w:hAnsi="仿宋" w:eastAsia="仿宋"/>
          <w:b w:val="0"/>
          <w:bCs/>
          <w:sz w:val="32"/>
          <w:szCs w:val="32"/>
        </w:rPr>
        <w:t>。</w:t>
      </w:r>
    </w:p>
    <w:p w14:paraId="7624387B">
      <w:pPr>
        <w:spacing w:line="600" w:lineRule="exact"/>
        <w:ind w:firstLine="643" w:firstLineChars="200"/>
        <w:rPr>
          <w:rStyle w:val="15"/>
          <w:rFonts w:ascii="仿宋" w:hAnsi="仿宋" w:eastAsia="仿宋"/>
          <w:b w:val="0"/>
          <w:bCs/>
          <w:sz w:val="32"/>
          <w:szCs w:val="32"/>
        </w:rPr>
      </w:pPr>
      <w:r>
        <w:rPr>
          <w:rStyle w:val="15"/>
          <w:rFonts w:hint="eastAsia" w:ascii="仿宋" w:hAnsi="仿宋" w:eastAsia="仿宋"/>
          <w:bCs/>
          <w:sz w:val="32"/>
          <w:szCs w:val="32"/>
        </w:rPr>
        <w:t>8</w:t>
      </w:r>
      <w:r>
        <w:rPr>
          <w:rStyle w:val="15"/>
          <w:rFonts w:ascii="仿宋" w:hAnsi="仿宋" w:eastAsia="仿宋"/>
          <w:bCs/>
          <w:sz w:val="32"/>
          <w:szCs w:val="32"/>
        </w:rPr>
        <w:t>.</w:t>
      </w:r>
      <w:r>
        <w:rPr>
          <w:rStyle w:val="15"/>
          <w:rFonts w:hint="eastAsia" w:ascii="仿宋" w:hAnsi="仿宋" w:eastAsia="仿宋"/>
          <w:bCs/>
          <w:sz w:val="32"/>
          <w:szCs w:val="32"/>
        </w:rPr>
        <w:t>社会保障和就业支出（类）其他社会保障和就业支出（款）其他社会保障和就业支出（项）</w:t>
      </w:r>
      <w:r>
        <w:rPr>
          <w:rStyle w:val="15"/>
          <w:rFonts w:ascii="仿宋" w:hAnsi="仿宋" w:eastAsia="仿宋"/>
          <w:bCs/>
          <w:sz w:val="32"/>
          <w:szCs w:val="32"/>
        </w:rPr>
        <w:t>:</w:t>
      </w:r>
      <w:r>
        <w:rPr>
          <w:rStyle w:val="15"/>
          <w:rFonts w:ascii="仿宋" w:hAnsi="仿宋" w:eastAsia="仿宋"/>
          <w:b w:val="0"/>
          <w:bCs/>
          <w:sz w:val="32"/>
          <w:szCs w:val="32"/>
        </w:rPr>
        <w:t xml:space="preserve"> </w:t>
      </w:r>
      <w:r>
        <w:rPr>
          <w:rStyle w:val="15"/>
          <w:rFonts w:hint="eastAsia" w:ascii="仿宋" w:hAnsi="仿宋" w:eastAsia="仿宋"/>
          <w:b w:val="0"/>
          <w:bCs/>
          <w:sz w:val="32"/>
          <w:szCs w:val="32"/>
        </w:rPr>
        <w:t>支出决算为</w:t>
      </w:r>
      <w:r>
        <w:rPr>
          <w:rStyle w:val="15"/>
          <w:rFonts w:hint="eastAsia" w:ascii="仿宋" w:hAnsi="仿宋" w:eastAsia="仿宋"/>
          <w:b w:val="0"/>
          <w:bCs/>
          <w:sz w:val="32"/>
          <w:szCs w:val="32"/>
          <w:lang w:val="en-US" w:eastAsia="zh-CN"/>
        </w:rPr>
        <w:t>1126577.64</w:t>
      </w:r>
      <w:r>
        <w:rPr>
          <w:rStyle w:val="15"/>
          <w:rFonts w:hint="eastAsia" w:ascii="仿宋" w:hAnsi="仿宋" w:eastAsia="仿宋"/>
          <w:b w:val="0"/>
          <w:bCs/>
          <w:sz w:val="32"/>
          <w:szCs w:val="32"/>
        </w:rPr>
        <w:t>元，完成预算100.00</w:t>
      </w:r>
      <w:r>
        <w:rPr>
          <w:rStyle w:val="15"/>
          <w:rFonts w:ascii="仿宋" w:hAnsi="仿宋" w:eastAsia="仿宋"/>
          <w:b w:val="0"/>
          <w:bCs/>
          <w:sz w:val="32"/>
          <w:szCs w:val="32"/>
        </w:rPr>
        <w:t>%</w:t>
      </w:r>
      <w:r>
        <w:rPr>
          <w:rStyle w:val="15"/>
          <w:rFonts w:hint="eastAsia" w:ascii="仿宋" w:hAnsi="仿宋" w:eastAsia="仿宋"/>
          <w:b w:val="0"/>
          <w:bCs/>
          <w:sz w:val="32"/>
          <w:szCs w:val="32"/>
        </w:rPr>
        <w:t>。</w:t>
      </w:r>
    </w:p>
    <w:p w14:paraId="227BDEB1">
      <w:pPr>
        <w:spacing w:line="600" w:lineRule="exact"/>
        <w:ind w:firstLine="643" w:firstLineChars="200"/>
        <w:rPr>
          <w:rStyle w:val="15"/>
          <w:rFonts w:ascii="仿宋" w:hAnsi="仿宋" w:eastAsia="仿宋"/>
          <w:b w:val="0"/>
          <w:bCs/>
          <w:sz w:val="32"/>
          <w:szCs w:val="32"/>
        </w:rPr>
      </w:pPr>
      <w:r>
        <w:rPr>
          <w:rStyle w:val="15"/>
          <w:rFonts w:hint="eastAsia" w:ascii="仿宋" w:hAnsi="仿宋" w:eastAsia="仿宋"/>
          <w:bCs/>
          <w:sz w:val="32"/>
          <w:szCs w:val="32"/>
        </w:rPr>
        <w:t>9</w:t>
      </w:r>
      <w:r>
        <w:rPr>
          <w:rStyle w:val="15"/>
          <w:rFonts w:ascii="仿宋" w:hAnsi="仿宋" w:eastAsia="仿宋"/>
          <w:bCs/>
          <w:sz w:val="32"/>
          <w:szCs w:val="32"/>
        </w:rPr>
        <w:t>.</w:t>
      </w:r>
      <w:r>
        <w:rPr>
          <w:rFonts w:hint="eastAsia" w:ascii="仿宋" w:hAnsi="仿宋" w:eastAsia="仿宋"/>
          <w:b/>
          <w:bCs/>
          <w:sz w:val="32"/>
          <w:szCs w:val="32"/>
        </w:rPr>
        <w:t>卫生健康支出</w:t>
      </w:r>
      <w:r>
        <w:rPr>
          <w:rStyle w:val="15"/>
          <w:rFonts w:hint="eastAsia" w:ascii="仿宋" w:hAnsi="仿宋" w:eastAsia="仿宋"/>
          <w:bCs/>
          <w:sz w:val="32"/>
          <w:szCs w:val="32"/>
        </w:rPr>
        <w:t>（类）行政事业单位医疗（款）事业单位医疗（项）</w:t>
      </w:r>
      <w:r>
        <w:rPr>
          <w:rStyle w:val="15"/>
          <w:rFonts w:ascii="仿宋" w:hAnsi="仿宋" w:eastAsia="仿宋"/>
          <w:bCs/>
          <w:sz w:val="32"/>
          <w:szCs w:val="32"/>
        </w:rPr>
        <w:t>:</w:t>
      </w:r>
      <w:r>
        <w:rPr>
          <w:rStyle w:val="15"/>
          <w:rFonts w:hint="eastAsia" w:ascii="仿宋" w:hAnsi="仿宋" w:eastAsia="仿宋"/>
          <w:b w:val="0"/>
          <w:bCs/>
          <w:sz w:val="32"/>
          <w:szCs w:val="32"/>
        </w:rPr>
        <w:t>支出决算为</w:t>
      </w:r>
      <w:r>
        <w:rPr>
          <w:rStyle w:val="15"/>
          <w:rFonts w:hint="eastAsia" w:ascii="仿宋" w:hAnsi="仿宋" w:eastAsia="仿宋"/>
          <w:b w:val="0"/>
          <w:bCs/>
          <w:sz w:val="32"/>
          <w:szCs w:val="32"/>
          <w:lang w:val="en-US" w:eastAsia="zh-CN"/>
        </w:rPr>
        <w:t>269583.87</w:t>
      </w:r>
      <w:r>
        <w:rPr>
          <w:rStyle w:val="15"/>
          <w:rFonts w:hint="eastAsia" w:ascii="仿宋" w:hAnsi="仿宋" w:eastAsia="仿宋"/>
          <w:b w:val="0"/>
          <w:bCs/>
          <w:sz w:val="32"/>
          <w:szCs w:val="32"/>
        </w:rPr>
        <w:t>元，完成预算100.00</w:t>
      </w:r>
      <w:r>
        <w:rPr>
          <w:rStyle w:val="15"/>
          <w:rFonts w:ascii="仿宋" w:hAnsi="仿宋" w:eastAsia="仿宋"/>
          <w:b w:val="0"/>
          <w:bCs/>
          <w:sz w:val="32"/>
          <w:szCs w:val="32"/>
        </w:rPr>
        <w:t>%</w:t>
      </w:r>
      <w:r>
        <w:rPr>
          <w:rStyle w:val="15"/>
          <w:rFonts w:hint="eastAsia" w:ascii="仿宋" w:hAnsi="仿宋" w:eastAsia="仿宋"/>
          <w:b w:val="0"/>
          <w:bCs/>
          <w:sz w:val="32"/>
          <w:szCs w:val="32"/>
        </w:rPr>
        <w:t>。</w:t>
      </w:r>
    </w:p>
    <w:p w14:paraId="6F3EFC26">
      <w:pPr>
        <w:spacing w:line="600" w:lineRule="exact"/>
        <w:ind w:firstLine="643" w:firstLineChars="200"/>
        <w:rPr>
          <w:rFonts w:ascii="仿宋" w:hAnsi="仿宋" w:eastAsia="仿宋"/>
          <w:b/>
          <w:sz w:val="32"/>
          <w:szCs w:val="32"/>
        </w:rPr>
      </w:pPr>
      <w:r>
        <w:rPr>
          <w:rStyle w:val="15"/>
          <w:rFonts w:hint="eastAsia" w:ascii="仿宋" w:hAnsi="仿宋" w:eastAsia="仿宋"/>
          <w:bCs/>
          <w:sz w:val="32"/>
          <w:szCs w:val="32"/>
        </w:rPr>
        <w:t>10</w:t>
      </w:r>
      <w:r>
        <w:rPr>
          <w:rStyle w:val="15"/>
          <w:rFonts w:ascii="仿宋" w:hAnsi="仿宋" w:eastAsia="仿宋"/>
          <w:bCs/>
          <w:sz w:val="32"/>
          <w:szCs w:val="32"/>
        </w:rPr>
        <w:t>.</w:t>
      </w:r>
      <w:r>
        <w:rPr>
          <w:rFonts w:hint="eastAsia" w:ascii="仿宋" w:hAnsi="仿宋" w:eastAsia="仿宋"/>
          <w:b/>
          <w:bCs/>
          <w:sz w:val="32"/>
          <w:szCs w:val="32"/>
        </w:rPr>
        <w:t>卫生健康支出</w:t>
      </w:r>
      <w:r>
        <w:rPr>
          <w:rStyle w:val="15"/>
          <w:rFonts w:hint="eastAsia" w:ascii="仿宋" w:hAnsi="仿宋" w:eastAsia="仿宋"/>
          <w:bCs/>
          <w:sz w:val="32"/>
          <w:szCs w:val="32"/>
        </w:rPr>
        <w:t>（类）行政事业单位医疗（款）公务员医疗补助（项）</w:t>
      </w:r>
      <w:r>
        <w:rPr>
          <w:rStyle w:val="15"/>
          <w:rFonts w:ascii="仿宋" w:hAnsi="仿宋" w:eastAsia="仿宋"/>
          <w:bCs/>
          <w:sz w:val="32"/>
          <w:szCs w:val="32"/>
        </w:rPr>
        <w:t>:</w:t>
      </w:r>
      <w:r>
        <w:rPr>
          <w:rStyle w:val="15"/>
          <w:rFonts w:hint="eastAsia" w:ascii="仿宋" w:hAnsi="仿宋" w:eastAsia="仿宋"/>
          <w:b w:val="0"/>
          <w:bCs/>
          <w:sz w:val="32"/>
          <w:szCs w:val="32"/>
        </w:rPr>
        <w:t>支出决算为</w:t>
      </w:r>
      <w:r>
        <w:rPr>
          <w:rStyle w:val="15"/>
          <w:rFonts w:hint="eastAsia" w:ascii="仿宋" w:hAnsi="仿宋" w:eastAsia="仿宋"/>
          <w:b w:val="0"/>
          <w:bCs/>
          <w:sz w:val="32"/>
          <w:szCs w:val="32"/>
          <w:lang w:val="en-US" w:eastAsia="zh-CN"/>
        </w:rPr>
        <w:t>39000</w:t>
      </w:r>
      <w:r>
        <w:rPr>
          <w:rStyle w:val="15"/>
          <w:rFonts w:hint="eastAsia" w:ascii="仿宋" w:hAnsi="仿宋" w:eastAsia="仿宋"/>
          <w:b w:val="0"/>
          <w:bCs/>
          <w:sz w:val="32"/>
          <w:szCs w:val="32"/>
        </w:rPr>
        <w:t>元，完成预算100.00</w:t>
      </w:r>
      <w:r>
        <w:rPr>
          <w:rStyle w:val="15"/>
          <w:rFonts w:ascii="仿宋" w:hAnsi="仿宋" w:eastAsia="仿宋"/>
          <w:b w:val="0"/>
          <w:bCs/>
          <w:sz w:val="32"/>
          <w:szCs w:val="32"/>
        </w:rPr>
        <w:t>%</w:t>
      </w:r>
      <w:r>
        <w:rPr>
          <w:rStyle w:val="15"/>
          <w:rFonts w:hint="eastAsia" w:ascii="仿宋" w:hAnsi="仿宋" w:eastAsia="仿宋"/>
          <w:b w:val="0"/>
          <w:bCs/>
          <w:sz w:val="32"/>
          <w:szCs w:val="32"/>
        </w:rPr>
        <w:t>。</w:t>
      </w:r>
    </w:p>
    <w:p w14:paraId="5A692AF4">
      <w:pPr>
        <w:spacing w:line="600" w:lineRule="exact"/>
        <w:ind w:firstLine="643" w:firstLineChars="200"/>
        <w:rPr>
          <w:rFonts w:ascii="仿宋" w:hAnsi="仿宋" w:eastAsia="仿宋"/>
          <w:b/>
          <w:sz w:val="32"/>
          <w:szCs w:val="32"/>
        </w:rPr>
      </w:pPr>
      <w:r>
        <w:rPr>
          <w:rStyle w:val="15"/>
          <w:rFonts w:hint="eastAsia" w:ascii="仿宋" w:hAnsi="仿宋" w:eastAsia="仿宋"/>
          <w:bCs/>
          <w:sz w:val="32"/>
          <w:szCs w:val="32"/>
        </w:rPr>
        <w:t>11</w:t>
      </w:r>
      <w:r>
        <w:rPr>
          <w:rStyle w:val="15"/>
          <w:rFonts w:ascii="仿宋" w:hAnsi="仿宋" w:eastAsia="仿宋"/>
          <w:bCs/>
          <w:sz w:val="32"/>
          <w:szCs w:val="32"/>
        </w:rPr>
        <w:t>.</w:t>
      </w:r>
      <w:r>
        <w:rPr>
          <w:rFonts w:hint="eastAsia" w:ascii="仿宋" w:hAnsi="仿宋" w:eastAsia="仿宋"/>
          <w:b/>
          <w:bCs/>
          <w:sz w:val="32"/>
          <w:szCs w:val="32"/>
        </w:rPr>
        <w:t>农林水支出</w:t>
      </w:r>
      <w:r>
        <w:rPr>
          <w:rStyle w:val="15"/>
          <w:rFonts w:hint="eastAsia" w:ascii="仿宋" w:hAnsi="仿宋" w:eastAsia="仿宋"/>
          <w:bCs/>
          <w:sz w:val="32"/>
          <w:szCs w:val="32"/>
        </w:rPr>
        <w:t>（类）扶贫（款）其他扶贫支出（项）</w:t>
      </w:r>
      <w:r>
        <w:rPr>
          <w:rStyle w:val="15"/>
          <w:rFonts w:ascii="仿宋" w:hAnsi="仿宋" w:eastAsia="仿宋"/>
          <w:bCs/>
          <w:sz w:val="32"/>
          <w:szCs w:val="32"/>
        </w:rPr>
        <w:t>:</w:t>
      </w:r>
      <w:r>
        <w:rPr>
          <w:rStyle w:val="15"/>
          <w:rFonts w:hint="eastAsia" w:ascii="仿宋" w:hAnsi="仿宋" w:eastAsia="仿宋"/>
          <w:b w:val="0"/>
          <w:bCs/>
          <w:sz w:val="32"/>
          <w:szCs w:val="32"/>
        </w:rPr>
        <w:t>支出决算为</w:t>
      </w:r>
      <w:r>
        <w:rPr>
          <w:rStyle w:val="15"/>
          <w:rFonts w:hint="eastAsia" w:ascii="仿宋" w:hAnsi="仿宋" w:eastAsia="仿宋"/>
          <w:b w:val="0"/>
          <w:bCs/>
          <w:sz w:val="32"/>
          <w:szCs w:val="32"/>
          <w:lang w:val="en-US" w:eastAsia="zh-CN"/>
        </w:rPr>
        <w:t>0</w:t>
      </w:r>
      <w:r>
        <w:rPr>
          <w:rStyle w:val="15"/>
          <w:rFonts w:hint="eastAsia" w:ascii="仿宋" w:hAnsi="仿宋" w:eastAsia="仿宋"/>
          <w:b w:val="0"/>
          <w:bCs/>
          <w:sz w:val="32"/>
          <w:szCs w:val="32"/>
        </w:rPr>
        <w:t>元，完成预算100.00</w:t>
      </w:r>
      <w:r>
        <w:rPr>
          <w:rStyle w:val="15"/>
          <w:rFonts w:ascii="仿宋" w:hAnsi="仿宋" w:eastAsia="仿宋"/>
          <w:b w:val="0"/>
          <w:bCs/>
          <w:sz w:val="32"/>
          <w:szCs w:val="32"/>
        </w:rPr>
        <w:t>%</w:t>
      </w:r>
      <w:r>
        <w:rPr>
          <w:rStyle w:val="15"/>
          <w:rFonts w:hint="eastAsia" w:ascii="仿宋" w:hAnsi="仿宋" w:eastAsia="仿宋"/>
          <w:b w:val="0"/>
          <w:bCs/>
          <w:sz w:val="32"/>
          <w:szCs w:val="32"/>
        </w:rPr>
        <w:t>。</w:t>
      </w:r>
    </w:p>
    <w:p w14:paraId="3FC58459">
      <w:pPr>
        <w:spacing w:line="600" w:lineRule="exact"/>
        <w:ind w:firstLine="643" w:firstLineChars="200"/>
        <w:rPr>
          <w:rFonts w:ascii="黑体" w:eastAsia="黑体"/>
          <w:sz w:val="32"/>
          <w:szCs w:val="32"/>
        </w:rPr>
      </w:pPr>
      <w:r>
        <w:rPr>
          <w:rStyle w:val="15"/>
          <w:rFonts w:hint="eastAsia" w:ascii="仿宋" w:hAnsi="仿宋" w:eastAsia="仿宋"/>
          <w:bCs/>
          <w:sz w:val="32"/>
          <w:szCs w:val="32"/>
        </w:rPr>
        <w:t>12</w:t>
      </w:r>
      <w:r>
        <w:rPr>
          <w:rStyle w:val="15"/>
          <w:rFonts w:ascii="仿宋" w:hAnsi="仿宋" w:eastAsia="仿宋"/>
          <w:bCs/>
          <w:sz w:val="32"/>
          <w:szCs w:val="32"/>
        </w:rPr>
        <w:t>.</w:t>
      </w:r>
      <w:r>
        <w:rPr>
          <w:rFonts w:hint="eastAsia" w:ascii="仿宋" w:hAnsi="仿宋" w:eastAsia="仿宋"/>
          <w:b/>
          <w:bCs/>
          <w:sz w:val="32"/>
          <w:szCs w:val="32"/>
        </w:rPr>
        <w:t>住房保障支出</w:t>
      </w:r>
      <w:r>
        <w:rPr>
          <w:rStyle w:val="15"/>
          <w:rFonts w:hint="eastAsia" w:ascii="仿宋" w:hAnsi="仿宋" w:eastAsia="仿宋"/>
          <w:bCs/>
          <w:sz w:val="32"/>
          <w:szCs w:val="32"/>
        </w:rPr>
        <w:t>（类）</w:t>
      </w:r>
      <w:r>
        <w:rPr>
          <w:rFonts w:hint="eastAsia" w:ascii="仿宋" w:hAnsi="仿宋" w:eastAsia="仿宋"/>
          <w:b/>
          <w:bCs/>
          <w:sz w:val="32"/>
          <w:szCs w:val="32"/>
        </w:rPr>
        <w:t>住房改革支出</w:t>
      </w:r>
      <w:r>
        <w:rPr>
          <w:rStyle w:val="15"/>
          <w:rFonts w:hint="eastAsia" w:ascii="仿宋" w:hAnsi="仿宋" w:eastAsia="仿宋"/>
          <w:bCs/>
          <w:sz w:val="32"/>
          <w:szCs w:val="32"/>
        </w:rPr>
        <w:t>（款）</w:t>
      </w:r>
      <w:r>
        <w:rPr>
          <w:rFonts w:hint="eastAsia" w:ascii="仿宋" w:hAnsi="仿宋" w:eastAsia="仿宋"/>
          <w:b/>
          <w:bCs/>
          <w:sz w:val="32"/>
          <w:szCs w:val="32"/>
        </w:rPr>
        <w:t>住房公积金</w:t>
      </w:r>
      <w:r>
        <w:rPr>
          <w:rStyle w:val="15"/>
          <w:rFonts w:hint="eastAsia" w:ascii="仿宋" w:hAnsi="仿宋" w:eastAsia="仿宋"/>
          <w:bCs/>
          <w:sz w:val="32"/>
          <w:szCs w:val="32"/>
        </w:rPr>
        <w:t>（项）</w:t>
      </w:r>
      <w:r>
        <w:rPr>
          <w:rStyle w:val="15"/>
          <w:rFonts w:ascii="仿宋" w:hAnsi="仿宋" w:eastAsia="仿宋"/>
          <w:bCs/>
          <w:sz w:val="32"/>
          <w:szCs w:val="32"/>
        </w:rPr>
        <w:t>:</w:t>
      </w:r>
      <w:r>
        <w:rPr>
          <w:rStyle w:val="15"/>
          <w:rFonts w:hint="eastAsia" w:ascii="仿宋" w:hAnsi="仿宋" w:eastAsia="仿宋"/>
          <w:b w:val="0"/>
          <w:bCs/>
          <w:sz w:val="32"/>
          <w:szCs w:val="32"/>
        </w:rPr>
        <w:t>支出决算为</w:t>
      </w:r>
      <w:r>
        <w:rPr>
          <w:rStyle w:val="15"/>
          <w:rFonts w:hint="eastAsia" w:ascii="仿宋" w:hAnsi="仿宋" w:eastAsia="仿宋"/>
          <w:b w:val="0"/>
          <w:bCs/>
          <w:sz w:val="32"/>
          <w:szCs w:val="32"/>
          <w:lang w:val="en-US" w:eastAsia="zh-CN"/>
        </w:rPr>
        <w:t>641317.32</w:t>
      </w:r>
      <w:r>
        <w:rPr>
          <w:rStyle w:val="15"/>
          <w:rFonts w:hint="eastAsia" w:ascii="仿宋" w:hAnsi="仿宋" w:eastAsia="仿宋"/>
          <w:b w:val="0"/>
          <w:bCs/>
          <w:sz w:val="32"/>
          <w:szCs w:val="32"/>
        </w:rPr>
        <w:t>元，完成预算100.00</w:t>
      </w:r>
      <w:r>
        <w:rPr>
          <w:rStyle w:val="15"/>
          <w:rFonts w:ascii="仿宋" w:hAnsi="仿宋" w:eastAsia="仿宋"/>
          <w:b w:val="0"/>
          <w:bCs/>
          <w:sz w:val="32"/>
          <w:szCs w:val="32"/>
        </w:rPr>
        <w:t>%</w:t>
      </w:r>
      <w:r>
        <w:rPr>
          <w:rStyle w:val="15"/>
          <w:rFonts w:hint="eastAsia" w:ascii="仿宋" w:hAnsi="仿宋" w:eastAsia="仿宋"/>
          <w:b w:val="0"/>
          <w:bCs/>
          <w:sz w:val="32"/>
          <w:szCs w:val="32"/>
        </w:rPr>
        <w:t>。</w:t>
      </w:r>
      <w:bookmarkStart w:id="67" w:name="_GoBack"/>
      <w:bookmarkEnd w:id="67"/>
      <w:bookmarkStart w:id="34" w:name="_Toc15396608"/>
      <w:bookmarkStart w:id="35" w:name="_Toc15377214"/>
    </w:p>
    <w:p w14:paraId="214838A1">
      <w:pPr>
        <w:tabs>
          <w:tab w:val="right" w:pos="8306"/>
        </w:tabs>
        <w:spacing w:line="600" w:lineRule="exact"/>
        <w:ind w:firstLine="640"/>
        <w:outlineLvl w:val="1"/>
        <w:rPr>
          <w:rStyle w:val="26"/>
        </w:rPr>
      </w:pPr>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6"/>
          <w:rFonts w:hint="eastAsia" w:ascii="黑体" w:hAnsi="黑体" w:eastAsia="黑体"/>
          <w:b w:val="0"/>
        </w:rPr>
        <w:t>般公共预算财政拨款基本支出决算情况说明</w:t>
      </w:r>
      <w:bookmarkEnd w:id="34"/>
      <w:bookmarkEnd w:id="35"/>
      <w:r>
        <w:rPr>
          <w:rStyle w:val="26"/>
          <w:rFonts w:ascii="黑体" w:hAnsi="黑体" w:eastAsia="黑体"/>
          <w:b w:val="0"/>
        </w:rPr>
        <w:tab/>
      </w:r>
    </w:p>
    <w:p w14:paraId="5602BE92">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年一般公共预算财政拨款基本支出75</w:t>
      </w:r>
      <w:r>
        <w:rPr>
          <w:rFonts w:hint="eastAsia" w:ascii="仿宋" w:hAnsi="仿宋" w:eastAsia="仿宋"/>
          <w:sz w:val="32"/>
          <w:szCs w:val="32"/>
          <w:lang w:val="en-US" w:eastAsia="zh-CN"/>
        </w:rPr>
        <w:t>75594.08</w:t>
      </w:r>
      <w:r>
        <w:rPr>
          <w:rFonts w:hint="eastAsia" w:ascii="仿宋" w:hAnsi="仿宋" w:eastAsia="仿宋"/>
          <w:sz w:val="32"/>
          <w:szCs w:val="32"/>
        </w:rPr>
        <w:t>元，其中：</w:t>
      </w:r>
    </w:p>
    <w:p w14:paraId="3A8A1465">
      <w:pPr>
        <w:spacing w:line="600" w:lineRule="exact"/>
        <w:ind w:firstLine="645"/>
        <w:rPr>
          <w:rFonts w:ascii="仿宋" w:hAnsi="仿宋" w:eastAsia="仿宋"/>
          <w:b/>
          <w:sz w:val="32"/>
          <w:szCs w:val="32"/>
        </w:rPr>
      </w:pPr>
      <w:r>
        <w:rPr>
          <w:rFonts w:hint="eastAsia" w:ascii="仿宋" w:hAnsi="仿宋" w:eastAsia="仿宋"/>
          <w:sz w:val="32"/>
          <w:szCs w:val="32"/>
        </w:rPr>
        <w:t>人员经费73</w:t>
      </w:r>
      <w:r>
        <w:rPr>
          <w:rFonts w:hint="eastAsia" w:ascii="仿宋" w:hAnsi="仿宋" w:eastAsia="仿宋"/>
          <w:sz w:val="32"/>
          <w:szCs w:val="32"/>
          <w:lang w:val="en-US" w:eastAsia="zh-CN"/>
        </w:rPr>
        <w:t>19252.63</w:t>
      </w:r>
      <w:r>
        <w:rPr>
          <w:rFonts w:hint="eastAsia" w:ascii="仿宋" w:hAnsi="仿宋" w:eastAsia="仿宋"/>
          <w:sz w:val="32"/>
          <w:szCs w:val="32"/>
        </w:rPr>
        <w:t>元，主要包括：基本工资、津贴补贴、伙食补助费、绩效工资、机关事业单位基本养老保险缴费、职业年金缴费、职工基本医疗保险缴费、公务员医疗补助缴费、其他社会保障缴费、住房公积金、其他工资福利支出、生活补助等。</w:t>
      </w:r>
      <w:r>
        <w:rPr>
          <w:rFonts w:ascii="仿宋" w:hAnsi="仿宋" w:eastAsia="仿宋"/>
          <w:sz w:val="32"/>
          <w:szCs w:val="32"/>
        </w:rPr>
        <w:br w:type="textWrapping"/>
      </w:r>
      <w:r>
        <w:rPr>
          <w:rFonts w:hint="eastAsia" w:ascii="仿宋" w:hAnsi="仿宋" w:eastAsia="仿宋"/>
          <w:sz w:val="32"/>
          <w:szCs w:val="32"/>
        </w:rPr>
        <w:t>　　公用经费</w:t>
      </w:r>
      <w:r>
        <w:rPr>
          <w:rFonts w:hint="eastAsia" w:ascii="仿宋" w:hAnsi="仿宋" w:eastAsia="仿宋"/>
          <w:sz w:val="32"/>
          <w:szCs w:val="32"/>
          <w:lang w:val="en-US" w:eastAsia="zh-CN"/>
        </w:rPr>
        <w:t>256341.45</w:t>
      </w:r>
      <w:r>
        <w:rPr>
          <w:rFonts w:hint="eastAsia" w:ascii="仿宋" w:hAnsi="仿宋" w:eastAsia="仿宋"/>
          <w:sz w:val="32"/>
          <w:szCs w:val="32"/>
        </w:rPr>
        <w:t>元，主要包括：办公费、物业管理费、工会经费、福利费等。</w:t>
      </w:r>
    </w:p>
    <w:p w14:paraId="2D16E26B">
      <w:pPr>
        <w:spacing w:line="600" w:lineRule="exact"/>
        <w:ind w:firstLine="640"/>
        <w:outlineLvl w:val="1"/>
        <w:rPr>
          <w:rStyle w:val="26"/>
          <w:rFonts w:ascii="黑体" w:hAnsi="黑体" w:eastAsia="黑体"/>
          <w:b w:val="0"/>
        </w:rPr>
      </w:pPr>
      <w:bookmarkStart w:id="36" w:name="_Toc15377215"/>
      <w:bookmarkStart w:id="37" w:name="_Toc15396609"/>
      <w:r>
        <w:rPr>
          <w:rFonts w:hint="eastAsia" w:ascii="黑体" w:eastAsia="黑体"/>
          <w:sz w:val="32"/>
          <w:szCs w:val="32"/>
        </w:rPr>
        <w:t>七、</w:t>
      </w:r>
      <w:r>
        <w:rPr>
          <w:rStyle w:val="26"/>
          <w:rFonts w:hint="eastAsia" w:ascii="黑体" w:hAnsi="黑体" w:eastAsia="黑体"/>
        </w:rPr>
        <w:t>“</w:t>
      </w:r>
      <w:r>
        <w:rPr>
          <w:rStyle w:val="26"/>
          <w:rFonts w:hint="eastAsia" w:ascii="黑体" w:hAnsi="黑体" w:eastAsia="黑体"/>
          <w:b w:val="0"/>
        </w:rPr>
        <w:t>三公”经费财政拨款支出决算情况说明</w:t>
      </w:r>
      <w:bookmarkEnd w:id="36"/>
      <w:bookmarkEnd w:id="37"/>
    </w:p>
    <w:p w14:paraId="5C3538CA">
      <w:pPr>
        <w:spacing w:line="600" w:lineRule="exact"/>
        <w:ind w:firstLine="640"/>
        <w:outlineLvl w:val="2"/>
        <w:rPr>
          <w:rFonts w:ascii="仿宋" w:hAnsi="仿宋" w:eastAsia="仿宋"/>
          <w:b/>
          <w:sz w:val="32"/>
          <w:szCs w:val="32"/>
        </w:rPr>
      </w:pPr>
      <w:bookmarkStart w:id="38" w:name="_Toc15377216"/>
      <w:r>
        <w:rPr>
          <w:rFonts w:hint="eastAsia" w:ascii="仿宋" w:hAnsi="仿宋" w:eastAsia="仿宋"/>
          <w:b/>
          <w:sz w:val="32"/>
          <w:szCs w:val="32"/>
        </w:rPr>
        <w:t>（一）“三公”经费财政拨款支出决算总体情况说明</w:t>
      </w:r>
      <w:bookmarkEnd w:id="38"/>
    </w:p>
    <w:p w14:paraId="5759C2CA">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年“三公”经费财政拨款支出决算为</w:t>
      </w:r>
      <w:r>
        <w:rPr>
          <w:rFonts w:hint="eastAsia" w:ascii="仿宋" w:hAnsi="仿宋" w:eastAsia="仿宋"/>
          <w:sz w:val="32"/>
          <w:szCs w:val="32"/>
          <w:lang w:val="en-US" w:eastAsia="zh-CN"/>
        </w:rPr>
        <w:t>2350</w:t>
      </w:r>
      <w:r>
        <w:rPr>
          <w:rFonts w:hint="eastAsia" w:ascii="仿宋" w:hAnsi="仿宋" w:eastAsia="仿宋"/>
          <w:sz w:val="32"/>
          <w:szCs w:val="32"/>
        </w:rPr>
        <w:t>元，完成预算</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，决算数小于预算数的主要原因是严格管控，节约开支。</w:t>
      </w:r>
    </w:p>
    <w:p w14:paraId="410606F5">
      <w:pPr>
        <w:spacing w:line="600" w:lineRule="exact"/>
        <w:ind w:firstLine="640"/>
        <w:outlineLvl w:val="2"/>
        <w:rPr>
          <w:rFonts w:ascii="仿宋" w:hAnsi="仿宋" w:eastAsia="仿宋"/>
          <w:b/>
          <w:sz w:val="32"/>
          <w:szCs w:val="32"/>
        </w:rPr>
      </w:pPr>
      <w:bookmarkStart w:id="39" w:name="_Toc15377217"/>
      <w:r>
        <w:rPr>
          <w:rFonts w:hint="eastAsia" w:ascii="仿宋" w:hAnsi="仿宋" w:eastAsia="仿宋"/>
          <w:b/>
          <w:sz w:val="32"/>
          <w:szCs w:val="32"/>
        </w:rPr>
        <w:t>（二）“三公”经费财政拨款支出决算具体情况说明</w:t>
      </w:r>
      <w:bookmarkEnd w:id="39"/>
    </w:p>
    <w:p w14:paraId="55365CB0">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年“三公”经费财政拨款支出决算中，因公出国（境）费支出决算0万元，占0</w:t>
      </w:r>
      <w:r>
        <w:rPr>
          <w:rFonts w:ascii="仿宋" w:hAnsi="仿宋" w:eastAsia="仿宋"/>
          <w:sz w:val="32"/>
          <w:szCs w:val="32"/>
        </w:rPr>
        <w:t>%</w:t>
      </w:r>
      <w:r>
        <w:rPr>
          <w:rFonts w:hint="eastAsia" w:ascii="仿宋" w:hAnsi="仿宋" w:eastAsia="仿宋"/>
          <w:sz w:val="32"/>
          <w:szCs w:val="32"/>
        </w:rPr>
        <w:t>；公务用车购置及运行维护费支出决算0万元，占0</w:t>
      </w:r>
      <w:r>
        <w:rPr>
          <w:rFonts w:ascii="仿宋" w:hAnsi="仿宋" w:eastAsia="仿宋"/>
          <w:sz w:val="32"/>
          <w:szCs w:val="32"/>
        </w:rPr>
        <w:t>%</w:t>
      </w:r>
      <w:r>
        <w:rPr>
          <w:rFonts w:hint="eastAsia" w:ascii="仿宋" w:hAnsi="仿宋" w:eastAsia="仿宋"/>
          <w:sz w:val="32"/>
          <w:szCs w:val="32"/>
        </w:rPr>
        <w:t>；公务接待费支出决算</w:t>
      </w:r>
      <w:r>
        <w:rPr>
          <w:rFonts w:hint="eastAsia" w:ascii="仿宋" w:hAnsi="仿宋" w:eastAsia="仿宋"/>
          <w:sz w:val="32"/>
          <w:szCs w:val="32"/>
          <w:lang w:val="en-US" w:eastAsia="zh-CN"/>
        </w:rPr>
        <w:t>2350</w:t>
      </w:r>
      <w:r>
        <w:rPr>
          <w:rFonts w:hint="eastAsia" w:ascii="仿宋" w:hAnsi="仿宋" w:eastAsia="仿宋"/>
          <w:sz w:val="32"/>
          <w:szCs w:val="32"/>
        </w:rPr>
        <w:t>元，占100.00</w:t>
      </w:r>
      <w:r>
        <w:rPr>
          <w:rFonts w:ascii="仿宋" w:hAnsi="仿宋" w:eastAsia="仿宋"/>
          <w:sz w:val="32"/>
          <w:szCs w:val="32"/>
        </w:rPr>
        <w:t>%</w:t>
      </w:r>
      <w:r>
        <w:rPr>
          <w:rFonts w:hint="eastAsia" w:ascii="仿宋" w:hAnsi="仿宋" w:eastAsia="仿宋"/>
          <w:sz w:val="32"/>
          <w:szCs w:val="32"/>
        </w:rPr>
        <w:t>。具体情况如下：</w:t>
      </w:r>
    </w:p>
    <w:p w14:paraId="6957B503">
      <w:pPr>
        <w:pStyle w:val="2"/>
        <w:spacing w:before="93"/>
      </w:pPr>
      <w:r>
        <w:rPr>
          <w:rFonts w:hint="eastAsia"/>
        </w:rPr>
        <w:drawing>
          <wp:anchor distT="0" distB="0" distL="114300" distR="114300" simplePos="0" relativeHeight="251665408" behindDoc="0" locked="0" layoutInCell="1" allowOverlap="1">
            <wp:simplePos x="0" y="0"/>
            <wp:positionH relativeFrom="column">
              <wp:posOffset>743585</wp:posOffset>
            </wp:positionH>
            <wp:positionV relativeFrom="paragraph">
              <wp:posOffset>116205</wp:posOffset>
            </wp:positionV>
            <wp:extent cx="3762375" cy="2185035"/>
            <wp:effectExtent l="0" t="0" r="9525" b="24765"/>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1B4CCE63">
      <w:pPr>
        <w:pStyle w:val="2"/>
        <w:spacing w:before="93"/>
      </w:pPr>
    </w:p>
    <w:p w14:paraId="2B412AEA">
      <w:pPr>
        <w:pStyle w:val="2"/>
        <w:spacing w:before="93"/>
      </w:pPr>
    </w:p>
    <w:p w14:paraId="010C479C">
      <w:pPr>
        <w:pStyle w:val="2"/>
        <w:spacing w:before="93"/>
      </w:pPr>
    </w:p>
    <w:p w14:paraId="0C37BC6F">
      <w:pPr>
        <w:pStyle w:val="2"/>
        <w:spacing w:before="93"/>
      </w:pPr>
    </w:p>
    <w:p w14:paraId="108E3B1E">
      <w:pPr>
        <w:spacing w:line="600" w:lineRule="exact"/>
        <w:ind w:firstLine="640"/>
        <w:rPr>
          <w:rFonts w:ascii="仿宋_GB2312" w:eastAsia="仿宋_GB2312"/>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rPr>
        <w:t>0万元，</w:t>
      </w:r>
      <w:r>
        <w:rPr>
          <w:rStyle w:val="15"/>
          <w:rFonts w:hint="eastAsia" w:ascii="仿宋" w:hAnsi="仿宋" w:eastAsia="仿宋"/>
          <w:b w:val="0"/>
          <w:bCs/>
          <w:sz w:val="32"/>
          <w:szCs w:val="32"/>
        </w:rPr>
        <w:t>完成预算0</w:t>
      </w:r>
      <w:r>
        <w:rPr>
          <w:rStyle w:val="15"/>
          <w:rFonts w:ascii="仿宋" w:hAnsi="仿宋" w:eastAsia="仿宋"/>
          <w:b w:val="0"/>
          <w:bCs/>
          <w:sz w:val="32"/>
          <w:szCs w:val="32"/>
        </w:rPr>
        <w:t>%</w:t>
      </w:r>
      <w:r>
        <w:rPr>
          <w:rStyle w:val="15"/>
          <w:rFonts w:hint="eastAsia" w:ascii="仿宋" w:hAnsi="仿宋" w:eastAsia="仿宋"/>
          <w:b w:val="0"/>
          <w:bCs/>
          <w:sz w:val="32"/>
          <w:szCs w:val="32"/>
        </w:rPr>
        <w:t>。</w:t>
      </w:r>
      <w:r>
        <w:rPr>
          <w:rFonts w:hint="eastAsia" w:ascii="仿宋_GB2312" w:eastAsia="仿宋_GB2312"/>
          <w:sz w:val="32"/>
          <w:szCs w:val="32"/>
        </w:rPr>
        <w:t>全年安排因公出国（境）团组0次，出国（境）0人。因公出国（境）支出决算比</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1</w:t>
      </w:r>
      <w:r>
        <w:rPr>
          <w:rFonts w:hint="eastAsia" w:ascii="仿宋_GB2312" w:eastAsia="仿宋_GB2312"/>
          <w:sz w:val="32"/>
          <w:szCs w:val="32"/>
        </w:rPr>
        <w:t>年增加</w:t>
      </w:r>
      <w:r>
        <w:rPr>
          <w:rFonts w:ascii="仿宋_GB2312" w:eastAsia="仿宋_GB2312"/>
          <w:sz w:val="32"/>
          <w:szCs w:val="32"/>
        </w:rPr>
        <w:t>/</w:t>
      </w:r>
      <w:r>
        <w:rPr>
          <w:rFonts w:hint="eastAsia" w:ascii="仿宋_GB2312" w:eastAsia="仿宋_GB2312"/>
          <w:sz w:val="32"/>
          <w:szCs w:val="32"/>
        </w:rPr>
        <w:t>减少0万元，增长</w:t>
      </w:r>
      <w:r>
        <w:rPr>
          <w:rFonts w:ascii="仿宋_GB2312" w:eastAsia="仿宋_GB2312"/>
          <w:sz w:val="32"/>
          <w:szCs w:val="32"/>
        </w:rPr>
        <w:t>/</w:t>
      </w:r>
      <w:r>
        <w:rPr>
          <w:rFonts w:hint="eastAsia" w:ascii="仿宋_GB2312" w:eastAsia="仿宋_GB2312"/>
          <w:sz w:val="32"/>
          <w:szCs w:val="32"/>
        </w:rPr>
        <w:t>下降0</w:t>
      </w:r>
      <w:r>
        <w:rPr>
          <w:rFonts w:ascii="仿宋_GB2312" w:eastAsia="仿宋_GB2312"/>
          <w:sz w:val="32"/>
          <w:szCs w:val="32"/>
        </w:rPr>
        <w:t>%</w:t>
      </w:r>
      <w:r>
        <w:rPr>
          <w:rFonts w:hint="eastAsia" w:ascii="仿宋_GB2312" w:eastAsia="仿宋_GB2312"/>
          <w:sz w:val="32"/>
          <w:szCs w:val="32"/>
        </w:rPr>
        <w:t>。</w:t>
      </w:r>
    </w:p>
    <w:p w14:paraId="41FC5C50">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rPr>
        <w:t>0万元,</w:t>
      </w:r>
      <w:r>
        <w:rPr>
          <w:rStyle w:val="15"/>
          <w:rFonts w:hint="eastAsia" w:ascii="仿宋" w:hAnsi="仿宋" w:eastAsia="仿宋"/>
          <w:b w:val="0"/>
          <w:bCs/>
          <w:sz w:val="32"/>
          <w:szCs w:val="32"/>
        </w:rPr>
        <w:t>完成预算0</w:t>
      </w:r>
      <w:r>
        <w:rPr>
          <w:rStyle w:val="15"/>
          <w:rFonts w:ascii="仿宋" w:hAnsi="仿宋" w:eastAsia="仿宋"/>
          <w:b w:val="0"/>
          <w:bCs/>
          <w:sz w:val="32"/>
          <w:szCs w:val="32"/>
        </w:rPr>
        <w:t>%</w:t>
      </w:r>
      <w:r>
        <w:rPr>
          <w:rStyle w:val="15"/>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1</w:t>
      </w:r>
      <w:r>
        <w:rPr>
          <w:rFonts w:hint="eastAsia" w:ascii="仿宋_GB2312" w:eastAsia="仿宋_GB2312"/>
          <w:sz w:val="32"/>
          <w:szCs w:val="32"/>
        </w:rPr>
        <w:t>年增加</w:t>
      </w:r>
      <w:r>
        <w:rPr>
          <w:rFonts w:ascii="仿宋_GB2312" w:eastAsia="仿宋_GB2312"/>
          <w:sz w:val="32"/>
          <w:szCs w:val="32"/>
        </w:rPr>
        <w:t>/</w:t>
      </w:r>
      <w:r>
        <w:rPr>
          <w:rFonts w:hint="eastAsia" w:ascii="仿宋_GB2312" w:eastAsia="仿宋_GB2312"/>
          <w:sz w:val="32"/>
          <w:szCs w:val="32"/>
        </w:rPr>
        <w:t>减少0万元，增长</w:t>
      </w:r>
      <w:r>
        <w:rPr>
          <w:rFonts w:ascii="仿宋_GB2312" w:eastAsia="仿宋_GB2312"/>
          <w:sz w:val="32"/>
          <w:szCs w:val="32"/>
        </w:rPr>
        <w:t>/</w:t>
      </w:r>
      <w:r>
        <w:rPr>
          <w:rFonts w:hint="eastAsia" w:ascii="仿宋_GB2312" w:eastAsia="仿宋_GB2312"/>
          <w:sz w:val="32"/>
          <w:szCs w:val="32"/>
        </w:rPr>
        <w:t>下降0</w:t>
      </w:r>
      <w:r>
        <w:rPr>
          <w:rFonts w:ascii="仿宋_GB2312" w:eastAsia="仿宋_GB2312"/>
          <w:sz w:val="32"/>
          <w:szCs w:val="32"/>
        </w:rPr>
        <w:t>%</w:t>
      </w:r>
      <w:r>
        <w:rPr>
          <w:rFonts w:hint="eastAsia" w:ascii="仿宋_GB2312" w:eastAsia="仿宋_GB2312"/>
          <w:sz w:val="32"/>
          <w:szCs w:val="32"/>
        </w:rPr>
        <w:t>。</w:t>
      </w:r>
    </w:p>
    <w:p w14:paraId="5C6F7C66">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rPr>
        <w:t>0万元。全年按规定更新购置公务用车0辆，其中：轿车0辆、金额0万元，越野车0辆、金额0万元，载客汽车0辆、金额0万元。截至</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月底，单位共有公务用车0辆，其中：轿车0辆、越野车0辆、载客汽车0辆。</w:t>
      </w:r>
    </w:p>
    <w:p w14:paraId="45B5C004">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rPr>
        <w:t>0万元。</w:t>
      </w:r>
    </w:p>
    <w:p w14:paraId="67388C8C">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lang w:val="en-US" w:eastAsia="zh-CN"/>
        </w:rPr>
        <w:t>2350</w:t>
      </w:r>
      <w:r>
        <w:rPr>
          <w:rFonts w:hint="eastAsia" w:ascii="仿宋_GB2312" w:eastAsia="仿宋_GB2312"/>
          <w:sz w:val="32"/>
          <w:szCs w:val="32"/>
        </w:rPr>
        <w:t>元，</w:t>
      </w:r>
      <w:r>
        <w:rPr>
          <w:rStyle w:val="15"/>
          <w:rFonts w:hint="eastAsia" w:ascii="仿宋" w:hAnsi="仿宋" w:eastAsia="仿宋"/>
          <w:b w:val="0"/>
          <w:bCs/>
          <w:sz w:val="32"/>
          <w:szCs w:val="32"/>
        </w:rPr>
        <w:t>完成预算</w:t>
      </w:r>
      <w:r>
        <w:rPr>
          <w:rStyle w:val="15"/>
          <w:rFonts w:hint="eastAsia" w:ascii="仿宋" w:hAnsi="仿宋" w:eastAsia="仿宋"/>
          <w:b w:val="0"/>
          <w:bCs/>
          <w:sz w:val="32"/>
          <w:szCs w:val="32"/>
          <w:lang w:val="en-US" w:eastAsia="zh-CN"/>
        </w:rPr>
        <w:t>100</w:t>
      </w:r>
      <w:r>
        <w:rPr>
          <w:rStyle w:val="15"/>
          <w:rFonts w:ascii="仿宋" w:hAnsi="仿宋" w:eastAsia="仿宋"/>
          <w:b w:val="0"/>
          <w:bCs/>
          <w:sz w:val="32"/>
          <w:szCs w:val="32"/>
        </w:rPr>
        <w:t>%</w:t>
      </w:r>
      <w:r>
        <w:rPr>
          <w:rStyle w:val="15"/>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1</w:t>
      </w:r>
      <w:r>
        <w:rPr>
          <w:rFonts w:hint="eastAsia" w:ascii="仿宋_GB2312" w:eastAsia="仿宋_GB2312"/>
          <w:sz w:val="32"/>
          <w:szCs w:val="32"/>
        </w:rPr>
        <w:t>年增加</w:t>
      </w:r>
      <w:r>
        <w:rPr>
          <w:rFonts w:hint="eastAsia" w:ascii="仿宋_GB2312" w:eastAsia="仿宋_GB2312"/>
          <w:sz w:val="32"/>
          <w:szCs w:val="32"/>
          <w:lang w:val="en-US" w:eastAsia="zh-CN"/>
        </w:rPr>
        <w:t>750</w:t>
      </w:r>
      <w:r>
        <w:rPr>
          <w:rFonts w:hint="eastAsia" w:ascii="仿宋_GB2312" w:eastAsia="仿宋_GB2312"/>
          <w:sz w:val="32"/>
          <w:szCs w:val="32"/>
        </w:rPr>
        <w:t>元，增长</w:t>
      </w:r>
      <w:r>
        <w:rPr>
          <w:rFonts w:hint="eastAsia" w:ascii="仿宋_GB2312" w:eastAsia="仿宋_GB2312"/>
          <w:sz w:val="32"/>
          <w:szCs w:val="32"/>
          <w:lang w:val="en-US" w:eastAsia="zh-CN"/>
        </w:rPr>
        <w:t>46.86</w:t>
      </w:r>
      <w:r>
        <w:rPr>
          <w:rFonts w:ascii="仿宋_GB2312" w:eastAsia="仿宋_GB2312"/>
          <w:sz w:val="32"/>
          <w:szCs w:val="32"/>
        </w:rPr>
        <w:t>%</w:t>
      </w:r>
      <w:r>
        <w:rPr>
          <w:rFonts w:hint="eastAsia" w:ascii="仿宋_GB2312" w:eastAsia="仿宋_GB2312"/>
          <w:sz w:val="32"/>
          <w:szCs w:val="32"/>
        </w:rPr>
        <w:t>。主要原因是本年接待批次多一点。其中：</w:t>
      </w:r>
    </w:p>
    <w:p w14:paraId="0BECF766">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sz w:val="32"/>
          <w:szCs w:val="32"/>
          <w:lang w:val="en-US" w:eastAsia="zh-CN"/>
        </w:rPr>
        <w:t>2350</w:t>
      </w:r>
      <w:r>
        <w:rPr>
          <w:rFonts w:hint="eastAsia" w:ascii="仿宋_GB2312" w:eastAsia="仿宋_GB2312"/>
          <w:sz w:val="32"/>
          <w:szCs w:val="32"/>
        </w:rPr>
        <w:t>元，主要用于开展业务活动开支的工作用餐费。国内公务接待</w:t>
      </w:r>
      <w:r>
        <w:rPr>
          <w:rFonts w:hint="eastAsia" w:ascii="仿宋_GB2312" w:eastAsia="仿宋_GB2312"/>
          <w:sz w:val="32"/>
          <w:szCs w:val="32"/>
          <w:lang w:val="en-US" w:eastAsia="zh-CN"/>
        </w:rPr>
        <w:t>6</w:t>
      </w:r>
      <w:r>
        <w:rPr>
          <w:rFonts w:hint="eastAsia" w:ascii="仿宋_GB2312" w:eastAsia="仿宋_GB2312"/>
          <w:sz w:val="32"/>
          <w:szCs w:val="32"/>
        </w:rPr>
        <w:t>批次，</w:t>
      </w:r>
      <w:r>
        <w:rPr>
          <w:rFonts w:hint="eastAsia" w:ascii="仿宋_GB2312" w:eastAsia="仿宋_GB2312"/>
          <w:sz w:val="32"/>
          <w:szCs w:val="32"/>
          <w:lang w:val="en-US" w:eastAsia="zh-CN"/>
        </w:rPr>
        <w:t>48</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2350</w:t>
      </w:r>
      <w:r>
        <w:rPr>
          <w:rFonts w:hint="eastAsia" w:ascii="仿宋_GB2312" w:eastAsia="仿宋_GB2312"/>
          <w:sz w:val="32"/>
          <w:szCs w:val="32"/>
        </w:rPr>
        <w:t>元，具体内容包括：202</w:t>
      </w:r>
      <w:r>
        <w:rPr>
          <w:rFonts w:hint="eastAsia" w:ascii="仿宋_GB2312" w:eastAsia="仿宋_GB2312"/>
          <w:sz w:val="32"/>
          <w:szCs w:val="32"/>
          <w:lang w:val="en-US" w:eastAsia="zh-CN"/>
        </w:rPr>
        <w:t>2</w:t>
      </w:r>
      <w:r>
        <w:rPr>
          <w:rFonts w:hint="eastAsia" w:ascii="仿宋_GB2312" w:eastAsia="仿宋_GB2312"/>
          <w:sz w:val="32"/>
          <w:szCs w:val="32"/>
        </w:rPr>
        <w:t>年度秋季开学安全评估与督导检查，安全卫生、防疫等检查，乐山凌云幼儿园对口帮扶送教与专题指导活动。</w:t>
      </w:r>
    </w:p>
    <w:p w14:paraId="69A2E0F5">
      <w:pPr>
        <w:spacing w:line="600" w:lineRule="exact"/>
        <w:ind w:firstLine="643" w:firstLineChars="200"/>
        <w:rPr>
          <w:rFonts w:ascii="仿宋_GB2312" w:eastAsia="仿宋_GB2312"/>
          <w:sz w:val="32"/>
          <w:szCs w:val="32"/>
        </w:rPr>
      </w:pPr>
      <w:r>
        <w:rPr>
          <w:rFonts w:hint="eastAsia" w:ascii="仿宋" w:hAnsi="仿宋" w:eastAsia="仿宋"/>
          <w:b/>
          <w:sz w:val="32"/>
          <w:szCs w:val="32"/>
        </w:rPr>
        <w:t>外事接待支出</w:t>
      </w:r>
      <w:r>
        <w:rPr>
          <w:rFonts w:hint="eastAsia" w:ascii="仿宋" w:hAnsi="仿宋" w:eastAsia="仿宋"/>
          <w:sz w:val="32"/>
          <w:szCs w:val="32"/>
        </w:rPr>
        <w:t>0</w:t>
      </w:r>
      <w:r>
        <w:rPr>
          <w:rFonts w:hint="eastAsia" w:ascii="仿宋_GB2312" w:eastAsia="仿宋_GB2312"/>
          <w:sz w:val="32"/>
          <w:szCs w:val="32"/>
        </w:rPr>
        <w:t>万元，外事接待0批次，0人，共计支出0万元。</w:t>
      </w:r>
    </w:p>
    <w:p w14:paraId="6ACB478D">
      <w:pPr>
        <w:spacing w:line="600" w:lineRule="exact"/>
        <w:ind w:firstLine="640"/>
        <w:outlineLvl w:val="1"/>
        <w:rPr>
          <w:rFonts w:ascii="黑体" w:eastAsia="黑体"/>
          <w:sz w:val="32"/>
          <w:szCs w:val="32"/>
        </w:rPr>
      </w:pPr>
      <w:bookmarkStart w:id="40" w:name="_Toc15396610"/>
      <w:bookmarkStart w:id="41" w:name="_Toc15377218"/>
    </w:p>
    <w:p w14:paraId="203C2D68">
      <w:pPr>
        <w:spacing w:line="600" w:lineRule="exact"/>
        <w:ind w:firstLine="640"/>
        <w:outlineLvl w:val="1"/>
        <w:rPr>
          <w:rStyle w:val="26"/>
          <w:rFonts w:ascii="黑体" w:hAnsi="黑体" w:eastAsia="黑体"/>
        </w:rPr>
      </w:pPr>
      <w:r>
        <w:rPr>
          <w:rFonts w:hint="eastAsia" w:ascii="黑体" w:eastAsia="黑体"/>
          <w:sz w:val="32"/>
          <w:szCs w:val="32"/>
        </w:rPr>
        <w:t>八、</w:t>
      </w:r>
      <w:r>
        <w:rPr>
          <w:rStyle w:val="26"/>
          <w:rFonts w:hint="eastAsia" w:ascii="黑体" w:hAnsi="黑体" w:eastAsia="黑体"/>
          <w:b w:val="0"/>
        </w:rPr>
        <w:t>政府性基金预算支出决算情况说明</w:t>
      </w:r>
      <w:bookmarkEnd w:id="40"/>
      <w:bookmarkEnd w:id="41"/>
    </w:p>
    <w:p w14:paraId="127A5A5A">
      <w:pPr>
        <w:spacing w:line="600" w:lineRule="exact"/>
        <w:ind w:firstLine="640"/>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年政府性基金预算财政拨款支出0万元。</w:t>
      </w:r>
    </w:p>
    <w:p w14:paraId="79EDE946">
      <w:pPr>
        <w:numPr>
          <w:ilvl w:val="0"/>
          <w:numId w:val="2"/>
        </w:numPr>
        <w:spacing w:line="600" w:lineRule="exact"/>
        <w:ind w:firstLine="640"/>
        <w:outlineLvl w:val="1"/>
        <w:rPr>
          <w:rStyle w:val="26"/>
          <w:rFonts w:ascii="黑体" w:hAnsi="黑体" w:eastAsia="黑体"/>
          <w:b w:val="0"/>
        </w:rPr>
      </w:pPr>
      <w:bookmarkStart w:id="42" w:name="_Toc15396611"/>
      <w:bookmarkStart w:id="43" w:name="_Toc15377219"/>
      <w:r>
        <w:rPr>
          <w:rStyle w:val="26"/>
          <w:rFonts w:hint="eastAsia" w:ascii="黑体" w:hAnsi="黑体" w:eastAsia="黑体"/>
          <w:b w:val="0"/>
        </w:rPr>
        <w:t>国有资本经营预算支出决算情况说明</w:t>
      </w:r>
      <w:bookmarkEnd w:id="42"/>
      <w:bookmarkEnd w:id="43"/>
    </w:p>
    <w:p w14:paraId="5371EEFC">
      <w:pPr>
        <w:spacing w:line="600" w:lineRule="exact"/>
        <w:ind w:firstLine="640"/>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年国有资本经营预算财政拨款支出0万元。</w:t>
      </w:r>
    </w:p>
    <w:p w14:paraId="601E8D97">
      <w:pPr>
        <w:numPr>
          <w:ilvl w:val="0"/>
          <w:numId w:val="2"/>
        </w:numPr>
        <w:spacing w:line="600" w:lineRule="exact"/>
        <w:ind w:firstLine="640"/>
        <w:outlineLvl w:val="1"/>
        <w:rPr>
          <w:rStyle w:val="26"/>
          <w:rFonts w:ascii="黑体" w:hAnsi="黑体" w:eastAsia="黑体"/>
          <w:b w:val="0"/>
        </w:rPr>
      </w:pPr>
      <w:bookmarkStart w:id="44" w:name="_Toc15396612"/>
      <w:bookmarkStart w:id="45" w:name="_Toc15377221"/>
      <w:r>
        <w:rPr>
          <w:rStyle w:val="26"/>
          <w:rFonts w:hint="eastAsia" w:ascii="黑体" w:hAnsi="黑体" w:eastAsia="黑体"/>
          <w:b w:val="0"/>
        </w:rPr>
        <w:t>其他重要事项的情况说明</w:t>
      </w:r>
      <w:bookmarkEnd w:id="44"/>
      <w:bookmarkEnd w:id="45"/>
    </w:p>
    <w:p w14:paraId="301AED4A">
      <w:pPr>
        <w:spacing w:line="600" w:lineRule="exact"/>
        <w:ind w:firstLine="643" w:firstLineChars="200"/>
        <w:outlineLvl w:val="2"/>
        <w:rPr>
          <w:rFonts w:ascii="仿宋" w:hAnsi="仿宋" w:eastAsia="仿宋"/>
          <w:sz w:val="32"/>
          <w:szCs w:val="32"/>
        </w:rPr>
      </w:pPr>
      <w:bookmarkStart w:id="46" w:name="_Toc15377222"/>
      <w:r>
        <w:rPr>
          <w:rFonts w:hint="eastAsia" w:ascii="仿宋" w:hAnsi="仿宋" w:eastAsia="仿宋"/>
          <w:b/>
          <w:sz w:val="32"/>
          <w:szCs w:val="32"/>
        </w:rPr>
        <w:t>（一）机关运行经费支出情况</w:t>
      </w:r>
      <w:bookmarkEnd w:id="46"/>
    </w:p>
    <w:p w14:paraId="59A33E66">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年，峨边彝族自治县杨村乡中心小学机关运行经费支出0万元，与</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1</w:t>
      </w:r>
      <w:r>
        <w:rPr>
          <w:rFonts w:hint="eastAsia" w:ascii="仿宋_GB2312" w:eastAsia="仿宋_GB2312"/>
          <w:sz w:val="32"/>
          <w:szCs w:val="32"/>
        </w:rPr>
        <w:t>年决算数持平。</w:t>
      </w:r>
    </w:p>
    <w:p w14:paraId="08EF4905">
      <w:pPr>
        <w:autoSpaceDE w:val="0"/>
        <w:autoSpaceDN w:val="0"/>
        <w:adjustRightInd w:val="0"/>
        <w:spacing w:line="600" w:lineRule="exact"/>
        <w:ind w:firstLine="643" w:firstLineChars="200"/>
        <w:jc w:val="left"/>
        <w:outlineLvl w:val="2"/>
        <w:rPr>
          <w:rFonts w:ascii="仿宋" w:hAnsi="仿宋" w:eastAsia="仿宋"/>
          <w:b/>
          <w:sz w:val="32"/>
          <w:szCs w:val="32"/>
        </w:rPr>
      </w:pPr>
      <w:bookmarkStart w:id="47" w:name="_Toc15377223"/>
      <w:r>
        <w:rPr>
          <w:rFonts w:hint="eastAsia" w:ascii="仿宋" w:hAnsi="仿宋" w:eastAsia="仿宋"/>
          <w:b/>
          <w:sz w:val="32"/>
          <w:szCs w:val="32"/>
        </w:rPr>
        <w:t>（二）政府采购支出情况</w:t>
      </w:r>
      <w:bookmarkEnd w:id="47"/>
    </w:p>
    <w:p w14:paraId="29087E34">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年，峨边彝族自治县杨村乡中心小学政府采购支出总额0万元，其中：政府采购货物支出0万元、政府采购工程支出0万元、政府采购服务支出0万元。授予中小企业合同金额0万元，占政府采购支出总额的0</w:t>
      </w:r>
      <w:r>
        <w:rPr>
          <w:rFonts w:ascii="仿宋_GB2312" w:eastAsia="仿宋_GB2312"/>
          <w:sz w:val="32"/>
          <w:szCs w:val="32"/>
        </w:rPr>
        <w:t>%</w:t>
      </w:r>
      <w:r>
        <w:rPr>
          <w:rFonts w:hint="eastAsia" w:ascii="仿宋_GB2312" w:eastAsia="仿宋_GB2312"/>
          <w:sz w:val="32"/>
          <w:szCs w:val="32"/>
        </w:rPr>
        <w:t>，其中：授予小微企业合同金额0万元，占政府采购支出总额的0</w:t>
      </w:r>
      <w:r>
        <w:rPr>
          <w:rFonts w:ascii="仿宋_GB2312" w:eastAsia="仿宋_GB2312"/>
          <w:sz w:val="32"/>
          <w:szCs w:val="32"/>
        </w:rPr>
        <w:t>%</w:t>
      </w:r>
      <w:r>
        <w:rPr>
          <w:rFonts w:hint="eastAsia" w:ascii="仿宋_GB2312" w:eastAsia="仿宋_GB2312"/>
          <w:sz w:val="32"/>
          <w:szCs w:val="32"/>
        </w:rPr>
        <w:t>。</w:t>
      </w:r>
    </w:p>
    <w:p w14:paraId="0858F3C8">
      <w:pPr>
        <w:autoSpaceDE w:val="0"/>
        <w:autoSpaceDN w:val="0"/>
        <w:adjustRightInd w:val="0"/>
        <w:spacing w:line="600" w:lineRule="exact"/>
        <w:ind w:firstLine="643" w:firstLineChars="200"/>
        <w:jc w:val="left"/>
        <w:outlineLvl w:val="2"/>
        <w:rPr>
          <w:rFonts w:ascii="仿宋" w:hAnsi="仿宋" w:eastAsia="仿宋"/>
          <w:b/>
          <w:sz w:val="32"/>
          <w:szCs w:val="32"/>
        </w:rPr>
      </w:pPr>
      <w:bookmarkStart w:id="48" w:name="_Toc15377224"/>
      <w:r>
        <w:rPr>
          <w:rFonts w:hint="eastAsia" w:ascii="仿宋" w:hAnsi="仿宋" w:eastAsia="仿宋"/>
          <w:b/>
          <w:sz w:val="32"/>
          <w:szCs w:val="32"/>
        </w:rPr>
        <w:t>（三）国有资产占有使用情况</w:t>
      </w:r>
      <w:bookmarkEnd w:id="48"/>
    </w:p>
    <w:p w14:paraId="6B20D690">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日，峨边彝族自治县杨村乡中心小学共有车辆0辆，其中：主要领导干部用车0辆、机要通信用车0辆、应急保障用车0辆、其他用车0辆。单价</w:t>
      </w:r>
      <w:r>
        <w:rPr>
          <w:rFonts w:ascii="仿宋_GB2312" w:eastAsia="仿宋_GB2312"/>
          <w:sz w:val="32"/>
          <w:szCs w:val="32"/>
        </w:rPr>
        <w:t>50</w:t>
      </w:r>
      <w:r>
        <w:rPr>
          <w:rFonts w:hint="eastAsia" w:ascii="仿宋_GB2312" w:eastAsia="仿宋_GB2312"/>
          <w:sz w:val="32"/>
          <w:szCs w:val="32"/>
        </w:rPr>
        <w:t>万元以上通用设备0台（套），单价</w:t>
      </w:r>
      <w:r>
        <w:rPr>
          <w:rFonts w:ascii="仿宋_GB2312" w:eastAsia="仿宋_GB2312"/>
          <w:sz w:val="32"/>
          <w:szCs w:val="32"/>
        </w:rPr>
        <w:t>100</w:t>
      </w:r>
      <w:r>
        <w:rPr>
          <w:rFonts w:hint="eastAsia" w:ascii="仿宋_GB2312" w:eastAsia="仿宋_GB2312"/>
          <w:sz w:val="32"/>
          <w:szCs w:val="32"/>
        </w:rPr>
        <w:t>万元以上专用设备0台（套）。</w:t>
      </w:r>
    </w:p>
    <w:p w14:paraId="315E3B36">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14:paraId="6D8AC2F5">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单位在2021年度预算编制阶段，组织对0项目（项目名称）等0个项目开展了预算事前绩效评估，对0个项目编制了绩效目标，预算执行过程中，选取0个项目开展绩效监控，年终执行完毕后，对0个项目开展了绩效自评。</w:t>
      </w:r>
    </w:p>
    <w:p w14:paraId="4E7FA2CC">
      <w:pPr>
        <w:pStyle w:val="2"/>
        <w:spacing w:before="93"/>
        <w:ind w:firstLine="640" w:firstLineChars="200"/>
      </w:pPr>
      <w:r>
        <w:rPr>
          <w:rFonts w:hint="eastAsia" w:hAnsi="仿宋_GB2312" w:cs="仿宋_GB2312"/>
          <w:sz w:val="32"/>
          <w:szCs w:val="32"/>
        </w:rPr>
        <w:t>本单位按要求对</w:t>
      </w:r>
      <w:r>
        <w:rPr>
          <w:rFonts w:hAnsi="仿宋_GB2312" w:cs="仿宋_GB2312"/>
          <w:sz w:val="32"/>
          <w:szCs w:val="32"/>
        </w:rPr>
        <w:t>202</w:t>
      </w:r>
      <w:r>
        <w:rPr>
          <w:rFonts w:hint="eastAsia" w:hAnsi="仿宋_GB2312" w:cs="仿宋_GB2312"/>
          <w:sz w:val="32"/>
          <w:szCs w:val="32"/>
          <w:lang w:val="en-US" w:eastAsia="zh-CN"/>
        </w:rPr>
        <w:t>2</w:t>
      </w:r>
      <w:r>
        <w:rPr>
          <w:rFonts w:hint="eastAsia" w:hAnsi="仿宋_GB2312" w:cs="仿宋_GB2312"/>
          <w:sz w:val="32"/>
          <w:szCs w:val="32"/>
        </w:rPr>
        <w:t>年部门整体支出开展绩效自评，从评价情况来看</w:t>
      </w:r>
      <w:r>
        <w:rPr>
          <w:rFonts w:hint="eastAsia" w:ascii="仿宋" w:hAnsi="仿宋" w:eastAsia="仿宋"/>
          <w:color w:val="000000"/>
          <w:sz w:val="32"/>
          <w:szCs w:val="32"/>
        </w:rPr>
        <w:t>预、决算编制合理，整体支出情况良好， 保障了学校的正常运转，也保证了正常的开支。</w:t>
      </w:r>
      <w:r>
        <w:rPr>
          <w:rFonts w:hint="eastAsia" w:hAnsi="仿宋_GB2312" w:cs="仿宋_GB2312"/>
          <w:sz w:val="32"/>
          <w:szCs w:val="32"/>
        </w:rPr>
        <w:t>本部门还自行组织了0个项目支出绩效评价，从评价情况来看</w:t>
      </w:r>
      <w:r>
        <w:rPr>
          <w:rFonts w:hint="eastAsia" w:hAnsi="仿宋_GB2312" w:cs="仿宋_GB2312"/>
          <w:color w:val="000000"/>
          <w:sz w:val="32"/>
          <w:szCs w:val="32"/>
        </w:rPr>
        <w:t>本部门无专项预算项目，因此未组织开展项目支出绩效评价。</w:t>
      </w:r>
    </w:p>
    <w:p w14:paraId="6EBEFC49">
      <w:pPr>
        <w:pStyle w:val="2"/>
        <w:spacing w:before="93"/>
        <w:rPr>
          <w:highlight w:val="yellow"/>
        </w:rPr>
      </w:pPr>
    </w:p>
    <w:p w14:paraId="479CD815">
      <w:pPr>
        <w:widowControl/>
        <w:jc w:val="left"/>
        <w:rPr>
          <w:rFonts w:ascii="仿宋_GB2312" w:eastAsia="仿宋_GB2312"/>
          <w:b/>
          <w:sz w:val="32"/>
          <w:szCs w:val="32"/>
        </w:rPr>
      </w:pPr>
      <w:r>
        <w:rPr>
          <w:rFonts w:ascii="仿宋_GB2312" w:eastAsia="仿宋_GB2312"/>
          <w:b/>
          <w:sz w:val="32"/>
          <w:szCs w:val="32"/>
        </w:rPr>
        <w:br w:type="page"/>
      </w:r>
    </w:p>
    <w:p w14:paraId="452328D2">
      <w:pPr>
        <w:numPr>
          <w:ilvl w:val="0"/>
          <w:numId w:val="3"/>
        </w:numPr>
        <w:spacing w:line="600" w:lineRule="exact"/>
        <w:ind w:firstLine="660" w:firstLineChars="150"/>
        <w:jc w:val="center"/>
        <w:outlineLvl w:val="0"/>
        <w:rPr>
          <w:rStyle w:val="25"/>
          <w:rFonts w:ascii="黑体" w:hAnsi="黑体" w:eastAsia="黑体"/>
          <w:b w:val="0"/>
        </w:rPr>
      </w:pPr>
      <w:bookmarkStart w:id="49" w:name="_Toc15396613"/>
      <w:bookmarkStart w:id="50" w:name="_Toc15377225"/>
      <w:r>
        <w:rPr>
          <w:rFonts w:hint="eastAsia" w:ascii="黑体" w:hAnsi="黑体" w:eastAsia="黑体"/>
          <w:sz w:val="44"/>
          <w:szCs w:val="44"/>
        </w:rPr>
        <w:t>名</w:t>
      </w:r>
      <w:r>
        <w:rPr>
          <w:rStyle w:val="25"/>
          <w:rFonts w:hint="eastAsia" w:ascii="黑体" w:hAnsi="黑体" w:eastAsia="黑体"/>
          <w:b w:val="0"/>
        </w:rPr>
        <w:t>词解释</w:t>
      </w:r>
      <w:bookmarkEnd w:id="49"/>
      <w:bookmarkEnd w:id="50"/>
    </w:p>
    <w:p w14:paraId="38CC5F9F">
      <w:pPr>
        <w:spacing w:line="600" w:lineRule="exact"/>
        <w:jc w:val="left"/>
        <w:rPr>
          <w:rFonts w:ascii="宋体"/>
          <w:b/>
          <w:sz w:val="44"/>
          <w:szCs w:val="44"/>
        </w:rPr>
      </w:pPr>
    </w:p>
    <w:p w14:paraId="57CEFDD9">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14:paraId="310984B7">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14:paraId="0B6D6C5D">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14:paraId="22DCEF77">
      <w:pPr>
        <w:pStyle w:val="23"/>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4</w:t>
      </w:r>
      <w:r>
        <w:rPr>
          <w:rFonts w:ascii="仿宋_GB2312" w:eastAsia="仿宋_GB2312"/>
          <w:color w:val="auto"/>
          <w:sz w:val="32"/>
          <w:szCs w:val="32"/>
        </w:rPr>
        <w:t>.</w:t>
      </w:r>
      <w:r>
        <w:rPr>
          <w:rFonts w:hint="eastAsia" w:ascii="仿宋_GB2312" w:eastAsia="仿宋_GB2312"/>
          <w:color w:val="auto"/>
          <w:sz w:val="32"/>
          <w:szCs w:val="32"/>
        </w:rPr>
        <w:t>结余分配：指事业单位按照会计制度规定缴纳的所得税、提取的专用结余以及转入非财政拨款结余的金额等。</w:t>
      </w:r>
    </w:p>
    <w:p w14:paraId="7934BD88">
      <w:pPr>
        <w:pStyle w:val="23"/>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5、年末结转和结余：指单位按有关规定结转到下年或以后年度继续使用的资金。</w:t>
      </w:r>
    </w:p>
    <w:p w14:paraId="4C49A2C7">
      <w:pPr>
        <w:ind w:firstLine="640" w:firstLineChars="200"/>
        <w:rPr>
          <w:rFonts w:ascii="仿宋_GB2312" w:eastAsia="仿宋_GB2312"/>
          <w:sz w:val="32"/>
          <w:szCs w:val="32"/>
        </w:rPr>
      </w:pPr>
      <w:r>
        <w:rPr>
          <w:rFonts w:hint="eastAsia" w:ascii="仿宋_GB2312" w:eastAsia="仿宋_GB2312"/>
          <w:sz w:val="32"/>
          <w:szCs w:val="32"/>
        </w:rPr>
        <w:t>6</w:t>
      </w:r>
      <w:r>
        <w:rPr>
          <w:rFonts w:ascii="仿宋_GB2312" w:eastAsia="仿宋_GB2312"/>
          <w:sz w:val="32"/>
          <w:szCs w:val="32"/>
        </w:rPr>
        <w:t>.</w:t>
      </w:r>
      <w:r>
        <w:rPr>
          <w:rStyle w:val="15"/>
          <w:rFonts w:hint="eastAsia" w:ascii="仿宋" w:hAnsi="仿宋" w:eastAsia="仿宋"/>
          <w:b w:val="0"/>
          <w:bCs/>
          <w:sz w:val="32"/>
          <w:szCs w:val="32"/>
        </w:rPr>
        <w:t xml:space="preserve"> 教育支出（类）普通教育（款）学前教育（项）：</w:t>
      </w:r>
      <w:r>
        <w:rPr>
          <w:rFonts w:hint="eastAsia" w:ascii="仿宋" w:hAnsi="仿宋" w:eastAsia="仿宋"/>
          <w:color w:val="000000"/>
          <w:sz w:val="32"/>
          <w:szCs w:val="32"/>
        </w:rPr>
        <w:t>指反映各部门举办的学前教育支出。</w:t>
      </w:r>
    </w:p>
    <w:p w14:paraId="46EBBE36">
      <w:pPr>
        <w:ind w:firstLine="640" w:firstLineChars="200"/>
        <w:rPr>
          <w:rStyle w:val="15"/>
          <w:rFonts w:ascii="仿宋" w:hAnsi="仿宋" w:eastAsia="仿宋"/>
          <w:b w:val="0"/>
          <w:bCs/>
          <w:sz w:val="32"/>
          <w:szCs w:val="32"/>
        </w:rPr>
      </w:pPr>
      <w:r>
        <w:rPr>
          <w:rStyle w:val="15"/>
          <w:rFonts w:hint="eastAsia" w:ascii="仿宋" w:hAnsi="仿宋" w:eastAsia="仿宋"/>
          <w:b w:val="0"/>
          <w:bCs/>
          <w:sz w:val="32"/>
          <w:szCs w:val="32"/>
        </w:rPr>
        <w:t>7.教育支出（类）普通教育（款）小学教育（项）：</w:t>
      </w:r>
      <w:r>
        <w:rPr>
          <w:rFonts w:hint="eastAsia" w:ascii="仿宋" w:hAnsi="仿宋" w:eastAsia="仿宋"/>
          <w:color w:val="000000"/>
          <w:sz w:val="32"/>
          <w:szCs w:val="32"/>
        </w:rPr>
        <w:t>指反映各部门举办的小学教育支出。</w:t>
      </w:r>
    </w:p>
    <w:p w14:paraId="5721B7BA">
      <w:pPr>
        <w:ind w:firstLine="640" w:firstLineChars="200"/>
        <w:rPr>
          <w:rStyle w:val="15"/>
          <w:rFonts w:ascii="仿宋" w:hAnsi="仿宋" w:eastAsia="仿宋"/>
          <w:b w:val="0"/>
          <w:bCs/>
          <w:sz w:val="32"/>
          <w:szCs w:val="32"/>
        </w:rPr>
      </w:pPr>
      <w:r>
        <w:rPr>
          <w:rStyle w:val="15"/>
          <w:rFonts w:hint="eastAsia" w:ascii="仿宋" w:hAnsi="仿宋" w:eastAsia="仿宋"/>
          <w:b w:val="0"/>
          <w:bCs/>
          <w:sz w:val="32"/>
          <w:szCs w:val="32"/>
        </w:rPr>
        <w:t>8.教育支出（类）普通教育（款）初中教育（项）：</w:t>
      </w:r>
      <w:r>
        <w:rPr>
          <w:rFonts w:hint="eastAsia" w:ascii="仿宋" w:hAnsi="仿宋" w:eastAsia="仿宋"/>
          <w:color w:val="000000"/>
          <w:sz w:val="32"/>
          <w:szCs w:val="32"/>
        </w:rPr>
        <w:t>指反映各部门举办的初中教育支出。</w:t>
      </w:r>
    </w:p>
    <w:p w14:paraId="04129DB6">
      <w:pPr>
        <w:ind w:firstLine="640" w:firstLineChars="200"/>
        <w:rPr>
          <w:rStyle w:val="15"/>
          <w:rFonts w:ascii="仿宋" w:hAnsi="仿宋" w:eastAsia="仿宋"/>
          <w:b w:val="0"/>
          <w:bCs/>
          <w:sz w:val="32"/>
          <w:szCs w:val="32"/>
        </w:rPr>
      </w:pPr>
      <w:r>
        <w:rPr>
          <w:rStyle w:val="15"/>
          <w:rFonts w:hint="eastAsia" w:ascii="仿宋" w:hAnsi="仿宋" w:eastAsia="仿宋"/>
          <w:b w:val="0"/>
          <w:bCs/>
          <w:sz w:val="32"/>
          <w:szCs w:val="32"/>
        </w:rPr>
        <w:t>9.教育支出（类）普通教育（款）高中教育（项）：</w:t>
      </w:r>
      <w:r>
        <w:rPr>
          <w:rFonts w:hint="eastAsia" w:ascii="仿宋" w:hAnsi="仿宋" w:eastAsia="仿宋"/>
          <w:color w:val="000000"/>
          <w:sz w:val="32"/>
          <w:szCs w:val="32"/>
        </w:rPr>
        <w:t>指反映各部门举办的高中教育支出。</w:t>
      </w:r>
    </w:p>
    <w:p w14:paraId="31567C3A">
      <w:pPr>
        <w:ind w:firstLine="640" w:firstLineChars="200"/>
        <w:rPr>
          <w:rStyle w:val="15"/>
          <w:rFonts w:ascii="仿宋" w:hAnsi="仿宋" w:eastAsia="仿宋"/>
          <w:b w:val="0"/>
          <w:bCs/>
          <w:sz w:val="32"/>
          <w:szCs w:val="32"/>
        </w:rPr>
      </w:pPr>
      <w:r>
        <w:rPr>
          <w:rStyle w:val="15"/>
          <w:rFonts w:hint="eastAsia" w:ascii="仿宋" w:hAnsi="仿宋" w:eastAsia="仿宋"/>
          <w:b w:val="0"/>
          <w:bCs/>
          <w:sz w:val="32"/>
          <w:szCs w:val="32"/>
        </w:rPr>
        <w:t>10.教育支出（类）教育费附加安排的支出（款）其他教育费附加安排的支出（项）</w:t>
      </w:r>
      <w:r>
        <w:rPr>
          <w:rStyle w:val="15"/>
          <w:rFonts w:ascii="仿宋" w:hAnsi="仿宋" w:eastAsia="仿宋"/>
          <w:b w:val="0"/>
          <w:bCs/>
          <w:sz w:val="32"/>
          <w:szCs w:val="32"/>
        </w:rPr>
        <w:t>:</w:t>
      </w:r>
      <w:r>
        <w:rPr>
          <w:rFonts w:hint="eastAsia" w:ascii="仿宋" w:hAnsi="仿宋" w:eastAsia="仿宋"/>
          <w:color w:val="000000"/>
          <w:sz w:val="32"/>
          <w:szCs w:val="32"/>
        </w:rPr>
        <w:t xml:space="preserve"> 指反映除上述项目以外教育费附加支出。</w:t>
      </w:r>
    </w:p>
    <w:p w14:paraId="0A09D217">
      <w:pPr>
        <w:ind w:firstLine="640" w:firstLineChars="200"/>
        <w:rPr>
          <w:rStyle w:val="15"/>
          <w:rFonts w:ascii="仿宋" w:hAnsi="仿宋" w:eastAsia="仿宋"/>
          <w:b w:val="0"/>
          <w:bCs/>
          <w:sz w:val="32"/>
          <w:szCs w:val="32"/>
        </w:rPr>
      </w:pPr>
      <w:r>
        <w:rPr>
          <w:rFonts w:hint="eastAsia" w:ascii="仿宋_GB2312" w:eastAsia="仿宋_GB2312"/>
          <w:sz w:val="32"/>
          <w:szCs w:val="32"/>
        </w:rPr>
        <w:t>11.</w:t>
      </w:r>
      <w:r>
        <w:rPr>
          <w:rStyle w:val="15"/>
          <w:rFonts w:hint="eastAsia" w:ascii="仿宋" w:hAnsi="仿宋" w:eastAsia="仿宋"/>
          <w:b w:val="0"/>
          <w:bCs/>
          <w:sz w:val="32"/>
          <w:szCs w:val="32"/>
        </w:rPr>
        <w:t>社会保障和就业支出（类）行政事业单位养老支出（款）机关事业单位基本养老保险缴费支出（项）</w:t>
      </w:r>
      <w:r>
        <w:rPr>
          <w:rStyle w:val="15"/>
          <w:rFonts w:ascii="仿宋" w:hAnsi="仿宋" w:eastAsia="仿宋"/>
          <w:b w:val="0"/>
          <w:bCs/>
          <w:sz w:val="32"/>
          <w:szCs w:val="32"/>
        </w:rPr>
        <w:t>:</w:t>
      </w:r>
      <w:r>
        <w:rPr>
          <w:rFonts w:hint="eastAsia" w:ascii="仿宋" w:hAnsi="仿宋" w:eastAsia="仿宋" w:cs="宋体"/>
          <w:color w:val="000000" w:themeColor="text1"/>
          <w:kern w:val="0"/>
          <w:sz w:val="32"/>
          <w:szCs w:val="32"/>
          <w14:textFill>
            <w14:solidFill>
              <w14:schemeClr w14:val="tx1"/>
            </w14:solidFill>
          </w14:textFill>
        </w:rPr>
        <w:t xml:space="preserve"> 指反映机关事业单位实施养老保险制度由单位缴纳的基本养老保险费支出。</w:t>
      </w:r>
    </w:p>
    <w:p w14:paraId="1CBBC6FF">
      <w:pPr>
        <w:ind w:firstLine="640" w:firstLineChars="200"/>
        <w:rPr>
          <w:rStyle w:val="15"/>
          <w:rFonts w:ascii="仿宋" w:hAnsi="仿宋" w:eastAsia="仿宋"/>
          <w:b w:val="0"/>
          <w:bCs/>
          <w:sz w:val="32"/>
          <w:szCs w:val="32"/>
        </w:rPr>
      </w:pPr>
      <w:r>
        <w:rPr>
          <w:rStyle w:val="15"/>
          <w:rFonts w:hint="eastAsia" w:ascii="仿宋" w:hAnsi="仿宋" w:eastAsia="仿宋"/>
          <w:b w:val="0"/>
          <w:bCs/>
          <w:sz w:val="32"/>
          <w:szCs w:val="32"/>
        </w:rPr>
        <w:t>12.社会保障和就业支出（类）行政事业单位养老支出（款）机关事业单位职业年金缴费支出（项）</w:t>
      </w:r>
      <w:r>
        <w:rPr>
          <w:rStyle w:val="15"/>
          <w:rFonts w:ascii="仿宋" w:hAnsi="仿宋" w:eastAsia="仿宋"/>
          <w:b w:val="0"/>
          <w:bCs/>
          <w:sz w:val="32"/>
          <w:szCs w:val="32"/>
        </w:rPr>
        <w:t>:</w:t>
      </w:r>
      <w:r>
        <w:rPr>
          <w:rFonts w:hint="eastAsia" w:ascii="仿宋" w:hAnsi="仿宋" w:eastAsia="仿宋" w:cs="宋体"/>
          <w:color w:val="000000" w:themeColor="text1"/>
          <w:kern w:val="0"/>
          <w:sz w:val="32"/>
          <w:szCs w:val="32"/>
          <w14:textFill>
            <w14:solidFill>
              <w14:schemeClr w14:val="tx1"/>
            </w14:solidFill>
          </w14:textFill>
        </w:rPr>
        <w:t xml:space="preserve"> 指反映机关事业单位实施养老保险制度由单位实际缴纳的职业年金支出。</w:t>
      </w:r>
    </w:p>
    <w:p w14:paraId="4497038D">
      <w:pPr>
        <w:ind w:firstLine="640" w:firstLineChars="200"/>
        <w:rPr>
          <w:rStyle w:val="15"/>
          <w:rFonts w:ascii="仿宋" w:hAnsi="仿宋" w:eastAsia="仿宋"/>
          <w:b w:val="0"/>
          <w:bCs/>
          <w:sz w:val="32"/>
          <w:szCs w:val="32"/>
        </w:rPr>
      </w:pPr>
      <w:r>
        <w:rPr>
          <w:rStyle w:val="15"/>
          <w:rFonts w:hint="eastAsia" w:ascii="仿宋" w:hAnsi="仿宋" w:eastAsia="仿宋"/>
          <w:b w:val="0"/>
          <w:bCs/>
          <w:sz w:val="32"/>
          <w:szCs w:val="32"/>
        </w:rPr>
        <w:t>13.社会保障和就业支出（类）其他社会保障和就业支出（款）其他社会保障和就业支出（项）</w:t>
      </w:r>
      <w:r>
        <w:rPr>
          <w:rStyle w:val="15"/>
          <w:rFonts w:ascii="仿宋" w:hAnsi="仿宋" w:eastAsia="仿宋"/>
          <w:b w:val="0"/>
          <w:bCs/>
          <w:sz w:val="32"/>
          <w:szCs w:val="32"/>
        </w:rPr>
        <w:t>:</w:t>
      </w:r>
      <w:r>
        <w:rPr>
          <w:rFonts w:hint="eastAsia" w:ascii="仿宋" w:hAnsi="仿宋" w:eastAsia="仿宋" w:cs="宋体"/>
          <w:color w:val="000000" w:themeColor="text1"/>
          <w:kern w:val="0"/>
          <w:sz w:val="32"/>
          <w:szCs w:val="32"/>
          <w14:textFill>
            <w14:solidFill>
              <w14:schemeClr w14:val="tx1"/>
            </w14:solidFill>
          </w14:textFill>
        </w:rPr>
        <w:t xml:space="preserve"> 指反映除上述项目以外其他用于</w:t>
      </w:r>
      <w:r>
        <w:rPr>
          <w:rStyle w:val="15"/>
          <w:rFonts w:hint="eastAsia" w:ascii="仿宋" w:hAnsi="仿宋" w:eastAsia="仿宋"/>
          <w:b w:val="0"/>
          <w:bCs/>
          <w:sz w:val="32"/>
          <w:szCs w:val="32"/>
        </w:rPr>
        <w:t>社会保障和就业方面的</w:t>
      </w:r>
      <w:r>
        <w:rPr>
          <w:rFonts w:hint="eastAsia" w:ascii="仿宋" w:hAnsi="仿宋" w:eastAsia="仿宋" w:cs="宋体"/>
          <w:color w:val="000000" w:themeColor="text1"/>
          <w:kern w:val="0"/>
          <w:sz w:val="32"/>
          <w:szCs w:val="32"/>
          <w14:textFill>
            <w14:solidFill>
              <w14:schemeClr w14:val="tx1"/>
            </w14:solidFill>
          </w14:textFill>
        </w:rPr>
        <w:t>支出</w:t>
      </w:r>
      <w:r>
        <w:rPr>
          <w:rFonts w:hint="eastAsia" w:ascii="宋体" w:hAnsi="宋体" w:cs="宋体"/>
          <w:color w:val="000000" w:themeColor="text1"/>
          <w:kern w:val="0"/>
          <w:sz w:val="32"/>
          <w:szCs w:val="32"/>
          <w14:textFill>
            <w14:solidFill>
              <w14:schemeClr w14:val="tx1"/>
            </w14:solidFill>
          </w14:textFill>
        </w:rPr>
        <w:t>。</w:t>
      </w:r>
    </w:p>
    <w:p w14:paraId="7A9BAC2B">
      <w:pPr>
        <w:ind w:firstLine="640" w:firstLineChars="200"/>
        <w:rPr>
          <w:rStyle w:val="15"/>
          <w:rFonts w:ascii="仿宋" w:hAnsi="仿宋" w:eastAsia="仿宋"/>
          <w:b w:val="0"/>
          <w:bCs/>
          <w:sz w:val="32"/>
          <w:szCs w:val="32"/>
        </w:rPr>
      </w:pPr>
      <w:r>
        <w:rPr>
          <w:rFonts w:hint="eastAsia" w:ascii="仿宋" w:hAnsi="仿宋" w:eastAsia="仿宋"/>
          <w:bCs/>
          <w:sz w:val="32"/>
          <w:szCs w:val="32"/>
        </w:rPr>
        <w:t>14.卫生健康支出</w:t>
      </w:r>
      <w:r>
        <w:rPr>
          <w:rStyle w:val="15"/>
          <w:rFonts w:hint="eastAsia" w:ascii="仿宋" w:hAnsi="仿宋" w:eastAsia="仿宋"/>
          <w:b w:val="0"/>
          <w:bCs/>
          <w:sz w:val="32"/>
          <w:szCs w:val="32"/>
        </w:rPr>
        <w:t>（类）行政事业单位医疗（款）事业单位医疗（项）</w:t>
      </w:r>
      <w:r>
        <w:rPr>
          <w:rStyle w:val="15"/>
          <w:rFonts w:ascii="仿宋" w:hAnsi="仿宋" w:eastAsia="仿宋"/>
          <w:b w:val="0"/>
          <w:bCs/>
          <w:sz w:val="32"/>
          <w:szCs w:val="32"/>
        </w:rPr>
        <w:t>:</w:t>
      </w:r>
      <w:r>
        <w:rPr>
          <w:rFonts w:hint="eastAsia" w:ascii="仿宋" w:hAnsi="仿宋" w:eastAsia="仿宋" w:cs="宋体"/>
          <w:color w:val="000000" w:themeColor="text1"/>
          <w:kern w:val="0"/>
          <w:sz w:val="32"/>
          <w:szCs w:val="32"/>
          <w14:textFill>
            <w14:solidFill>
              <w14:schemeClr w14:val="tx1"/>
            </w14:solidFill>
          </w14:textFill>
        </w:rPr>
        <w:t xml:space="preserve"> 指反映财政部门安排的事业单位基本医疗保险缴费经费，未参加医疗保险的事业单位的公费医疗经费，按国家规定享受离休人员待遇的医疗经费。</w:t>
      </w:r>
    </w:p>
    <w:p w14:paraId="731FFFF2">
      <w:pPr>
        <w:ind w:firstLine="640" w:firstLineChars="200"/>
        <w:rPr>
          <w:rStyle w:val="15"/>
          <w:rFonts w:ascii="仿宋" w:hAnsi="仿宋" w:eastAsia="仿宋"/>
          <w:b w:val="0"/>
          <w:bCs/>
          <w:sz w:val="32"/>
          <w:szCs w:val="32"/>
        </w:rPr>
      </w:pPr>
      <w:r>
        <w:rPr>
          <w:rFonts w:hint="eastAsia" w:ascii="仿宋" w:hAnsi="仿宋" w:eastAsia="仿宋"/>
          <w:bCs/>
          <w:sz w:val="32"/>
          <w:szCs w:val="32"/>
        </w:rPr>
        <w:t>15.卫生健康支出</w:t>
      </w:r>
      <w:r>
        <w:rPr>
          <w:rStyle w:val="15"/>
          <w:rFonts w:hint="eastAsia" w:ascii="仿宋" w:hAnsi="仿宋" w:eastAsia="仿宋"/>
          <w:b w:val="0"/>
          <w:bCs/>
          <w:sz w:val="32"/>
          <w:szCs w:val="32"/>
        </w:rPr>
        <w:t>（类）行政事业单位医疗（款）公务员医疗补助（项）</w:t>
      </w:r>
      <w:r>
        <w:rPr>
          <w:rStyle w:val="15"/>
          <w:rFonts w:ascii="仿宋" w:hAnsi="仿宋" w:eastAsia="仿宋"/>
          <w:b w:val="0"/>
          <w:bCs/>
          <w:sz w:val="32"/>
          <w:szCs w:val="32"/>
        </w:rPr>
        <w:t>:</w:t>
      </w:r>
      <w:r>
        <w:rPr>
          <w:rFonts w:hint="eastAsia" w:ascii="仿宋" w:hAnsi="仿宋" w:eastAsia="仿宋" w:cs="宋体"/>
          <w:color w:val="000000" w:themeColor="text1"/>
          <w:kern w:val="0"/>
          <w:sz w:val="32"/>
          <w:szCs w:val="32"/>
          <w14:textFill>
            <w14:solidFill>
              <w14:schemeClr w14:val="tx1"/>
            </w14:solidFill>
          </w14:textFill>
        </w:rPr>
        <w:t xml:space="preserve"> 指财政部门安排的</w:t>
      </w:r>
      <w:r>
        <w:rPr>
          <w:rStyle w:val="15"/>
          <w:rFonts w:hint="eastAsia" w:ascii="仿宋" w:hAnsi="仿宋" w:eastAsia="仿宋"/>
          <w:b w:val="0"/>
          <w:bCs/>
          <w:sz w:val="32"/>
          <w:szCs w:val="32"/>
        </w:rPr>
        <w:t>公务员</w:t>
      </w:r>
      <w:r>
        <w:rPr>
          <w:rFonts w:hint="eastAsia" w:ascii="仿宋" w:hAnsi="仿宋" w:eastAsia="仿宋" w:cs="宋体"/>
          <w:color w:val="000000" w:themeColor="text1"/>
          <w:kern w:val="0"/>
          <w:sz w:val="32"/>
          <w:szCs w:val="32"/>
          <w14:textFill>
            <w14:solidFill>
              <w14:schemeClr w14:val="tx1"/>
            </w14:solidFill>
          </w14:textFill>
        </w:rPr>
        <w:t>医疗补助经费。</w:t>
      </w:r>
    </w:p>
    <w:p w14:paraId="3ADE57D4">
      <w:pPr>
        <w:ind w:firstLine="640" w:firstLineChars="200"/>
        <w:rPr>
          <w:rStyle w:val="15"/>
          <w:rFonts w:ascii="仿宋" w:hAnsi="仿宋" w:eastAsia="仿宋"/>
          <w:b w:val="0"/>
          <w:bCs/>
          <w:sz w:val="32"/>
          <w:szCs w:val="32"/>
        </w:rPr>
      </w:pPr>
      <w:r>
        <w:rPr>
          <w:rFonts w:hint="eastAsia" w:ascii="仿宋" w:hAnsi="仿宋" w:eastAsia="仿宋"/>
          <w:bCs/>
          <w:sz w:val="32"/>
          <w:szCs w:val="32"/>
        </w:rPr>
        <w:t>16.农林水支出</w:t>
      </w:r>
      <w:r>
        <w:rPr>
          <w:rStyle w:val="15"/>
          <w:rFonts w:hint="eastAsia" w:ascii="仿宋" w:hAnsi="仿宋" w:eastAsia="仿宋"/>
          <w:b w:val="0"/>
          <w:bCs/>
          <w:sz w:val="32"/>
          <w:szCs w:val="32"/>
        </w:rPr>
        <w:t>（类）扶贫（款）其他扶贫支出（项）</w:t>
      </w:r>
      <w:r>
        <w:rPr>
          <w:rStyle w:val="15"/>
          <w:rFonts w:ascii="仿宋" w:hAnsi="仿宋" w:eastAsia="仿宋"/>
          <w:b w:val="0"/>
          <w:bCs/>
          <w:sz w:val="32"/>
          <w:szCs w:val="32"/>
        </w:rPr>
        <w:t>:</w:t>
      </w:r>
      <w:r>
        <w:rPr>
          <w:rStyle w:val="15"/>
          <w:rFonts w:hint="eastAsia" w:ascii="仿宋" w:hAnsi="仿宋" w:eastAsia="仿宋"/>
          <w:b w:val="0"/>
          <w:bCs/>
          <w:sz w:val="32"/>
          <w:szCs w:val="32"/>
        </w:rPr>
        <w:t>指反映除上述项目以外其他用于扶贫方面的支出。</w:t>
      </w:r>
    </w:p>
    <w:p w14:paraId="17A5682E">
      <w:pPr>
        <w:ind w:firstLine="640" w:firstLineChars="200"/>
      </w:pPr>
      <w:r>
        <w:rPr>
          <w:rFonts w:hint="eastAsia" w:ascii="仿宋" w:hAnsi="仿宋" w:eastAsia="仿宋"/>
          <w:bCs/>
          <w:sz w:val="32"/>
          <w:szCs w:val="32"/>
        </w:rPr>
        <w:t>17.住房保障支出</w:t>
      </w:r>
      <w:r>
        <w:rPr>
          <w:rStyle w:val="15"/>
          <w:rFonts w:hint="eastAsia" w:ascii="仿宋" w:hAnsi="仿宋" w:eastAsia="仿宋"/>
          <w:b w:val="0"/>
          <w:bCs/>
          <w:sz w:val="32"/>
          <w:szCs w:val="32"/>
        </w:rPr>
        <w:t>（类）</w:t>
      </w:r>
      <w:r>
        <w:rPr>
          <w:rFonts w:hint="eastAsia" w:ascii="仿宋" w:hAnsi="仿宋" w:eastAsia="仿宋"/>
          <w:bCs/>
          <w:sz w:val="32"/>
          <w:szCs w:val="32"/>
        </w:rPr>
        <w:t>住房改革支出</w:t>
      </w:r>
      <w:r>
        <w:rPr>
          <w:rStyle w:val="15"/>
          <w:rFonts w:hint="eastAsia" w:ascii="仿宋" w:hAnsi="仿宋" w:eastAsia="仿宋"/>
          <w:b w:val="0"/>
          <w:bCs/>
          <w:sz w:val="32"/>
          <w:szCs w:val="32"/>
        </w:rPr>
        <w:t>（款）</w:t>
      </w:r>
      <w:r>
        <w:rPr>
          <w:rFonts w:hint="eastAsia" w:ascii="仿宋" w:hAnsi="仿宋" w:eastAsia="仿宋"/>
          <w:bCs/>
          <w:sz w:val="32"/>
          <w:szCs w:val="32"/>
        </w:rPr>
        <w:t>住房公积金</w:t>
      </w:r>
      <w:r>
        <w:rPr>
          <w:rStyle w:val="15"/>
          <w:rFonts w:hint="eastAsia" w:ascii="仿宋" w:hAnsi="仿宋" w:eastAsia="仿宋"/>
          <w:b w:val="0"/>
          <w:bCs/>
          <w:sz w:val="32"/>
          <w:szCs w:val="32"/>
        </w:rPr>
        <w:t>（项）</w:t>
      </w:r>
      <w:r>
        <w:rPr>
          <w:rStyle w:val="15"/>
          <w:rFonts w:ascii="仿宋" w:hAnsi="仿宋" w:eastAsia="仿宋"/>
          <w:b w:val="0"/>
          <w:bCs/>
          <w:sz w:val="32"/>
          <w:szCs w:val="32"/>
        </w:rPr>
        <w:t>:</w:t>
      </w:r>
      <w:r>
        <w:rPr>
          <w:rFonts w:hint="eastAsia" w:ascii="仿宋" w:hAnsi="仿宋" w:eastAsia="仿宋"/>
          <w:color w:val="000000"/>
          <w:sz w:val="32"/>
          <w:szCs w:val="32"/>
        </w:rPr>
        <w:t xml:space="preserve"> 指反映行政事业单位按人力资源和社会保障部、财政部规定的基本工资和津贴补贴以及规定比例为职工缴纳的住房公积金。</w:t>
      </w:r>
    </w:p>
    <w:p w14:paraId="5D40BE44">
      <w:pPr>
        <w:ind w:firstLine="640" w:firstLineChars="200"/>
        <w:rPr>
          <w:rFonts w:ascii="仿宋_GB2312" w:eastAsia="仿宋_GB2312"/>
          <w:sz w:val="32"/>
          <w:szCs w:val="32"/>
        </w:rPr>
      </w:pPr>
      <w:r>
        <w:rPr>
          <w:rFonts w:hint="eastAsia" w:ascii="仿宋_GB2312" w:eastAsia="仿宋_GB2312"/>
          <w:sz w:val="32"/>
          <w:szCs w:val="32"/>
        </w:rPr>
        <w:t>18</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14:paraId="2BDDCE8C">
      <w:pPr>
        <w:ind w:firstLine="640" w:firstLineChars="200"/>
        <w:rPr>
          <w:rFonts w:ascii="仿宋_GB2312" w:eastAsia="仿宋_GB2312"/>
          <w:sz w:val="32"/>
          <w:szCs w:val="32"/>
        </w:rPr>
      </w:pPr>
      <w:r>
        <w:rPr>
          <w:rFonts w:hint="eastAsia" w:ascii="仿宋_GB2312" w:eastAsia="仿宋_GB2312"/>
          <w:sz w:val="32"/>
          <w:szCs w:val="32"/>
        </w:rPr>
        <w:t>19</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14:paraId="01858543">
      <w:pPr>
        <w:pStyle w:val="23"/>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20</w:t>
      </w:r>
      <w:r>
        <w:rPr>
          <w:rFonts w:ascii="仿宋_GB2312" w:eastAsia="仿宋_GB2312"/>
          <w:color w:val="auto"/>
          <w:sz w:val="32"/>
          <w:szCs w:val="32"/>
        </w:rPr>
        <w:t>.</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3F082C99">
      <w:pPr>
        <w:pStyle w:val="23"/>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21</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F4D03C1">
      <w:pPr>
        <w:spacing w:line="600" w:lineRule="exact"/>
        <w:jc w:val="center"/>
        <w:outlineLvl w:val="0"/>
        <w:rPr>
          <w:rStyle w:val="25"/>
          <w:rFonts w:ascii="黑体" w:hAnsi="黑体" w:eastAsia="黑体"/>
          <w:b w:val="0"/>
        </w:rPr>
      </w:pPr>
      <w:bookmarkStart w:id="51" w:name="_Toc15377226"/>
      <w:r>
        <w:rPr>
          <w:rFonts w:ascii="宋体"/>
          <w:b/>
          <w:sz w:val="44"/>
          <w:szCs w:val="44"/>
        </w:rPr>
        <w:br w:type="page"/>
      </w:r>
      <w:bookmarkStart w:id="52" w:name="_Toc15396614"/>
      <w:r>
        <w:rPr>
          <w:rFonts w:hint="eastAsia" w:ascii="黑体" w:hAnsi="黑体" w:eastAsia="黑体"/>
          <w:sz w:val="44"/>
          <w:szCs w:val="44"/>
        </w:rPr>
        <w:t>第</w:t>
      </w:r>
      <w:r>
        <w:rPr>
          <w:rStyle w:val="25"/>
          <w:rFonts w:hint="eastAsia" w:ascii="黑体" w:hAnsi="黑体" w:eastAsia="黑体"/>
          <w:b w:val="0"/>
        </w:rPr>
        <w:t>四部分 附件</w:t>
      </w:r>
      <w:bookmarkEnd w:id="52"/>
    </w:p>
    <w:tbl>
      <w:tblPr>
        <w:tblStyle w:val="13"/>
        <w:tblpPr w:leftFromText="180" w:rightFromText="180" w:vertAnchor="text" w:horzAnchor="page" w:tblpX="1281" w:tblpY="660"/>
        <w:tblOverlap w:val="never"/>
        <w:tblW w:w="9811" w:type="dxa"/>
        <w:tblInd w:w="0" w:type="dxa"/>
        <w:tblLayout w:type="fixed"/>
        <w:tblCellMar>
          <w:top w:w="0" w:type="dxa"/>
          <w:left w:w="108" w:type="dxa"/>
          <w:bottom w:w="0" w:type="dxa"/>
          <w:right w:w="108" w:type="dxa"/>
        </w:tblCellMar>
      </w:tblPr>
      <w:tblGrid>
        <w:gridCol w:w="1976"/>
        <w:gridCol w:w="1142"/>
        <w:gridCol w:w="1635"/>
        <w:gridCol w:w="1552"/>
        <w:gridCol w:w="861"/>
        <w:gridCol w:w="2409"/>
        <w:gridCol w:w="236"/>
      </w:tblGrid>
      <w:tr w14:paraId="09EC14F8">
        <w:tblPrEx>
          <w:tblCellMar>
            <w:top w:w="0" w:type="dxa"/>
            <w:left w:w="108" w:type="dxa"/>
            <w:bottom w:w="0" w:type="dxa"/>
            <w:right w:w="108" w:type="dxa"/>
          </w:tblCellMar>
        </w:tblPrEx>
        <w:trPr>
          <w:trHeight w:val="675" w:hRule="atLeast"/>
        </w:trPr>
        <w:tc>
          <w:tcPr>
            <w:tcW w:w="9575" w:type="dxa"/>
            <w:gridSpan w:val="6"/>
            <w:tcBorders>
              <w:top w:val="nil"/>
              <w:left w:val="nil"/>
              <w:bottom w:val="nil"/>
              <w:right w:val="nil"/>
            </w:tcBorders>
            <w:shd w:val="clear" w:color="auto" w:fill="auto"/>
            <w:vAlign w:val="center"/>
          </w:tcPr>
          <w:p w14:paraId="3AB31345">
            <w:pPr>
              <w:widowControl/>
              <w:textAlignment w:val="center"/>
            </w:pPr>
            <w:bookmarkStart w:id="53" w:name="_Toc15396618"/>
            <w:r>
              <w:rPr>
                <w:rFonts w:hint="eastAsia" w:ascii="宋体" w:hAnsi="宋体" w:cs="宋体"/>
                <w:b/>
                <w:sz w:val="32"/>
                <w:szCs w:val="32"/>
              </w:rPr>
              <w:t>202</w:t>
            </w:r>
            <w:r>
              <w:rPr>
                <w:rFonts w:hint="eastAsia" w:ascii="宋体" w:hAnsi="宋体" w:cs="宋体"/>
                <w:b/>
                <w:sz w:val="32"/>
                <w:szCs w:val="32"/>
                <w:lang w:val="en-US" w:eastAsia="zh-CN"/>
              </w:rPr>
              <w:t>2</w:t>
            </w:r>
            <w:r>
              <w:rPr>
                <w:rFonts w:hint="eastAsia" w:ascii="宋体" w:hAnsi="宋体" w:cs="宋体"/>
                <w:b/>
                <w:sz w:val="32"/>
                <w:szCs w:val="32"/>
              </w:rPr>
              <w:t>年特定目标类部门预算项目绩效目标自评：（</w:t>
            </w:r>
            <w:r>
              <w:rPr>
                <w:rFonts w:hint="eastAsia"/>
              </w:rPr>
              <w:t>公用经费</w:t>
            </w:r>
            <w:r>
              <w:rPr>
                <w:rFonts w:hint="eastAsia"/>
                <w:b/>
                <w:sz w:val="32"/>
                <w:szCs w:val="32"/>
              </w:rPr>
              <w:t>）</w:t>
            </w:r>
          </w:p>
        </w:tc>
        <w:tc>
          <w:tcPr>
            <w:tcW w:w="236" w:type="dxa"/>
            <w:tcBorders>
              <w:top w:val="nil"/>
              <w:left w:val="nil"/>
              <w:bottom w:val="nil"/>
              <w:right w:val="nil"/>
            </w:tcBorders>
            <w:shd w:val="clear" w:color="auto" w:fill="auto"/>
            <w:vAlign w:val="center"/>
          </w:tcPr>
          <w:p w14:paraId="66174346">
            <w:pPr>
              <w:widowControl/>
              <w:jc w:val="center"/>
              <w:textAlignment w:val="center"/>
              <w:rPr>
                <w:rFonts w:ascii="宋体" w:hAnsi="宋体" w:cs="宋体"/>
                <w:b/>
                <w:kern w:val="0"/>
                <w:sz w:val="32"/>
                <w:szCs w:val="32"/>
                <w:lang w:bidi="ar"/>
              </w:rPr>
            </w:pPr>
          </w:p>
        </w:tc>
      </w:tr>
      <w:tr w14:paraId="066CF5BB">
        <w:tblPrEx>
          <w:tblCellMar>
            <w:top w:w="0" w:type="dxa"/>
            <w:left w:w="108" w:type="dxa"/>
            <w:bottom w:w="0" w:type="dxa"/>
            <w:right w:w="108" w:type="dxa"/>
          </w:tblCellMar>
        </w:tblPrEx>
        <w:trPr>
          <w:gridAfter w:val="1"/>
          <w:wAfter w:w="236" w:type="dxa"/>
          <w:trHeight w:val="254" w:hRule="atLeast"/>
        </w:trPr>
        <w:tc>
          <w:tcPr>
            <w:tcW w:w="31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1CB456">
            <w:pPr>
              <w:widowControl/>
              <w:spacing w:line="320" w:lineRule="exact"/>
              <w:jc w:val="center"/>
              <w:textAlignment w:val="center"/>
              <w:rPr>
                <w:rFonts w:ascii="宋体" w:hAnsi="宋体" w:cs="宋体"/>
                <w:sz w:val="24"/>
              </w:rPr>
            </w:pPr>
            <w:r>
              <w:rPr>
                <w:rFonts w:hint="eastAsia" w:ascii="宋体" w:hAnsi="宋体" w:cs="宋体"/>
                <w:kern w:val="0"/>
                <w:sz w:val="24"/>
                <w:lang w:bidi="ar"/>
              </w:rPr>
              <w:t>主管部门及代码</w:t>
            </w:r>
          </w:p>
        </w:tc>
        <w:tc>
          <w:tcPr>
            <w:tcW w:w="31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3E6A3C">
            <w:pPr>
              <w:widowControl/>
              <w:spacing w:line="320" w:lineRule="exact"/>
              <w:jc w:val="center"/>
              <w:textAlignment w:val="center"/>
              <w:rPr>
                <w:rFonts w:ascii="宋体" w:hAnsi="宋体" w:cs="宋体"/>
                <w:sz w:val="24"/>
              </w:rPr>
            </w:pPr>
            <w:r>
              <w:rPr>
                <w:rFonts w:hint="eastAsia" w:ascii="宋体" w:hAnsi="宋体" w:cs="宋体"/>
                <w:sz w:val="24"/>
              </w:rPr>
              <w:t>峨边彝族自治县教育局301000</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C5407">
            <w:pPr>
              <w:widowControl/>
              <w:spacing w:line="320" w:lineRule="exact"/>
              <w:jc w:val="center"/>
              <w:textAlignment w:val="center"/>
              <w:rPr>
                <w:rFonts w:ascii="宋体" w:hAnsi="宋体" w:cs="宋体"/>
                <w:sz w:val="24"/>
              </w:rPr>
            </w:pPr>
            <w:r>
              <w:rPr>
                <w:rFonts w:hint="eastAsia" w:ascii="宋体" w:hAnsi="宋体" w:cs="宋体"/>
                <w:kern w:val="0"/>
                <w:sz w:val="24"/>
                <w:lang w:bidi="ar"/>
              </w:rPr>
              <w:t>实施单位</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F525A">
            <w:pPr>
              <w:widowControl/>
              <w:spacing w:line="320" w:lineRule="exact"/>
              <w:jc w:val="center"/>
              <w:textAlignment w:val="center"/>
              <w:rPr>
                <w:rFonts w:ascii="宋体" w:hAnsi="宋体" w:cs="宋体"/>
                <w:sz w:val="24"/>
              </w:rPr>
            </w:pPr>
            <w:r>
              <w:rPr>
                <w:rFonts w:hint="eastAsia" w:ascii="宋体" w:hAnsi="宋体" w:cs="宋体"/>
                <w:sz w:val="24"/>
              </w:rPr>
              <w:t>峨边彝族自治县杨村乡中心小学</w:t>
            </w:r>
          </w:p>
        </w:tc>
      </w:tr>
      <w:tr w14:paraId="4E2F3AFE">
        <w:tblPrEx>
          <w:tblCellMar>
            <w:top w:w="0" w:type="dxa"/>
            <w:left w:w="108" w:type="dxa"/>
            <w:bottom w:w="0" w:type="dxa"/>
            <w:right w:w="108" w:type="dxa"/>
          </w:tblCellMar>
        </w:tblPrEx>
        <w:trPr>
          <w:gridAfter w:val="1"/>
          <w:wAfter w:w="236" w:type="dxa"/>
          <w:trHeight w:val="341" w:hRule="atLeast"/>
        </w:trPr>
        <w:tc>
          <w:tcPr>
            <w:tcW w:w="31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DA7337">
            <w:pPr>
              <w:widowControl/>
              <w:spacing w:line="320" w:lineRule="exact"/>
              <w:jc w:val="center"/>
              <w:textAlignment w:val="center"/>
              <w:rPr>
                <w:rFonts w:ascii="宋体" w:hAnsi="宋体" w:cs="宋体"/>
                <w:sz w:val="24"/>
              </w:rPr>
            </w:pPr>
            <w:r>
              <w:rPr>
                <w:rFonts w:hint="eastAsia" w:ascii="宋体" w:hAnsi="宋体" w:cs="宋体"/>
                <w:kern w:val="0"/>
                <w:sz w:val="24"/>
                <w:lang w:bidi="ar"/>
              </w:rPr>
              <w:t>项目预算</w:t>
            </w:r>
            <w:r>
              <w:rPr>
                <w:rFonts w:hint="eastAsia" w:ascii="宋体" w:hAnsi="宋体" w:cs="宋体"/>
                <w:kern w:val="0"/>
                <w:sz w:val="24"/>
                <w:lang w:bidi="ar"/>
              </w:rPr>
              <w:br w:type="textWrapping"/>
            </w:r>
            <w:r>
              <w:rPr>
                <w:rFonts w:hint="eastAsia" w:ascii="宋体" w:hAnsi="宋体" w:cs="宋体"/>
                <w:kern w:val="0"/>
                <w:sz w:val="24"/>
                <w:lang w:bidi="ar"/>
              </w:rPr>
              <w:t>执行情况</w:t>
            </w:r>
            <w:r>
              <w:rPr>
                <w:rFonts w:hint="eastAsia" w:ascii="宋体" w:hAnsi="宋体" w:cs="宋体"/>
                <w:kern w:val="0"/>
                <w:sz w:val="24"/>
                <w:lang w:bidi="ar"/>
              </w:rPr>
              <w:br w:type="textWrapping"/>
            </w:r>
            <w:r>
              <w:rPr>
                <w:rFonts w:hint="eastAsia" w:ascii="宋体" w:hAnsi="宋体" w:cs="宋体"/>
                <w:kern w:val="0"/>
                <w:sz w:val="24"/>
                <w:lang w:bidi="ar"/>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664A9">
            <w:pPr>
              <w:widowControl/>
              <w:spacing w:line="320" w:lineRule="exact"/>
              <w:jc w:val="left"/>
              <w:textAlignment w:val="center"/>
              <w:rPr>
                <w:rFonts w:ascii="宋体" w:hAnsi="宋体" w:cs="宋体"/>
                <w:sz w:val="24"/>
              </w:rPr>
            </w:pPr>
            <w:r>
              <w:rPr>
                <w:rFonts w:hint="eastAsia" w:ascii="宋体" w:hAnsi="宋体" w:cs="宋体"/>
                <w:kern w:val="0"/>
                <w:sz w:val="24"/>
                <w:lang w:bidi="ar"/>
              </w:rPr>
              <w:t xml:space="preserve"> 预算数：</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4F400">
            <w:pPr>
              <w:widowControl/>
              <w:spacing w:line="320" w:lineRule="exact"/>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941466.44元</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6C33A">
            <w:pPr>
              <w:widowControl/>
              <w:spacing w:line="320" w:lineRule="exact"/>
              <w:jc w:val="left"/>
              <w:textAlignment w:val="center"/>
              <w:rPr>
                <w:rFonts w:ascii="宋体" w:hAnsi="宋体" w:cs="宋体"/>
                <w:sz w:val="24"/>
              </w:rPr>
            </w:pPr>
            <w:r>
              <w:rPr>
                <w:rFonts w:hint="eastAsia" w:ascii="宋体" w:hAnsi="宋体" w:cs="宋体"/>
                <w:kern w:val="0"/>
                <w:sz w:val="24"/>
                <w:lang w:bidi="ar"/>
              </w:rPr>
              <w:t xml:space="preserve"> 执行数：</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469DC">
            <w:pPr>
              <w:widowControl/>
              <w:spacing w:line="320" w:lineRule="exact"/>
              <w:jc w:val="center"/>
              <w:textAlignment w:val="center"/>
              <w:rPr>
                <w:rFonts w:hint="eastAsia" w:ascii="宋体" w:hAnsi="宋体" w:eastAsia="宋体" w:cs="宋体"/>
                <w:szCs w:val="21"/>
                <w:lang w:val="en-US" w:eastAsia="zh-CN"/>
              </w:rPr>
            </w:pPr>
            <w:r>
              <w:rPr>
                <w:rFonts w:hint="eastAsia" w:ascii="宋体" w:hAnsi="宋体" w:cs="宋体"/>
                <w:szCs w:val="21"/>
                <w:lang w:val="en-US" w:eastAsia="zh-CN"/>
              </w:rPr>
              <w:t>941466.4</w:t>
            </w:r>
            <w:r>
              <w:rPr>
                <w:rFonts w:hint="eastAsia" w:ascii="宋体" w:hAnsi="宋体" w:cs="宋体"/>
                <w:szCs w:val="21"/>
              </w:rPr>
              <w:t>4</w:t>
            </w:r>
            <w:r>
              <w:rPr>
                <w:rFonts w:hint="eastAsia" w:ascii="宋体" w:hAnsi="宋体" w:cs="宋体"/>
                <w:szCs w:val="21"/>
                <w:lang w:val="en-US" w:eastAsia="zh-CN"/>
              </w:rPr>
              <w:t>元</w:t>
            </w:r>
          </w:p>
        </w:tc>
      </w:tr>
      <w:tr w14:paraId="6F0A8D1E">
        <w:tblPrEx>
          <w:tblCellMar>
            <w:top w:w="0" w:type="dxa"/>
            <w:left w:w="108" w:type="dxa"/>
            <w:bottom w:w="0" w:type="dxa"/>
            <w:right w:w="108" w:type="dxa"/>
          </w:tblCellMar>
        </w:tblPrEx>
        <w:trPr>
          <w:gridAfter w:val="1"/>
          <w:wAfter w:w="236" w:type="dxa"/>
          <w:trHeight w:val="830" w:hRule="atLeast"/>
        </w:trPr>
        <w:tc>
          <w:tcPr>
            <w:tcW w:w="31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99C41">
            <w:pPr>
              <w:spacing w:line="320" w:lineRule="exact"/>
              <w:jc w:val="center"/>
              <w:rPr>
                <w:rFonts w:ascii="宋体" w:hAnsi="宋体" w:cs="宋体"/>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B1CCD">
            <w:pPr>
              <w:widowControl/>
              <w:spacing w:line="320" w:lineRule="exact"/>
              <w:jc w:val="left"/>
              <w:textAlignment w:val="center"/>
              <w:rPr>
                <w:rFonts w:ascii="宋体" w:hAnsi="宋体" w:cs="宋体"/>
                <w:kern w:val="0"/>
                <w:sz w:val="24"/>
                <w:lang w:bidi="ar"/>
              </w:rPr>
            </w:pPr>
            <w:r>
              <w:rPr>
                <w:rFonts w:hint="eastAsia" w:ascii="宋体" w:hAnsi="宋体" w:cs="宋体"/>
                <w:kern w:val="0"/>
                <w:sz w:val="24"/>
                <w:lang w:bidi="ar"/>
              </w:rPr>
              <w:t>其中：</w:t>
            </w:r>
          </w:p>
          <w:p w14:paraId="0C9DE397">
            <w:pPr>
              <w:widowControl/>
              <w:spacing w:line="320" w:lineRule="exact"/>
              <w:jc w:val="left"/>
              <w:textAlignment w:val="center"/>
              <w:rPr>
                <w:rFonts w:ascii="宋体" w:hAnsi="宋体" w:cs="宋体"/>
                <w:sz w:val="24"/>
              </w:rPr>
            </w:pPr>
            <w:r>
              <w:rPr>
                <w:rFonts w:hint="eastAsia" w:ascii="宋体" w:hAnsi="宋体" w:cs="宋体"/>
                <w:kern w:val="0"/>
                <w:sz w:val="24"/>
                <w:lang w:bidi="ar"/>
              </w:rPr>
              <w:t>财政拨款</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379DE">
            <w:pPr>
              <w:widowControl/>
              <w:spacing w:line="320" w:lineRule="exact"/>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941466.44元</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1191E">
            <w:pPr>
              <w:widowControl/>
              <w:spacing w:line="320" w:lineRule="exact"/>
              <w:jc w:val="left"/>
              <w:textAlignment w:val="center"/>
              <w:rPr>
                <w:rFonts w:ascii="宋体" w:hAnsi="宋体" w:cs="宋体"/>
                <w:kern w:val="0"/>
                <w:sz w:val="24"/>
                <w:lang w:bidi="ar"/>
              </w:rPr>
            </w:pPr>
            <w:r>
              <w:rPr>
                <w:rFonts w:hint="eastAsia" w:ascii="宋体" w:hAnsi="宋体" w:cs="宋体"/>
                <w:kern w:val="0"/>
                <w:sz w:val="24"/>
                <w:lang w:bidi="ar"/>
              </w:rPr>
              <w:t>其中：</w:t>
            </w:r>
          </w:p>
          <w:p w14:paraId="4F6BAA65">
            <w:pPr>
              <w:widowControl/>
              <w:spacing w:line="320" w:lineRule="exact"/>
              <w:jc w:val="left"/>
              <w:textAlignment w:val="center"/>
              <w:rPr>
                <w:rFonts w:ascii="宋体" w:hAnsi="宋体" w:cs="宋体"/>
                <w:sz w:val="24"/>
              </w:rPr>
            </w:pPr>
            <w:r>
              <w:rPr>
                <w:rFonts w:hint="eastAsia" w:ascii="宋体" w:hAnsi="宋体" w:cs="宋体"/>
                <w:kern w:val="0"/>
                <w:sz w:val="24"/>
                <w:lang w:bidi="ar"/>
              </w:rPr>
              <w:t>财政拨款</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E45C0">
            <w:pPr>
              <w:widowControl/>
              <w:spacing w:line="320" w:lineRule="exact"/>
              <w:jc w:val="center"/>
              <w:textAlignment w:val="center"/>
              <w:rPr>
                <w:rFonts w:hint="default" w:ascii="宋体" w:hAnsi="宋体" w:eastAsia="宋体" w:cs="宋体"/>
                <w:sz w:val="24"/>
                <w:lang w:val="en-US" w:eastAsia="zh-CN"/>
              </w:rPr>
            </w:pPr>
            <w:r>
              <w:rPr>
                <w:rFonts w:hint="eastAsia" w:ascii="宋体" w:hAnsi="宋体" w:cs="宋体"/>
                <w:szCs w:val="21"/>
                <w:lang w:val="en-US" w:eastAsia="zh-CN"/>
              </w:rPr>
              <w:t>941466.44元</w:t>
            </w:r>
          </w:p>
        </w:tc>
      </w:tr>
      <w:tr w14:paraId="1EA0B5FE">
        <w:tblPrEx>
          <w:tblCellMar>
            <w:top w:w="0" w:type="dxa"/>
            <w:left w:w="108" w:type="dxa"/>
            <w:bottom w:w="0" w:type="dxa"/>
            <w:right w:w="108" w:type="dxa"/>
          </w:tblCellMar>
        </w:tblPrEx>
        <w:trPr>
          <w:gridAfter w:val="1"/>
          <w:wAfter w:w="236" w:type="dxa"/>
          <w:trHeight w:val="341" w:hRule="atLeast"/>
        </w:trPr>
        <w:tc>
          <w:tcPr>
            <w:tcW w:w="31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7D4B2">
            <w:pPr>
              <w:spacing w:line="320" w:lineRule="exact"/>
              <w:jc w:val="center"/>
              <w:rPr>
                <w:rFonts w:ascii="宋体" w:hAnsi="宋体" w:cs="宋体"/>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DE15A">
            <w:pPr>
              <w:widowControl/>
              <w:spacing w:line="320" w:lineRule="exact"/>
              <w:jc w:val="left"/>
              <w:textAlignment w:val="center"/>
              <w:rPr>
                <w:rFonts w:ascii="宋体" w:hAnsi="宋体" w:cs="宋体"/>
                <w:sz w:val="24"/>
              </w:rPr>
            </w:pPr>
            <w:r>
              <w:rPr>
                <w:rFonts w:hint="eastAsia" w:ascii="宋体" w:hAnsi="宋体" w:cs="宋体"/>
                <w:kern w:val="0"/>
                <w:sz w:val="24"/>
                <w:lang w:bidi="ar"/>
              </w:rPr>
              <w:t>其他资金</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BA704">
            <w:pPr>
              <w:widowControl/>
              <w:spacing w:line="320" w:lineRule="exact"/>
              <w:jc w:val="center"/>
              <w:textAlignment w:val="center"/>
              <w:rPr>
                <w:rFonts w:ascii="宋体" w:hAnsi="宋体" w:cs="宋体"/>
                <w:szCs w:val="21"/>
              </w:rPr>
            </w:pPr>
            <w:r>
              <w:rPr>
                <w:rFonts w:hint="eastAsia" w:ascii="宋体" w:hAnsi="宋体" w:cs="宋体"/>
                <w:szCs w:val="21"/>
              </w:rPr>
              <w:t>0.00</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254E8">
            <w:pPr>
              <w:widowControl/>
              <w:spacing w:line="320" w:lineRule="exact"/>
              <w:jc w:val="left"/>
              <w:textAlignment w:val="center"/>
              <w:rPr>
                <w:rFonts w:ascii="宋体" w:hAnsi="宋体" w:cs="宋体"/>
                <w:sz w:val="24"/>
              </w:rPr>
            </w:pPr>
            <w:r>
              <w:rPr>
                <w:rFonts w:hint="eastAsia" w:ascii="宋体" w:hAnsi="宋体" w:cs="宋体"/>
                <w:kern w:val="0"/>
                <w:sz w:val="24"/>
                <w:lang w:bidi="ar"/>
              </w:rPr>
              <w:t>其他资金</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1D3F6">
            <w:pPr>
              <w:widowControl/>
              <w:spacing w:line="320" w:lineRule="exact"/>
              <w:jc w:val="center"/>
              <w:textAlignment w:val="center"/>
              <w:rPr>
                <w:rFonts w:ascii="宋体" w:hAnsi="宋体" w:cs="宋体"/>
                <w:sz w:val="24"/>
              </w:rPr>
            </w:pPr>
            <w:r>
              <w:rPr>
                <w:rFonts w:hint="eastAsia" w:ascii="宋体" w:hAnsi="宋体" w:cs="宋体"/>
                <w:szCs w:val="21"/>
              </w:rPr>
              <w:t>0.00</w:t>
            </w:r>
          </w:p>
        </w:tc>
      </w:tr>
      <w:tr w14:paraId="36C02C22">
        <w:tblPrEx>
          <w:tblCellMar>
            <w:top w:w="0" w:type="dxa"/>
            <w:left w:w="108" w:type="dxa"/>
            <w:bottom w:w="0" w:type="dxa"/>
            <w:right w:w="108" w:type="dxa"/>
          </w:tblCellMar>
        </w:tblPrEx>
        <w:trPr>
          <w:gridAfter w:val="1"/>
          <w:wAfter w:w="236" w:type="dxa"/>
          <w:trHeight w:val="217" w:hRule="atLeast"/>
        </w:trPr>
        <w:tc>
          <w:tcPr>
            <w:tcW w:w="1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26EC12">
            <w:pPr>
              <w:widowControl/>
              <w:spacing w:line="320" w:lineRule="exact"/>
              <w:jc w:val="center"/>
              <w:textAlignment w:val="center"/>
              <w:rPr>
                <w:rFonts w:ascii="宋体" w:hAnsi="宋体" w:cs="宋体"/>
                <w:kern w:val="0"/>
                <w:sz w:val="24"/>
                <w:lang w:bidi="ar"/>
              </w:rPr>
            </w:pPr>
            <w:r>
              <w:rPr>
                <w:rFonts w:hint="eastAsia" w:ascii="宋体" w:hAnsi="宋体" w:cs="宋体"/>
                <w:kern w:val="0"/>
                <w:sz w:val="24"/>
                <w:lang w:bidi="ar"/>
              </w:rPr>
              <w:t>年度总体目标</w:t>
            </w:r>
          </w:p>
          <w:p w14:paraId="795A32B0">
            <w:pPr>
              <w:widowControl/>
              <w:spacing w:line="320" w:lineRule="exact"/>
              <w:jc w:val="center"/>
              <w:textAlignment w:val="center"/>
              <w:rPr>
                <w:rFonts w:ascii="宋体" w:hAnsi="宋体" w:cs="宋体"/>
                <w:sz w:val="24"/>
              </w:rPr>
            </w:pPr>
            <w:r>
              <w:rPr>
                <w:rFonts w:hint="eastAsia" w:ascii="宋体" w:hAnsi="宋体" w:cs="宋体"/>
                <w:kern w:val="0"/>
                <w:sz w:val="24"/>
                <w:lang w:bidi="ar"/>
              </w:rPr>
              <w:t>完成情况</w:t>
            </w:r>
          </w:p>
        </w:tc>
        <w:tc>
          <w:tcPr>
            <w:tcW w:w="43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C17063">
            <w:pPr>
              <w:widowControl/>
              <w:spacing w:line="320" w:lineRule="exact"/>
              <w:jc w:val="center"/>
              <w:textAlignment w:val="center"/>
              <w:rPr>
                <w:rFonts w:ascii="宋体" w:hAnsi="宋体" w:cs="宋体"/>
                <w:sz w:val="24"/>
              </w:rPr>
            </w:pPr>
            <w:r>
              <w:rPr>
                <w:rFonts w:hint="eastAsia" w:ascii="宋体" w:hAnsi="宋体" w:cs="宋体"/>
                <w:kern w:val="0"/>
                <w:sz w:val="24"/>
                <w:lang w:bidi="ar"/>
              </w:rPr>
              <w:t>预期目标</w:t>
            </w:r>
          </w:p>
        </w:tc>
        <w:tc>
          <w:tcPr>
            <w:tcW w:w="3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465DA1">
            <w:pPr>
              <w:widowControl/>
              <w:spacing w:line="320" w:lineRule="exact"/>
              <w:jc w:val="center"/>
              <w:textAlignment w:val="center"/>
              <w:rPr>
                <w:rFonts w:ascii="宋体" w:hAnsi="宋体" w:cs="宋体"/>
                <w:sz w:val="24"/>
              </w:rPr>
            </w:pPr>
            <w:r>
              <w:rPr>
                <w:rFonts w:hint="eastAsia" w:ascii="宋体" w:hAnsi="宋体" w:cs="宋体"/>
                <w:kern w:val="0"/>
                <w:sz w:val="24"/>
                <w:lang w:bidi="ar"/>
              </w:rPr>
              <w:t>目标实际完成情况</w:t>
            </w:r>
          </w:p>
        </w:tc>
      </w:tr>
      <w:tr w14:paraId="580512D2">
        <w:tblPrEx>
          <w:tblCellMar>
            <w:top w:w="0" w:type="dxa"/>
            <w:left w:w="108" w:type="dxa"/>
            <w:bottom w:w="0" w:type="dxa"/>
            <w:right w:w="108" w:type="dxa"/>
          </w:tblCellMar>
        </w:tblPrEx>
        <w:trPr>
          <w:gridAfter w:val="1"/>
          <w:wAfter w:w="236" w:type="dxa"/>
          <w:trHeight w:val="797" w:hRule="atLeast"/>
        </w:trPr>
        <w:tc>
          <w:tcPr>
            <w:tcW w:w="1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F6098">
            <w:pPr>
              <w:spacing w:line="320" w:lineRule="exact"/>
              <w:jc w:val="center"/>
              <w:rPr>
                <w:rFonts w:ascii="宋体" w:hAnsi="宋体" w:cs="宋体"/>
                <w:sz w:val="24"/>
              </w:rPr>
            </w:pPr>
          </w:p>
        </w:tc>
        <w:tc>
          <w:tcPr>
            <w:tcW w:w="4329" w:type="dxa"/>
            <w:gridSpan w:val="3"/>
            <w:tcBorders>
              <w:top w:val="single" w:color="000000" w:sz="4" w:space="0"/>
              <w:left w:val="single" w:color="000000" w:sz="4" w:space="0"/>
              <w:bottom w:val="single" w:color="000000" w:sz="4" w:space="0"/>
              <w:right w:val="single" w:color="000000" w:sz="4" w:space="0"/>
            </w:tcBorders>
            <w:shd w:val="clear" w:color="auto" w:fill="auto"/>
          </w:tcPr>
          <w:p w14:paraId="0F9A72BC">
            <w:pPr>
              <w:widowControl/>
              <w:spacing w:line="320" w:lineRule="exact"/>
              <w:jc w:val="left"/>
              <w:textAlignment w:val="top"/>
              <w:rPr>
                <w:rFonts w:ascii="宋体" w:hAnsi="宋体" w:cs="宋体"/>
                <w:sz w:val="24"/>
              </w:rPr>
            </w:pPr>
            <w:r>
              <w:rPr>
                <w:rFonts w:ascii="宋体" w:hAnsi="宋体" w:cs="宋体"/>
                <w:szCs w:val="21"/>
              </w:rPr>
              <w:t>围绕</w:t>
            </w:r>
            <w:r>
              <w:rPr>
                <w:rFonts w:hint="eastAsia" w:ascii="宋体" w:hAnsi="宋体" w:cs="宋体"/>
                <w:szCs w:val="21"/>
              </w:rPr>
              <w:t>上级主管部门的</w:t>
            </w:r>
            <w:r>
              <w:rPr>
                <w:rFonts w:ascii="宋体" w:hAnsi="宋体" w:cs="宋体"/>
                <w:szCs w:val="21"/>
              </w:rPr>
              <w:t>部署，严格落实上级工作目标,确保学校各项工作有序进行,稳步提</w:t>
            </w:r>
            <w:r>
              <w:rPr>
                <w:rFonts w:hint="eastAsia" w:ascii="宋体" w:hAnsi="宋体" w:cs="宋体"/>
                <w:szCs w:val="21"/>
              </w:rPr>
              <w:t>升</w:t>
            </w:r>
            <w:r>
              <w:rPr>
                <w:rFonts w:ascii="宋体" w:hAnsi="宋体" w:cs="宋体"/>
                <w:szCs w:val="21"/>
              </w:rPr>
              <w:t>我校教育教学质量，圆满完成202</w:t>
            </w:r>
            <w:r>
              <w:rPr>
                <w:rFonts w:hint="eastAsia" w:ascii="宋体" w:hAnsi="宋体" w:cs="宋体"/>
                <w:szCs w:val="21"/>
                <w:lang w:val="en-US" w:eastAsia="zh-CN"/>
              </w:rPr>
              <w:t>2</w:t>
            </w:r>
            <w:r>
              <w:rPr>
                <w:rFonts w:ascii="宋体" w:hAnsi="宋体" w:cs="宋体"/>
                <w:szCs w:val="21"/>
              </w:rPr>
              <w:t>年教育发展目标</w:t>
            </w:r>
            <w:r>
              <w:rPr>
                <w:rFonts w:ascii="宋体" w:hAnsi="宋体" w:cs="宋体"/>
                <w:sz w:val="24"/>
              </w:rPr>
              <w:t>。</w:t>
            </w:r>
          </w:p>
        </w:tc>
        <w:tc>
          <w:tcPr>
            <w:tcW w:w="3270" w:type="dxa"/>
            <w:gridSpan w:val="2"/>
            <w:tcBorders>
              <w:top w:val="single" w:color="000000" w:sz="4" w:space="0"/>
              <w:left w:val="single" w:color="000000" w:sz="4" w:space="0"/>
              <w:bottom w:val="single" w:color="000000" w:sz="4" w:space="0"/>
              <w:right w:val="single" w:color="000000" w:sz="4" w:space="0"/>
            </w:tcBorders>
            <w:shd w:val="clear" w:color="auto" w:fill="auto"/>
          </w:tcPr>
          <w:p w14:paraId="0931367E">
            <w:pPr>
              <w:widowControl/>
              <w:spacing w:line="320" w:lineRule="exact"/>
              <w:jc w:val="left"/>
              <w:textAlignment w:val="top"/>
              <w:rPr>
                <w:rFonts w:ascii="宋体" w:hAnsi="宋体" w:cs="宋体"/>
                <w:sz w:val="24"/>
              </w:rPr>
            </w:pPr>
            <w:r>
              <w:rPr>
                <w:rFonts w:hint="eastAsia" w:ascii="宋体" w:hAnsi="宋体" w:cs="宋体"/>
                <w:szCs w:val="21"/>
              </w:rPr>
              <w:t>在各级上级部门的指导下，</w:t>
            </w:r>
            <w:r>
              <w:rPr>
                <w:rFonts w:ascii="宋体" w:hAnsi="宋体" w:cs="宋体"/>
                <w:szCs w:val="21"/>
              </w:rPr>
              <w:t>学校各项工作稳步</w:t>
            </w:r>
            <w:r>
              <w:rPr>
                <w:rFonts w:hint="eastAsia" w:ascii="宋体" w:hAnsi="宋体" w:cs="宋体"/>
                <w:szCs w:val="21"/>
              </w:rPr>
              <w:t>推进，</w:t>
            </w:r>
            <w:r>
              <w:rPr>
                <w:rFonts w:ascii="宋体" w:hAnsi="宋体" w:cs="宋体"/>
                <w:szCs w:val="21"/>
              </w:rPr>
              <w:t>圆满完成202</w:t>
            </w:r>
            <w:r>
              <w:rPr>
                <w:rFonts w:hint="eastAsia" w:ascii="宋体" w:hAnsi="宋体" w:cs="宋体"/>
                <w:szCs w:val="21"/>
                <w:lang w:val="en-US" w:eastAsia="zh-CN"/>
              </w:rPr>
              <w:t>2</w:t>
            </w:r>
            <w:r>
              <w:rPr>
                <w:rFonts w:ascii="宋体" w:hAnsi="宋体" w:cs="宋体"/>
                <w:szCs w:val="21"/>
              </w:rPr>
              <w:t>年学校教育</w:t>
            </w:r>
            <w:r>
              <w:rPr>
                <w:rFonts w:hint="eastAsia" w:ascii="宋体" w:hAnsi="宋体" w:cs="宋体"/>
                <w:szCs w:val="21"/>
              </w:rPr>
              <w:t>教学</w:t>
            </w:r>
            <w:r>
              <w:rPr>
                <w:rFonts w:ascii="宋体" w:hAnsi="宋体" w:cs="宋体"/>
                <w:szCs w:val="21"/>
              </w:rPr>
              <w:t>发展目标任务</w:t>
            </w:r>
            <w:r>
              <w:rPr>
                <w:rFonts w:ascii="宋体" w:hAnsi="宋体" w:cs="宋体"/>
                <w:sz w:val="24"/>
              </w:rPr>
              <w:t>。</w:t>
            </w:r>
          </w:p>
        </w:tc>
      </w:tr>
      <w:tr w14:paraId="2C057822">
        <w:tblPrEx>
          <w:tblCellMar>
            <w:top w:w="0" w:type="dxa"/>
            <w:left w:w="108" w:type="dxa"/>
            <w:bottom w:w="0" w:type="dxa"/>
            <w:right w:w="108" w:type="dxa"/>
          </w:tblCellMar>
        </w:tblPrEx>
        <w:trPr>
          <w:gridAfter w:val="1"/>
          <w:wAfter w:w="236" w:type="dxa"/>
          <w:trHeight w:val="693" w:hRule="atLeast"/>
        </w:trPr>
        <w:tc>
          <w:tcPr>
            <w:tcW w:w="1976" w:type="dxa"/>
            <w:vMerge w:val="restart"/>
            <w:tcBorders>
              <w:top w:val="single" w:color="000000" w:sz="4" w:space="0"/>
              <w:left w:val="single" w:color="000000" w:sz="4" w:space="0"/>
              <w:right w:val="single" w:color="000000" w:sz="4" w:space="0"/>
            </w:tcBorders>
            <w:shd w:val="clear" w:color="auto" w:fill="auto"/>
            <w:vAlign w:val="center"/>
          </w:tcPr>
          <w:p w14:paraId="19AF6DED">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14:paraId="426F8A84">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一级</w:t>
            </w:r>
          </w:p>
          <w:p w14:paraId="37BFBB90">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69179">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二级</w:t>
            </w:r>
          </w:p>
          <w:p w14:paraId="795B66F8">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95675">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三级</w:t>
            </w:r>
          </w:p>
          <w:p w14:paraId="2C81834E">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28C7B">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预期指标值</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CBD40">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实际完成指标值</w:t>
            </w:r>
          </w:p>
        </w:tc>
      </w:tr>
      <w:tr w14:paraId="3FD72285">
        <w:tblPrEx>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shd w:val="clear" w:color="auto" w:fill="auto"/>
            <w:vAlign w:val="center"/>
          </w:tcPr>
          <w:p w14:paraId="38A767E8">
            <w:pPr>
              <w:spacing w:line="320" w:lineRule="exact"/>
              <w:jc w:val="center"/>
              <w:rPr>
                <w:rFonts w:ascii="仿宋_GB2312" w:hAnsi="仿宋_GB2312" w:eastAsia="仿宋_GB2312" w:cs="仿宋_GB2312"/>
                <w:sz w:val="28"/>
                <w:szCs w:val="28"/>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013941">
            <w:pPr>
              <w:widowControl/>
              <w:spacing w:line="320" w:lineRule="exact"/>
              <w:jc w:val="center"/>
              <w:textAlignment w:val="bottom"/>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完成</w:t>
            </w:r>
          </w:p>
          <w:p w14:paraId="154F5762">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AAE5CF">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数量指标</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91FC5A">
            <w:pPr>
              <w:widowControl/>
              <w:spacing w:line="320" w:lineRule="exact"/>
              <w:jc w:val="center"/>
              <w:textAlignment w:val="bottom"/>
              <w:rPr>
                <w:rFonts w:ascii="仿宋_GB2312" w:hAnsi="仿宋_GB2312" w:eastAsia="仿宋_GB2312" w:cs="仿宋_GB2312"/>
                <w:sz w:val="28"/>
                <w:szCs w:val="28"/>
              </w:rPr>
            </w:pPr>
            <w:r>
              <w:rPr>
                <w:rFonts w:hint="eastAsia" w:ascii="宋体" w:hAnsi="宋体" w:cs="仿宋_GB2312"/>
                <w:sz w:val="18"/>
                <w:szCs w:val="18"/>
              </w:rPr>
              <w:t>全校师生员工9</w:t>
            </w:r>
            <w:r>
              <w:rPr>
                <w:rFonts w:hint="eastAsia" w:ascii="宋体" w:hAnsi="宋体" w:cs="仿宋_GB2312"/>
                <w:sz w:val="18"/>
                <w:szCs w:val="18"/>
                <w:lang w:val="en-US" w:eastAsia="zh-CN"/>
              </w:rPr>
              <w:t>44</w:t>
            </w:r>
            <w:r>
              <w:rPr>
                <w:rFonts w:hint="eastAsia" w:ascii="宋体" w:hAnsi="宋体" w:cs="仿宋_GB2312"/>
                <w:sz w:val="18"/>
                <w:szCs w:val="18"/>
              </w:rPr>
              <w:t>人</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476BCE">
            <w:pPr>
              <w:widowControl/>
              <w:spacing w:line="320" w:lineRule="exact"/>
              <w:jc w:val="center"/>
              <w:textAlignment w:val="bottom"/>
              <w:rPr>
                <w:rFonts w:ascii="仿宋_GB2312" w:hAnsi="仿宋_GB2312" w:eastAsia="仿宋_GB2312" w:cs="仿宋_GB2312"/>
                <w:sz w:val="28"/>
                <w:szCs w:val="28"/>
              </w:rPr>
            </w:pPr>
            <w:r>
              <w:rPr>
                <w:rFonts w:hint="eastAsia" w:ascii="宋体" w:hAnsi="宋体" w:cs="仿宋_GB2312"/>
                <w:sz w:val="18"/>
                <w:szCs w:val="18"/>
                <w:lang w:val="en-US" w:eastAsia="zh-CN"/>
              </w:rPr>
              <w:t>7575594.08</w:t>
            </w:r>
            <w:r>
              <w:rPr>
                <w:rFonts w:hint="eastAsia" w:ascii="宋体" w:hAnsi="宋体" w:cs="仿宋_GB2312"/>
                <w:sz w:val="18"/>
                <w:szCs w:val="18"/>
              </w:rPr>
              <w:t>元</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1E2B7A">
            <w:pPr>
              <w:widowControl/>
              <w:spacing w:line="320" w:lineRule="exact"/>
              <w:jc w:val="center"/>
              <w:textAlignment w:val="bottom"/>
              <w:rPr>
                <w:rFonts w:ascii="仿宋_GB2312" w:hAnsi="仿宋_GB2312" w:eastAsia="仿宋_GB2312" w:cs="仿宋_GB2312"/>
                <w:sz w:val="28"/>
                <w:szCs w:val="28"/>
              </w:rPr>
            </w:pPr>
            <w:r>
              <w:rPr>
                <w:rFonts w:ascii="宋体" w:hAnsi="宋体" w:cs="宋体"/>
                <w:sz w:val="18"/>
                <w:szCs w:val="18"/>
              </w:rPr>
              <w:t>完成</w:t>
            </w:r>
            <w:r>
              <w:rPr>
                <w:rFonts w:hint="eastAsia" w:ascii="宋体" w:hAnsi="宋体" w:cs="宋体"/>
                <w:sz w:val="18"/>
                <w:szCs w:val="18"/>
                <w:lang w:val="en-US" w:eastAsia="zh-CN"/>
              </w:rPr>
              <w:t>7575594.08</w:t>
            </w:r>
            <w:r>
              <w:rPr>
                <w:rFonts w:ascii="宋体" w:hAnsi="宋体" w:cs="宋体"/>
                <w:sz w:val="18"/>
                <w:szCs w:val="18"/>
              </w:rPr>
              <w:t>元学校</w:t>
            </w:r>
            <w:r>
              <w:rPr>
                <w:rFonts w:hint="eastAsia" w:ascii="宋体" w:hAnsi="宋体" w:cs="宋体"/>
                <w:sz w:val="18"/>
                <w:szCs w:val="18"/>
              </w:rPr>
              <w:t>运转、</w:t>
            </w:r>
            <w:r>
              <w:rPr>
                <w:rFonts w:ascii="宋体" w:hAnsi="宋体" w:cs="宋体"/>
                <w:sz w:val="18"/>
                <w:szCs w:val="18"/>
              </w:rPr>
              <w:t>发展所需</w:t>
            </w:r>
            <w:r>
              <w:rPr>
                <w:rFonts w:hint="eastAsia" w:ascii="宋体" w:hAnsi="宋体" w:cs="宋体"/>
                <w:sz w:val="18"/>
                <w:szCs w:val="18"/>
              </w:rPr>
              <w:t>公用</w:t>
            </w:r>
            <w:r>
              <w:rPr>
                <w:rFonts w:ascii="宋体" w:hAnsi="宋体" w:cs="宋体"/>
                <w:sz w:val="18"/>
                <w:szCs w:val="18"/>
              </w:rPr>
              <w:t>经费</w:t>
            </w:r>
            <w:r>
              <w:rPr>
                <w:rFonts w:hint="eastAsia" w:ascii="宋体" w:hAnsi="宋体" w:cs="宋体"/>
                <w:sz w:val="18"/>
                <w:szCs w:val="18"/>
              </w:rPr>
              <w:t>使用。</w:t>
            </w:r>
          </w:p>
        </w:tc>
      </w:tr>
      <w:tr w14:paraId="57BF6B24">
        <w:tblPrEx>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shd w:val="clear" w:color="auto" w:fill="auto"/>
            <w:vAlign w:val="center"/>
          </w:tcPr>
          <w:p w14:paraId="0CD6CC7D">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0A5AE9D0">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9A901F">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质量指标</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BD73B8">
            <w:pPr>
              <w:widowControl/>
              <w:spacing w:line="320" w:lineRule="exact"/>
              <w:jc w:val="center"/>
              <w:textAlignment w:val="bottom"/>
              <w:rPr>
                <w:rFonts w:ascii="仿宋_GB2312" w:hAnsi="仿宋_GB2312" w:eastAsia="仿宋_GB2312" w:cs="仿宋_GB2312"/>
                <w:sz w:val="28"/>
                <w:szCs w:val="28"/>
              </w:rPr>
            </w:pPr>
            <w:r>
              <w:rPr>
                <w:rFonts w:hint="eastAsia" w:ascii="宋体" w:hAnsi="宋体" w:cs="仿宋_GB2312"/>
                <w:sz w:val="18"/>
                <w:szCs w:val="18"/>
              </w:rPr>
              <w:t>公用经费使用率</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9C2AF7">
            <w:pPr>
              <w:widowControl/>
              <w:spacing w:line="320" w:lineRule="exact"/>
              <w:jc w:val="center"/>
              <w:textAlignment w:val="bottom"/>
              <w:rPr>
                <w:rFonts w:ascii="仿宋_GB2312" w:hAnsi="仿宋_GB2312" w:eastAsia="仿宋_GB2312" w:cs="仿宋_GB2312"/>
                <w:sz w:val="28"/>
                <w:szCs w:val="28"/>
              </w:rPr>
            </w:pPr>
            <w:r>
              <w:rPr>
                <w:rFonts w:hint="eastAsia" w:ascii="宋体" w:hAnsi="宋体" w:cs="仿宋_GB2312"/>
                <w:sz w:val="18"/>
                <w:szCs w:val="18"/>
              </w:rPr>
              <w:t>100%</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DEF907">
            <w:pPr>
              <w:widowControl/>
              <w:spacing w:line="320" w:lineRule="exact"/>
              <w:jc w:val="center"/>
              <w:textAlignment w:val="bottom"/>
              <w:rPr>
                <w:rFonts w:ascii="仿宋_GB2312" w:hAnsi="仿宋_GB2312" w:eastAsia="仿宋_GB2312" w:cs="仿宋_GB2312"/>
                <w:sz w:val="28"/>
                <w:szCs w:val="28"/>
              </w:rPr>
            </w:pPr>
            <w:r>
              <w:rPr>
                <w:rFonts w:hint="eastAsia" w:ascii="宋体" w:hAnsi="宋体" w:cs="仿宋_GB2312"/>
                <w:sz w:val="18"/>
                <w:szCs w:val="18"/>
              </w:rPr>
              <w:t>100%</w:t>
            </w:r>
          </w:p>
        </w:tc>
      </w:tr>
      <w:tr w14:paraId="5EB33560">
        <w:tblPrEx>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shd w:val="clear" w:color="auto" w:fill="auto"/>
            <w:vAlign w:val="center"/>
          </w:tcPr>
          <w:p w14:paraId="052F587E">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337D8D79">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1A1D7A">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时效指标</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2498BA">
            <w:pPr>
              <w:widowControl/>
              <w:spacing w:line="320" w:lineRule="exact"/>
              <w:jc w:val="center"/>
              <w:textAlignment w:val="bottom"/>
              <w:rPr>
                <w:rFonts w:ascii="仿宋_GB2312" w:hAnsi="仿宋_GB2312" w:eastAsia="仿宋_GB2312" w:cs="仿宋_GB2312"/>
                <w:sz w:val="28"/>
                <w:szCs w:val="28"/>
              </w:rPr>
            </w:pPr>
            <w:r>
              <w:rPr>
                <w:rFonts w:hint="eastAsia" w:ascii="宋体" w:hAnsi="宋体" w:cs="仿宋_GB2312"/>
                <w:sz w:val="18"/>
                <w:szCs w:val="18"/>
              </w:rPr>
              <w:t>按计划推进</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ED639D">
            <w:pPr>
              <w:widowControl/>
              <w:spacing w:line="320" w:lineRule="exact"/>
              <w:jc w:val="center"/>
              <w:textAlignment w:val="bottom"/>
              <w:rPr>
                <w:rFonts w:ascii="仿宋_GB2312" w:hAnsi="仿宋_GB2312" w:eastAsia="仿宋_GB2312" w:cs="仿宋_GB2312"/>
                <w:sz w:val="28"/>
                <w:szCs w:val="28"/>
              </w:rPr>
            </w:pPr>
            <w:r>
              <w:rPr>
                <w:rFonts w:hint="eastAsia" w:ascii="宋体" w:hAnsi="宋体" w:cs="仿宋_GB2312"/>
                <w:sz w:val="18"/>
                <w:szCs w:val="18"/>
              </w:rPr>
              <w:t>202</w:t>
            </w:r>
            <w:r>
              <w:rPr>
                <w:rFonts w:hint="eastAsia" w:ascii="宋体" w:hAnsi="宋体" w:cs="仿宋_GB2312"/>
                <w:sz w:val="18"/>
                <w:szCs w:val="18"/>
                <w:lang w:val="en-US" w:eastAsia="zh-CN"/>
              </w:rPr>
              <w:t>2</w:t>
            </w:r>
            <w:r>
              <w:rPr>
                <w:rFonts w:hint="eastAsia" w:ascii="宋体" w:hAnsi="宋体" w:cs="仿宋_GB2312"/>
                <w:sz w:val="18"/>
                <w:szCs w:val="18"/>
              </w:rPr>
              <w:t>年1</w:t>
            </w:r>
            <w:r>
              <w:rPr>
                <w:rFonts w:hint="eastAsia" w:ascii="宋体" w:hAnsi="宋体" w:cs="仿宋_GB2312"/>
                <w:sz w:val="18"/>
                <w:szCs w:val="18"/>
                <w:lang w:eastAsia="zh-CN"/>
              </w:rPr>
              <w:t>—</w:t>
            </w:r>
            <w:r>
              <w:rPr>
                <w:rFonts w:hint="eastAsia" w:ascii="宋体" w:hAnsi="宋体" w:cs="仿宋_GB2312"/>
                <w:sz w:val="18"/>
                <w:szCs w:val="18"/>
              </w:rPr>
              <w:t>12月</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D2CEBB">
            <w:pPr>
              <w:widowControl/>
              <w:spacing w:line="320" w:lineRule="exact"/>
              <w:jc w:val="center"/>
              <w:textAlignment w:val="bottom"/>
              <w:rPr>
                <w:rFonts w:ascii="仿宋_GB2312" w:hAnsi="仿宋_GB2312" w:eastAsia="仿宋_GB2312" w:cs="仿宋_GB2312"/>
                <w:sz w:val="28"/>
                <w:szCs w:val="28"/>
              </w:rPr>
            </w:pPr>
            <w:r>
              <w:rPr>
                <w:rFonts w:hint="eastAsia" w:ascii="宋体" w:hAnsi="宋体" w:cs="仿宋_GB2312"/>
                <w:sz w:val="18"/>
                <w:szCs w:val="18"/>
              </w:rPr>
              <w:t>202</w:t>
            </w:r>
            <w:r>
              <w:rPr>
                <w:rFonts w:hint="eastAsia" w:ascii="宋体" w:hAnsi="宋体" w:cs="仿宋_GB2312"/>
                <w:sz w:val="18"/>
                <w:szCs w:val="18"/>
                <w:lang w:val="en-US" w:eastAsia="zh-CN"/>
              </w:rPr>
              <w:t>2</w:t>
            </w:r>
            <w:r>
              <w:rPr>
                <w:rFonts w:hint="eastAsia" w:ascii="宋体" w:hAnsi="宋体" w:cs="仿宋_GB2312"/>
                <w:sz w:val="18"/>
                <w:szCs w:val="18"/>
              </w:rPr>
              <w:t>年1</w:t>
            </w:r>
            <w:r>
              <w:rPr>
                <w:rFonts w:hint="eastAsia" w:ascii="宋体" w:hAnsi="宋体" w:cs="仿宋_GB2312"/>
                <w:sz w:val="18"/>
                <w:szCs w:val="18"/>
                <w:lang w:eastAsia="zh-CN"/>
              </w:rPr>
              <w:t>—</w:t>
            </w:r>
            <w:r>
              <w:rPr>
                <w:rFonts w:hint="eastAsia" w:ascii="宋体" w:hAnsi="宋体" w:cs="仿宋_GB2312"/>
                <w:sz w:val="18"/>
                <w:szCs w:val="18"/>
              </w:rPr>
              <w:t>12月</w:t>
            </w:r>
          </w:p>
        </w:tc>
      </w:tr>
      <w:tr w14:paraId="52199930">
        <w:tblPrEx>
          <w:tblCellMar>
            <w:top w:w="0" w:type="dxa"/>
            <w:left w:w="108" w:type="dxa"/>
            <w:bottom w:w="0" w:type="dxa"/>
            <w:right w:w="108" w:type="dxa"/>
          </w:tblCellMar>
        </w:tblPrEx>
        <w:trPr>
          <w:gridAfter w:val="1"/>
          <w:wAfter w:w="236" w:type="dxa"/>
          <w:trHeight w:val="480" w:hRule="atLeast"/>
        </w:trPr>
        <w:tc>
          <w:tcPr>
            <w:tcW w:w="1976" w:type="dxa"/>
            <w:vMerge w:val="continue"/>
            <w:tcBorders>
              <w:left w:val="single" w:color="000000" w:sz="4" w:space="0"/>
              <w:right w:val="single" w:color="000000" w:sz="4" w:space="0"/>
            </w:tcBorders>
            <w:shd w:val="clear" w:color="auto" w:fill="auto"/>
            <w:vAlign w:val="center"/>
          </w:tcPr>
          <w:p w14:paraId="6D8BFB5D">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21CB8115">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17D3D0">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成本指标</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E462CD">
            <w:pPr>
              <w:widowControl/>
              <w:spacing w:line="320" w:lineRule="exact"/>
              <w:jc w:val="center"/>
              <w:textAlignment w:val="bottom"/>
              <w:rPr>
                <w:rFonts w:ascii="仿宋_GB2312" w:hAnsi="仿宋_GB2312" w:eastAsia="仿宋_GB2312" w:cs="仿宋_GB2312"/>
                <w:sz w:val="28"/>
                <w:szCs w:val="28"/>
              </w:rPr>
            </w:pPr>
            <w:r>
              <w:rPr>
                <w:rFonts w:ascii="宋体" w:hAnsi="宋体" w:cs="宋体"/>
                <w:sz w:val="18"/>
                <w:szCs w:val="18"/>
              </w:rPr>
              <w:t>学校</w:t>
            </w:r>
            <w:r>
              <w:rPr>
                <w:rFonts w:hint="eastAsia" w:ascii="宋体" w:hAnsi="宋体" w:cs="宋体"/>
                <w:sz w:val="18"/>
                <w:szCs w:val="18"/>
              </w:rPr>
              <w:t>运转、</w:t>
            </w:r>
            <w:r>
              <w:rPr>
                <w:rFonts w:ascii="宋体" w:hAnsi="宋体" w:cs="宋体"/>
                <w:sz w:val="18"/>
                <w:szCs w:val="18"/>
              </w:rPr>
              <w:t>发展所需</w:t>
            </w:r>
            <w:r>
              <w:rPr>
                <w:rFonts w:hint="eastAsia" w:ascii="宋体" w:hAnsi="宋体" w:cs="宋体"/>
                <w:sz w:val="18"/>
                <w:szCs w:val="18"/>
              </w:rPr>
              <w:t>公用</w:t>
            </w:r>
            <w:r>
              <w:rPr>
                <w:rFonts w:ascii="宋体" w:hAnsi="宋体" w:cs="宋体"/>
                <w:sz w:val="18"/>
                <w:szCs w:val="18"/>
              </w:rPr>
              <w:t>经费</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F0A7E4">
            <w:pPr>
              <w:widowControl/>
              <w:spacing w:line="320" w:lineRule="exact"/>
              <w:jc w:val="center"/>
              <w:textAlignment w:val="bottom"/>
              <w:rPr>
                <w:rFonts w:ascii="仿宋_GB2312" w:hAnsi="仿宋_GB2312" w:eastAsia="仿宋_GB2312" w:cs="仿宋_GB2312"/>
                <w:sz w:val="28"/>
                <w:szCs w:val="28"/>
              </w:rPr>
            </w:pPr>
            <w:r>
              <w:rPr>
                <w:rFonts w:hint="eastAsia" w:ascii="宋体" w:hAnsi="宋体" w:cs="仿宋_GB2312"/>
                <w:sz w:val="18"/>
                <w:szCs w:val="18"/>
                <w:lang w:val="en-US" w:eastAsia="zh-CN"/>
              </w:rPr>
              <w:t>7575594.08</w:t>
            </w:r>
            <w:r>
              <w:rPr>
                <w:rFonts w:hint="eastAsia" w:ascii="宋体" w:hAnsi="宋体" w:cs="仿宋_GB2312"/>
                <w:sz w:val="18"/>
                <w:szCs w:val="18"/>
              </w:rPr>
              <w:t>元</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6E5C24">
            <w:pPr>
              <w:widowControl/>
              <w:spacing w:line="320" w:lineRule="exact"/>
              <w:jc w:val="center"/>
              <w:textAlignment w:val="bottom"/>
              <w:rPr>
                <w:rFonts w:ascii="仿宋_GB2312" w:hAnsi="仿宋_GB2312" w:eastAsia="仿宋_GB2312" w:cs="仿宋_GB2312"/>
                <w:sz w:val="28"/>
                <w:szCs w:val="28"/>
              </w:rPr>
            </w:pPr>
            <w:r>
              <w:rPr>
                <w:rFonts w:ascii="宋体" w:hAnsi="宋体" w:cs="宋体"/>
                <w:sz w:val="18"/>
                <w:szCs w:val="18"/>
              </w:rPr>
              <w:t>完成</w:t>
            </w:r>
            <w:r>
              <w:rPr>
                <w:rFonts w:hint="eastAsia" w:ascii="宋体" w:hAnsi="宋体" w:cs="宋体"/>
                <w:sz w:val="18"/>
                <w:szCs w:val="18"/>
                <w:lang w:val="en-US" w:eastAsia="zh-CN"/>
              </w:rPr>
              <w:t>7575594.08</w:t>
            </w:r>
            <w:r>
              <w:rPr>
                <w:rFonts w:ascii="宋体" w:hAnsi="宋体" w:cs="宋体"/>
                <w:sz w:val="18"/>
                <w:szCs w:val="18"/>
              </w:rPr>
              <w:t>元学校</w:t>
            </w:r>
            <w:r>
              <w:rPr>
                <w:rFonts w:hint="eastAsia" w:ascii="宋体" w:hAnsi="宋体" w:cs="宋体"/>
                <w:sz w:val="18"/>
                <w:szCs w:val="18"/>
              </w:rPr>
              <w:t>运转、</w:t>
            </w:r>
            <w:r>
              <w:rPr>
                <w:rFonts w:ascii="宋体" w:hAnsi="宋体" w:cs="宋体"/>
                <w:sz w:val="18"/>
                <w:szCs w:val="18"/>
              </w:rPr>
              <w:t>发展所需</w:t>
            </w:r>
            <w:r>
              <w:rPr>
                <w:rFonts w:hint="eastAsia" w:ascii="宋体" w:hAnsi="宋体" w:cs="宋体"/>
                <w:sz w:val="18"/>
                <w:szCs w:val="18"/>
              </w:rPr>
              <w:t>公用</w:t>
            </w:r>
            <w:r>
              <w:rPr>
                <w:rFonts w:ascii="宋体" w:hAnsi="宋体" w:cs="宋体"/>
                <w:sz w:val="18"/>
                <w:szCs w:val="18"/>
              </w:rPr>
              <w:t>经费</w:t>
            </w:r>
            <w:r>
              <w:rPr>
                <w:rFonts w:hint="eastAsia" w:ascii="宋体" w:hAnsi="宋体" w:cs="宋体"/>
                <w:sz w:val="18"/>
                <w:szCs w:val="18"/>
              </w:rPr>
              <w:t>使用。</w:t>
            </w:r>
          </w:p>
        </w:tc>
      </w:tr>
      <w:tr w14:paraId="22291D25">
        <w:tblPrEx>
          <w:tblCellMar>
            <w:top w:w="0" w:type="dxa"/>
            <w:left w:w="108" w:type="dxa"/>
            <w:bottom w:w="0" w:type="dxa"/>
            <w:right w:w="108" w:type="dxa"/>
          </w:tblCellMar>
        </w:tblPrEx>
        <w:trPr>
          <w:gridAfter w:val="1"/>
          <w:wAfter w:w="236" w:type="dxa"/>
          <w:trHeight w:val="480" w:hRule="atLeast"/>
        </w:trPr>
        <w:tc>
          <w:tcPr>
            <w:tcW w:w="1976" w:type="dxa"/>
            <w:vMerge w:val="continue"/>
            <w:tcBorders>
              <w:left w:val="single" w:color="000000" w:sz="4" w:space="0"/>
              <w:right w:val="single" w:color="000000" w:sz="4" w:space="0"/>
            </w:tcBorders>
            <w:shd w:val="clear" w:color="auto" w:fill="auto"/>
            <w:vAlign w:val="center"/>
          </w:tcPr>
          <w:p w14:paraId="2CA6022B">
            <w:pPr>
              <w:spacing w:line="320" w:lineRule="exact"/>
              <w:jc w:val="center"/>
              <w:rPr>
                <w:rFonts w:ascii="仿宋_GB2312" w:hAnsi="仿宋_GB2312" w:eastAsia="仿宋_GB2312" w:cs="仿宋_GB2312"/>
                <w:sz w:val="28"/>
                <w:szCs w:val="28"/>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10EB2D">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效益</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3A8334">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经济效益  指标</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164918">
            <w:pPr>
              <w:widowControl/>
              <w:spacing w:line="320" w:lineRule="exact"/>
              <w:jc w:val="center"/>
              <w:textAlignment w:val="bottom"/>
              <w:rPr>
                <w:rFonts w:ascii="仿宋_GB2312" w:hAnsi="仿宋_GB2312" w:eastAsia="仿宋_GB2312" w:cs="仿宋_GB2312"/>
                <w:sz w:val="28"/>
                <w:szCs w:val="28"/>
              </w:rPr>
            </w:pPr>
            <w:r>
              <w:rPr>
                <w:rFonts w:hint="eastAsia" w:ascii="宋体" w:hAnsi="宋体" w:cs="仿宋_GB2312"/>
                <w:sz w:val="18"/>
                <w:szCs w:val="18"/>
              </w:rPr>
              <w:t>完成全年教育教学、</w:t>
            </w:r>
            <w:r>
              <w:rPr>
                <w:rFonts w:hint="eastAsia" w:ascii="宋体" w:hAnsi="宋体" w:cs="仿宋_GB2312"/>
                <w:sz w:val="18"/>
                <w:szCs w:val="18"/>
                <w:lang w:eastAsia="zh-CN"/>
              </w:rPr>
              <w:t>“双减”工作</w:t>
            </w:r>
            <w:r>
              <w:rPr>
                <w:rFonts w:hint="eastAsia" w:ascii="宋体" w:hAnsi="宋体" w:cs="仿宋_GB2312"/>
                <w:sz w:val="18"/>
                <w:szCs w:val="18"/>
              </w:rPr>
              <w:t>、幼儿发展。</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4222E3">
            <w:pPr>
              <w:widowControl/>
              <w:spacing w:line="320" w:lineRule="exact"/>
              <w:jc w:val="center"/>
              <w:textAlignment w:val="bottom"/>
              <w:rPr>
                <w:rFonts w:ascii="仿宋_GB2312" w:hAnsi="仿宋_GB2312" w:eastAsia="仿宋_GB2312" w:cs="仿宋_GB2312"/>
                <w:sz w:val="28"/>
                <w:szCs w:val="28"/>
              </w:rPr>
            </w:pPr>
            <w:r>
              <w:rPr>
                <w:rFonts w:hint="eastAsia" w:ascii="宋体" w:hAnsi="宋体" w:cs="仿宋_GB2312"/>
                <w:sz w:val="18"/>
                <w:szCs w:val="18"/>
              </w:rPr>
              <w:t>增加</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AEDE7B">
            <w:pPr>
              <w:widowControl/>
              <w:spacing w:line="320" w:lineRule="exact"/>
              <w:jc w:val="center"/>
              <w:textAlignment w:val="bottom"/>
              <w:rPr>
                <w:rFonts w:ascii="仿宋_GB2312" w:hAnsi="仿宋_GB2312" w:eastAsia="仿宋_GB2312" w:cs="仿宋_GB2312"/>
                <w:sz w:val="28"/>
                <w:szCs w:val="28"/>
              </w:rPr>
            </w:pPr>
            <w:r>
              <w:rPr>
                <w:rFonts w:hint="eastAsia" w:ascii="宋体" w:hAnsi="宋体" w:cs="仿宋_GB2312"/>
                <w:sz w:val="18"/>
                <w:szCs w:val="18"/>
              </w:rPr>
              <w:t>增加</w:t>
            </w:r>
          </w:p>
        </w:tc>
      </w:tr>
      <w:tr w14:paraId="641EF3D5">
        <w:tblPrEx>
          <w:tblCellMar>
            <w:top w:w="0" w:type="dxa"/>
            <w:left w:w="108" w:type="dxa"/>
            <w:bottom w:w="0" w:type="dxa"/>
            <w:right w:w="108" w:type="dxa"/>
          </w:tblCellMar>
        </w:tblPrEx>
        <w:trPr>
          <w:gridAfter w:val="1"/>
          <w:wAfter w:w="236" w:type="dxa"/>
          <w:trHeight w:val="480" w:hRule="atLeast"/>
        </w:trPr>
        <w:tc>
          <w:tcPr>
            <w:tcW w:w="1976" w:type="dxa"/>
            <w:vMerge w:val="continue"/>
            <w:tcBorders>
              <w:left w:val="single" w:color="000000" w:sz="4" w:space="0"/>
              <w:right w:val="single" w:color="000000" w:sz="4" w:space="0"/>
            </w:tcBorders>
            <w:shd w:val="clear" w:color="auto" w:fill="auto"/>
            <w:vAlign w:val="center"/>
          </w:tcPr>
          <w:p w14:paraId="770E1B14">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48B1562A">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D662BB">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社会效益  指标</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DDDAAE">
            <w:pPr>
              <w:widowControl/>
              <w:spacing w:line="320" w:lineRule="exact"/>
              <w:jc w:val="center"/>
              <w:textAlignment w:val="bottom"/>
              <w:rPr>
                <w:rFonts w:ascii="仿宋_GB2312" w:hAnsi="仿宋_GB2312" w:eastAsia="仿宋_GB2312" w:cs="仿宋_GB2312"/>
                <w:sz w:val="28"/>
                <w:szCs w:val="28"/>
              </w:rPr>
            </w:pPr>
            <w:r>
              <w:rPr>
                <w:rFonts w:hint="eastAsia" w:ascii="宋体" w:hAnsi="宋体" w:cs="仿宋_GB2312"/>
                <w:sz w:val="18"/>
                <w:szCs w:val="18"/>
              </w:rPr>
              <w:t>提升学生素质</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E1F918">
            <w:pPr>
              <w:widowControl/>
              <w:spacing w:line="320" w:lineRule="exact"/>
              <w:jc w:val="center"/>
              <w:textAlignment w:val="bottom"/>
              <w:rPr>
                <w:rFonts w:ascii="仿宋_GB2312" w:hAnsi="仿宋_GB2312" w:eastAsia="仿宋_GB2312" w:cs="仿宋_GB2312"/>
                <w:sz w:val="28"/>
                <w:szCs w:val="28"/>
              </w:rPr>
            </w:pPr>
            <w:r>
              <w:rPr>
                <w:rFonts w:hint="eastAsia" w:ascii="宋体" w:hAnsi="宋体" w:cs="仿宋_GB2312"/>
                <w:sz w:val="18"/>
                <w:szCs w:val="18"/>
              </w:rPr>
              <w:t>提高</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06CDC1">
            <w:pPr>
              <w:widowControl/>
              <w:spacing w:line="320" w:lineRule="exact"/>
              <w:jc w:val="center"/>
              <w:textAlignment w:val="bottom"/>
              <w:rPr>
                <w:rFonts w:ascii="仿宋_GB2312" w:hAnsi="仿宋_GB2312" w:eastAsia="仿宋_GB2312" w:cs="仿宋_GB2312"/>
                <w:sz w:val="28"/>
                <w:szCs w:val="28"/>
              </w:rPr>
            </w:pPr>
            <w:r>
              <w:rPr>
                <w:rFonts w:hint="eastAsia" w:ascii="宋体" w:hAnsi="宋体" w:cs="仿宋_GB2312"/>
                <w:sz w:val="18"/>
                <w:szCs w:val="18"/>
              </w:rPr>
              <w:t>提高</w:t>
            </w:r>
          </w:p>
        </w:tc>
      </w:tr>
      <w:tr w14:paraId="274AB343">
        <w:tblPrEx>
          <w:tblCellMar>
            <w:top w:w="0" w:type="dxa"/>
            <w:left w:w="108" w:type="dxa"/>
            <w:bottom w:w="0" w:type="dxa"/>
            <w:right w:w="108" w:type="dxa"/>
          </w:tblCellMar>
        </w:tblPrEx>
        <w:trPr>
          <w:gridAfter w:val="1"/>
          <w:wAfter w:w="236" w:type="dxa"/>
          <w:trHeight w:val="577" w:hRule="atLeast"/>
        </w:trPr>
        <w:tc>
          <w:tcPr>
            <w:tcW w:w="1976" w:type="dxa"/>
            <w:vMerge w:val="continue"/>
            <w:tcBorders>
              <w:left w:val="single" w:color="000000" w:sz="4" w:space="0"/>
              <w:right w:val="single" w:color="000000" w:sz="4" w:space="0"/>
            </w:tcBorders>
            <w:shd w:val="clear" w:color="auto" w:fill="auto"/>
            <w:vAlign w:val="center"/>
          </w:tcPr>
          <w:p w14:paraId="34D15F9A">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7E3753C5">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81D2C9">
            <w:pPr>
              <w:widowControl/>
              <w:spacing w:line="320" w:lineRule="exact"/>
              <w:ind w:left="463" w:leftChars="87" w:hanging="280" w:hangingChars="100"/>
              <w:jc w:val="left"/>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生态效益  指标</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1C2B23">
            <w:pPr>
              <w:widowControl/>
              <w:spacing w:line="320" w:lineRule="exact"/>
              <w:jc w:val="center"/>
              <w:textAlignment w:val="bottom"/>
              <w:rPr>
                <w:rFonts w:ascii="仿宋_GB2312" w:hAnsi="仿宋_GB2312" w:eastAsia="仿宋_GB2312" w:cs="仿宋_GB2312"/>
                <w:sz w:val="28"/>
                <w:szCs w:val="28"/>
              </w:rPr>
            </w:pPr>
            <w:r>
              <w:rPr>
                <w:rFonts w:hint="eastAsia" w:ascii="宋体" w:hAnsi="宋体" w:cs="仿宋_GB2312"/>
                <w:sz w:val="18"/>
                <w:szCs w:val="18"/>
              </w:rPr>
              <w:t>改善人居环境、美化校园</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1E55DB">
            <w:pPr>
              <w:widowControl/>
              <w:spacing w:line="320" w:lineRule="exact"/>
              <w:jc w:val="center"/>
              <w:textAlignment w:val="bottom"/>
              <w:rPr>
                <w:rFonts w:ascii="仿宋_GB2312" w:hAnsi="仿宋_GB2312" w:eastAsia="仿宋_GB2312" w:cs="仿宋_GB2312"/>
                <w:sz w:val="28"/>
                <w:szCs w:val="28"/>
              </w:rPr>
            </w:pPr>
            <w:r>
              <w:rPr>
                <w:rFonts w:hint="eastAsia" w:ascii="宋体" w:hAnsi="宋体" w:cs="仿宋_GB2312"/>
                <w:sz w:val="18"/>
                <w:szCs w:val="18"/>
              </w:rPr>
              <w:t>优</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34B081">
            <w:pPr>
              <w:widowControl/>
              <w:spacing w:line="320" w:lineRule="exact"/>
              <w:jc w:val="center"/>
              <w:textAlignment w:val="bottom"/>
              <w:rPr>
                <w:rFonts w:ascii="仿宋_GB2312" w:hAnsi="仿宋_GB2312" w:eastAsia="仿宋_GB2312" w:cs="仿宋_GB2312"/>
                <w:sz w:val="28"/>
                <w:szCs w:val="28"/>
              </w:rPr>
            </w:pPr>
            <w:r>
              <w:rPr>
                <w:rFonts w:hint="eastAsia" w:ascii="宋体" w:hAnsi="宋体" w:cs="仿宋_GB2312"/>
                <w:sz w:val="18"/>
                <w:szCs w:val="18"/>
              </w:rPr>
              <w:t>优</w:t>
            </w:r>
          </w:p>
        </w:tc>
      </w:tr>
      <w:tr w14:paraId="16FE9F6C">
        <w:tblPrEx>
          <w:tblCellMar>
            <w:top w:w="0" w:type="dxa"/>
            <w:left w:w="108" w:type="dxa"/>
            <w:bottom w:w="0" w:type="dxa"/>
            <w:right w:w="108" w:type="dxa"/>
          </w:tblCellMar>
        </w:tblPrEx>
        <w:trPr>
          <w:gridAfter w:val="1"/>
          <w:wAfter w:w="236" w:type="dxa"/>
          <w:trHeight w:val="480" w:hRule="atLeast"/>
        </w:trPr>
        <w:tc>
          <w:tcPr>
            <w:tcW w:w="1976" w:type="dxa"/>
            <w:vMerge w:val="continue"/>
            <w:tcBorders>
              <w:left w:val="single" w:color="000000" w:sz="4" w:space="0"/>
              <w:right w:val="single" w:color="000000" w:sz="4" w:space="0"/>
            </w:tcBorders>
            <w:shd w:val="clear" w:color="auto" w:fill="auto"/>
            <w:vAlign w:val="center"/>
          </w:tcPr>
          <w:p w14:paraId="52B5FAF5">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3EA162FA">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2C000F">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可持续影响 指标</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A77CE9">
            <w:pPr>
              <w:widowControl/>
              <w:spacing w:line="320" w:lineRule="exact"/>
              <w:jc w:val="center"/>
              <w:textAlignment w:val="bottom"/>
              <w:rPr>
                <w:rFonts w:ascii="仿宋_GB2312" w:hAnsi="仿宋_GB2312" w:eastAsia="仿宋_GB2312" w:cs="仿宋_GB2312"/>
                <w:sz w:val="28"/>
                <w:szCs w:val="28"/>
              </w:rPr>
            </w:pPr>
            <w:r>
              <w:rPr>
                <w:rFonts w:hint="eastAsia" w:ascii="宋体" w:hAnsi="宋体" w:cs="仿宋_GB2312"/>
                <w:sz w:val="18"/>
                <w:szCs w:val="18"/>
              </w:rPr>
              <w:t>长效管理机制</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4A3091">
            <w:pPr>
              <w:widowControl/>
              <w:spacing w:line="320" w:lineRule="exact"/>
              <w:jc w:val="center"/>
              <w:textAlignment w:val="bottom"/>
              <w:rPr>
                <w:rFonts w:ascii="仿宋_GB2312" w:hAnsi="仿宋_GB2312" w:eastAsia="仿宋_GB2312" w:cs="仿宋_GB2312"/>
                <w:sz w:val="28"/>
                <w:szCs w:val="28"/>
              </w:rPr>
            </w:pPr>
            <w:r>
              <w:rPr>
                <w:rFonts w:hint="eastAsia" w:ascii="宋体" w:hAnsi="宋体" w:cs="仿宋_GB2312"/>
                <w:sz w:val="18"/>
                <w:szCs w:val="18"/>
              </w:rPr>
              <w:t>100%</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A802F8">
            <w:pPr>
              <w:widowControl/>
              <w:spacing w:line="320" w:lineRule="exact"/>
              <w:jc w:val="center"/>
              <w:textAlignment w:val="bottom"/>
              <w:rPr>
                <w:rFonts w:ascii="仿宋_GB2312" w:hAnsi="仿宋_GB2312" w:eastAsia="仿宋_GB2312" w:cs="仿宋_GB2312"/>
                <w:sz w:val="28"/>
                <w:szCs w:val="28"/>
              </w:rPr>
            </w:pPr>
            <w:r>
              <w:rPr>
                <w:rFonts w:hint="eastAsia" w:ascii="宋体" w:hAnsi="宋体" w:cs="仿宋_GB2312"/>
                <w:sz w:val="18"/>
                <w:szCs w:val="18"/>
              </w:rPr>
              <w:t>100%</w:t>
            </w:r>
          </w:p>
        </w:tc>
      </w:tr>
      <w:tr w14:paraId="13E39894">
        <w:tblPrEx>
          <w:tblCellMar>
            <w:top w:w="0" w:type="dxa"/>
            <w:left w:w="108" w:type="dxa"/>
            <w:bottom w:w="0" w:type="dxa"/>
            <w:right w:w="108" w:type="dxa"/>
          </w:tblCellMar>
        </w:tblPrEx>
        <w:trPr>
          <w:gridAfter w:val="1"/>
          <w:wAfter w:w="236" w:type="dxa"/>
          <w:trHeight w:val="530" w:hRule="atLeast"/>
        </w:trPr>
        <w:tc>
          <w:tcPr>
            <w:tcW w:w="1976" w:type="dxa"/>
            <w:vMerge w:val="continue"/>
            <w:tcBorders>
              <w:left w:val="single" w:color="000000" w:sz="4" w:space="0"/>
              <w:bottom w:val="single" w:color="000000" w:sz="4" w:space="0"/>
              <w:right w:val="single" w:color="000000" w:sz="4" w:space="0"/>
            </w:tcBorders>
            <w:shd w:val="clear" w:color="auto" w:fill="auto"/>
            <w:vAlign w:val="center"/>
          </w:tcPr>
          <w:p w14:paraId="7A5E3082">
            <w:pPr>
              <w:spacing w:line="320" w:lineRule="exact"/>
              <w:jc w:val="center"/>
              <w:rPr>
                <w:rFonts w:ascii="仿宋_GB2312" w:hAnsi="仿宋_GB2312" w:eastAsia="仿宋_GB2312" w:cs="仿宋_GB2312"/>
                <w:sz w:val="28"/>
                <w:szCs w:val="28"/>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E3EABC">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满意</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55AA92">
            <w:pPr>
              <w:widowControl/>
              <w:spacing w:line="320" w:lineRule="exact"/>
              <w:jc w:val="center"/>
              <w:textAlignment w:val="bottom"/>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满意度</w:t>
            </w:r>
          </w:p>
          <w:p w14:paraId="449CD744">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958E80">
            <w:pPr>
              <w:widowControl/>
              <w:spacing w:line="320" w:lineRule="exact"/>
              <w:jc w:val="center"/>
              <w:textAlignment w:val="bottom"/>
              <w:rPr>
                <w:rFonts w:ascii="仿宋_GB2312" w:hAnsi="仿宋_GB2312" w:eastAsia="仿宋_GB2312" w:cs="仿宋_GB2312"/>
                <w:sz w:val="28"/>
                <w:szCs w:val="28"/>
              </w:rPr>
            </w:pPr>
            <w:r>
              <w:rPr>
                <w:rFonts w:hint="eastAsia" w:ascii="宋体" w:hAnsi="宋体" w:cs="仿宋_GB2312"/>
                <w:sz w:val="18"/>
                <w:szCs w:val="18"/>
              </w:rPr>
              <w:tab/>
            </w:r>
            <w:r>
              <w:rPr>
                <w:rFonts w:hint="eastAsia" w:ascii="宋体" w:hAnsi="宋体" w:cs="仿宋_GB2312"/>
                <w:sz w:val="18"/>
                <w:szCs w:val="18"/>
              </w:rPr>
              <w:t>学生及家长满意</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12C202">
            <w:pPr>
              <w:widowControl/>
              <w:spacing w:line="320" w:lineRule="exact"/>
              <w:jc w:val="center"/>
              <w:textAlignment w:val="bottom"/>
              <w:rPr>
                <w:rFonts w:ascii="仿宋_GB2312" w:hAnsi="仿宋_GB2312" w:eastAsia="仿宋_GB2312" w:cs="仿宋_GB2312"/>
                <w:sz w:val="28"/>
                <w:szCs w:val="28"/>
              </w:rPr>
            </w:pPr>
            <w:r>
              <w:rPr>
                <w:rFonts w:hint="eastAsia" w:ascii="宋体" w:hAnsi="宋体" w:cs="仿宋_GB2312"/>
                <w:sz w:val="18"/>
                <w:szCs w:val="18"/>
              </w:rPr>
              <w:t>9</w:t>
            </w:r>
            <w:r>
              <w:rPr>
                <w:rFonts w:hint="eastAsia" w:ascii="宋体" w:hAnsi="宋体" w:cs="仿宋_GB2312"/>
                <w:sz w:val="18"/>
                <w:szCs w:val="18"/>
                <w:lang w:val="en-US" w:eastAsia="zh-CN"/>
              </w:rPr>
              <w:t>8</w:t>
            </w:r>
            <w:r>
              <w:rPr>
                <w:rFonts w:hint="eastAsia" w:ascii="宋体" w:hAnsi="宋体" w:cs="仿宋_GB2312"/>
                <w:sz w:val="18"/>
                <w:szCs w:val="18"/>
              </w:rPr>
              <w:t>%</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DD98E3">
            <w:pPr>
              <w:widowControl/>
              <w:spacing w:line="320" w:lineRule="exact"/>
              <w:jc w:val="center"/>
              <w:textAlignment w:val="bottom"/>
              <w:rPr>
                <w:rFonts w:ascii="仿宋_GB2312" w:hAnsi="仿宋_GB2312" w:eastAsia="仿宋_GB2312" w:cs="仿宋_GB2312"/>
                <w:sz w:val="28"/>
                <w:szCs w:val="28"/>
              </w:rPr>
            </w:pPr>
            <w:r>
              <w:rPr>
                <w:rFonts w:hint="eastAsia" w:ascii="宋体" w:hAnsi="宋体" w:cs="仿宋_GB2312"/>
                <w:sz w:val="18"/>
                <w:szCs w:val="18"/>
              </w:rPr>
              <w:t>9</w:t>
            </w:r>
            <w:r>
              <w:rPr>
                <w:rFonts w:hint="eastAsia" w:ascii="宋体" w:hAnsi="宋体" w:cs="仿宋_GB2312"/>
                <w:sz w:val="18"/>
                <w:szCs w:val="18"/>
                <w:lang w:val="en-US" w:eastAsia="zh-CN"/>
              </w:rPr>
              <w:t>6</w:t>
            </w:r>
            <w:r>
              <w:rPr>
                <w:rFonts w:hint="eastAsia" w:ascii="宋体" w:hAnsi="宋体" w:cs="仿宋_GB2312"/>
                <w:sz w:val="18"/>
                <w:szCs w:val="18"/>
              </w:rPr>
              <w:t>%</w:t>
            </w:r>
          </w:p>
        </w:tc>
      </w:tr>
    </w:tbl>
    <w:p w14:paraId="41110840">
      <w:pPr>
        <w:pStyle w:val="2"/>
        <w:spacing w:before="93"/>
      </w:pPr>
    </w:p>
    <w:p w14:paraId="2E386A38">
      <w:pPr>
        <w:spacing w:line="600" w:lineRule="exact"/>
        <w:jc w:val="center"/>
        <w:outlineLvl w:val="0"/>
        <w:rPr>
          <w:rFonts w:ascii="仿宋" w:hAnsi="仿宋" w:eastAsia="仿宋"/>
        </w:rPr>
      </w:pPr>
      <w:r>
        <w:rPr>
          <w:rFonts w:hint="eastAsia" w:ascii="黑体" w:hAnsi="黑体" w:eastAsia="黑体"/>
          <w:sz w:val="44"/>
          <w:szCs w:val="44"/>
        </w:rPr>
        <w:t>第</w:t>
      </w:r>
      <w:r>
        <w:rPr>
          <w:rStyle w:val="25"/>
          <w:rFonts w:hint="eastAsia" w:ascii="黑体" w:hAnsi="黑体" w:eastAsia="黑体"/>
          <w:b w:val="0"/>
        </w:rPr>
        <w:t>五部分 附表</w:t>
      </w:r>
      <w:bookmarkEnd w:id="51"/>
      <w:bookmarkEnd w:id="53"/>
      <w:bookmarkStart w:id="54" w:name="_Toc15396619"/>
    </w:p>
    <w:p w14:paraId="6026A182">
      <w:pPr>
        <w:pStyle w:val="4"/>
        <w:rPr>
          <w:rFonts w:ascii="仿宋" w:hAnsi="仿宋" w:eastAsia="仿宋"/>
        </w:rPr>
      </w:pPr>
      <w:r>
        <w:rPr>
          <w:rFonts w:hint="eastAsia" w:ascii="仿宋" w:hAnsi="仿宋" w:eastAsia="仿宋"/>
          <w:b w:val="0"/>
        </w:rPr>
        <w:t>一、收</w:t>
      </w:r>
      <w:r>
        <w:rPr>
          <w:rStyle w:val="26"/>
          <w:rFonts w:hint="eastAsia" w:ascii="仿宋" w:hAnsi="仿宋" w:eastAsia="仿宋"/>
          <w:b w:val="0"/>
          <w:bCs w:val="0"/>
        </w:rPr>
        <w:t>入支出决算总表</w:t>
      </w:r>
      <w:bookmarkEnd w:id="54"/>
    </w:p>
    <w:p w14:paraId="7F3CDE39">
      <w:pPr>
        <w:pStyle w:val="4"/>
        <w:rPr>
          <w:rFonts w:ascii="仿宋" w:hAnsi="仿宋" w:eastAsia="仿宋"/>
        </w:rPr>
      </w:pPr>
      <w:bookmarkStart w:id="55" w:name="_Toc15396620"/>
      <w:r>
        <w:rPr>
          <w:rFonts w:hint="eastAsia" w:ascii="仿宋" w:hAnsi="仿宋" w:eastAsia="仿宋"/>
          <w:b w:val="0"/>
        </w:rPr>
        <w:t>二、收</w:t>
      </w:r>
      <w:r>
        <w:rPr>
          <w:rStyle w:val="26"/>
          <w:rFonts w:hint="eastAsia" w:ascii="仿宋" w:hAnsi="仿宋" w:eastAsia="仿宋"/>
          <w:b w:val="0"/>
          <w:bCs w:val="0"/>
        </w:rPr>
        <w:t>入决算表</w:t>
      </w:r>
      <w:bookmarkEnd w:id="55"/>
    </w:p>
    <w:p w14:paraId="7CCD7846">
      <w:pPr>
        <w:pStyle w:val="4"/>
        <w:rPr>
          <w:rFonts w:ascii="仿宋" w:hAnsi="仿宋" w:eastAsia="仿宋"/>
        </w:rPr>
      </w:pPr>
      <w:bookmarkStart w:id="56" w:name="_Toc15396621"/>
      <w:r>
        <w:rPr>
          <w:rStyle w:val="26"/>
          <w:rFonts w:hint="eastAsia" w:ascii="仿宋" w:hAnsi="仿宋" w:eastAsia="仿宋"/>
          <w:b w:val="0"/>
          <w:bCs w:val="0"/>
        </w:rPr>
        <w:t>三、</w:t>
      </w:r>
      <w:r>
        <w:rPr>
          <w:rFonts w:hint="eastAsia" w:ascii="仿宋" w:hAnsi="仿宋" w:eastAsia="仿宋"/>
          <w:b w:val="0"/>
        </w:rPr>
        <w:t>支</w:t>
      </w:r>
      <w:r>
        <w:rPr>
          <w:rStyle w:val="26"/>
          <w:rFonts w:hint="eastAsia" w:ascii="仿宋" w:hAnsi="仿宋" w:eastAsia="仿宋"/>
          <w:b w:val="0"/>
          <w:bCs w:val="0"/>
        </w:rPr>
        <w:t>出决算表</w:t>
      </w:r>
      <w:bookmarkEnd w:id="56"/>
    </w:p>
    <w:p w14:paraId="19C7070A">
      <w:pPr>
        <w:pStyle w:val="4"/>
        <w:rPr>
          <w:rFonts w:ascii="仿宋" w:hAnsi="仿宋" w:eastAsia="仿宋"/>
          <w:b w:val="0"/>
        </w:rPr>
      </w:pPr>
      <w:bookmarkStart w:id="57" w:name="_Toc15396622"/>
      <w:r>
        <w:rPr>
          <w:rStyle w:val="26"/>
          <w:rFonts w:hint="eastAsia" w:ascii="仿宋" w:hAnsi="仿宋" w:eastAsia="仿宋"/>
          <w:b w:val="0"/>
          <w:bCs w:val="0"/>
        </w:rPr>
        <w:t>四、</w:t>
      </w:r>
      <w:r>
        <w:rPr>
          <w:rFonts w:hint="eastAsia" w:ascii="仿宋" w:hAnsi="仿宋" w:eastAsia="仿宋"/>
          <w:b w:val="0"/>
        </w:rPr>
        <w:t>财</w:t>
      </w:r>
      <w:r>
        <w:rPr>
          <w:rStyle w:val="26"/>
          <w:rFonts w:hint="eastAsia" w:ascii="仿宋" w:hAnsi="仿宋" w:eastAsia="仿宋"/>
          <w:b w:val="0"/>
          <w:bCs w:val="0"/>
        </w:rPr>
        <w:t>政拨款收入支出决算总表</w:t>
      </w:r>
      <w:bookmarkEnd w:id="57"/>
    </w:p>
    <w:p w14:paraId="47961ACB">
      <w:pPr>
        <w:pStyle w:val="4"/>
        <w:rPr>
          <w:rStyle w:val="26"/>
          <w:rFonts w:ascii="仿宋" w:hAnsi="仿宋" w:eastAsia="仿宋"/>
          <w:b w:val="0"/>
          <w:bCs w:val="0"/>
        </w:rPr>
      </w:pPr>
      <w:bookmarkStart w:id="58" w:name="_Toc15396623"/>
      <w:r>
        <w:rPr>
          <w:rStyle w:val="26"/>
          <w:rFonts w:hint="eastAsia" w:ascii="仿宋" w:hAnsi="仿宋" w:eastAsia="仿宋"/>
          <w:b w:val="0"/>
          <w:bCs w:val="0"/>
        </w:rPr>
        <w:t>五、</w:t>
      </w:r>
      <w:r>
        <w:rPr>
          <w:rFonts w:hint="eastAsia" w:ascii="仿宋" w:hAnsi="仿宋" w:eastAsia="仿宋"/>
          <w:b w:val="0"/>
        </w:rPr>
        <w:t>财</w:t>
      </w:r>
      <w:r>
        <w:rPr>
          <w:rStyle w:val="26"/>
          <w:rFonts w:hint="eastAsia" w:ascii="仿宋" w:hAnsi="仿宋" w:eastAsia="仿宋"/>
          <w:b w:val="0"/>
          <w:bCs w:val="0"/>
        </w:rPr>
        <w:t>政拨款支出决算明细表</w:t>
      </w:r>
      <w:bookmarkEnd w:id="58"/>
      <w:bookmarkStart w:id="59" w:name="_Toc15396624"/>
    </w:p>
    <w:p w14:paraId="0B7BA98E">
      <w:pPr>
        <w:pStyle w:val="4"/>
        <w:rPr>
          <w:rFonts w:ascii="仿宋" w:hAnsi="仿宋" w:eastAsia="仿宋"/>
        </w:rPr>
      </w:pPr>
      <w:r>
        <w:rPr>
          <w:rStyle w:val="26"/>
          <w:rFonts w:hint="eastAsia" w:ascii="仿宋" w:hAnsi="仿宋" w:eastAsia="仿宋"/>
          <w:b w:val="0"/>
          <w:bCs w:val="0"/>
        </w:rPr>
        <w:t>六、</w:t>
      </w:r>
      <w:r>
        <w:rPr>
          <w:rFonts w:hint="eastAsia" w:ascii="仿宋" w:hAnsi="仿宋" w:eastAsia="仿宋"/>
          <w:b w:val="0"/>
        </w:rPr>
        <w:t>一</w:t>
      </w:r>
      <w:r>
        <w:rPr>
          <w:rStyle w:val="26"/>
          <w:rFonts w:hint="eastAsia" w:ascii="仿宋" w:hAnsi="仿宋" w:eastAsia="仿宋"/>
          <w:b w:val="0"/>
          <w:bCs w:val="0"/>
        </w:rPr>
        <w:t>般公共预算财政拨款支出决算表</w:t>
      </w:r>
      <w:bookmarkEnd w:id="59"/>
    </w:p>
    <w:p w14:paraId="4CCFA52F">
      <w:pPr>
        <w:pStyle w:val="4"/>
        <w:rPr>
          <w:rFonts w:ascii="仿宋" w:hAnsi="仿宋" w:eastAsia="仿宋"/>
        </w:rPr>
      </w:pPr>
      <w:bookmarkStart w:id="60" w:name="_Toc15396625"/>
      <w:r>
        <w:rPr>
          <w:rStyle w:val="26"/>
          <w:rFonts w:hint="eastAsia" w:ascii="仿宋" w:hAnsi="仿宋" w:eastAsia="仿宋"/>
          <w:b w:val="0"/>
          <w:bCs w:val="0"/>
        </w:rPr>
        <w:t>七、</w:t>
      </w:r>
      <w:r>
        <w:rPr>
          <w:rFonts w:hint="eastAsia" w:ascii="仿宋" w:hAnsi="仿宋" w:eastAsia="仿宋"/>
          <w:b w:val="0"/>
        </w:rPr>
        <w:t>一</w:t>
      </w:r>
      <w:r>
        <w:rPr>
          <w:rStyle w:val="26"/>
          <w:rFonts w:hint="eastAsia" w:ascii="仿宋" w:hAnsi="仿宋" w:eastAsia="仿宋"/>
          <w:b w:val="0"/>
          <w:bCs w:val="0"/>
        </w:rPr>
        <w:t>般公共预算财政拨款支出决算明细表</w:t>
      </w:r>
      <w:bookmarkEnd w:id="60"/>
    </w:p>
    <w:p w14:paraId="5BF19662">
      <w:pPr>
        <w:pStyle w:val="4"/>
        <w:rPr>
          <w:rFonts w:ascii="仿宋" w:hAnsi="仿宋" w:eastAsia="仿宋"/>
        </w:rPr>
      </w:pPr>
      <w:bookmarkStart w:id="61" w:name="_Toc15396626"/>
      <w:r>
        <w:rPr>
          <w:rStyle w:val="26"/>
          <w:rFonts w:hint="eastAsia" w:ascii="仿宋" w:hAnsi="仿宋" w:eastAsia="仿宋"/>
          <w:b w:val="0"/>
          <w:bCs w:val="0"/>
        </w:rPr>
        <w:t>八、</w:t>
      </w:r>
      <w:r>
        <w:rPr>
          <w:rFonts w:hint="eastAsia" w:ascii="仿宋" w:hAnsi="仿宋" w:eastAsia="仿宋"/>
          <w:b w:val="0"/>
        </w:rPr>
        <w:t>一</w:t>
      </w:r>
      <w:r>
        <w:rPr>
          <w:rStyle w:val="26"/>
          <w:rFonts w:hint="eastAsia" w:ascii="仿宋" w:hAnsi="仿宋" w:eastAsia="仿宋"/>
          <w:b w:val="0"/>
          <w:bCs w:val="0"/>
        </w:rPr>
        <w:t>般公共预算财政拨款基本支出决算表</w:t>
      </w:r>
      <w:bookmarkEnd w:id="61"/>
    </w:p>
    <w:p w14:paraId="5A5AF6A4">
      <w:pPr>
        <w:pStyle w:val="4"/>
        <w:rPr>
          <w:rFonts w:ascii="仿宋" w:hAnsi="仿宋" w:eastAsia="仿宋"/>
        </w:rPr>
      </w:pPr>
      <w:bookmarkStart w:id="62" w:name="_Toc15396627"/>
      <w:r>
        <w:rPr>
          <w:rStyle w:val="26"/>
          <w:rFonts w:hint="eastAsia" w:ascii="仿宋" w:hAnsi="仿宋" w:eastAsia="仿宋"/>
          <w:b w:val="0"/>
          <w:bCs w:val="0"/>
        </w:rPr>
        <w:t>九、</w:t>
      </w:r>
      <w:r>
        <w:rPr>
          <w:rFonts w:hint="eastAsia" w:ascii="仿宋" w:hAnsi="仿宋" w:eastAsia="仿宋"/>
          <w:b w:val="0"/>
        </w:rPr>
        <w:t>一</w:t>
      </w:r>
      <w:r>
        <w:rPr>
          <w:rStyle w:val="26"/>
          <w:rFonts w:hint="eastAsia" w:ascii="仿宋" w:hAnsi="仿宋" w:eastAsia="仿宋"/>
          <w:b w:val="0"/>
          <w:bCs w:val="0"/>
        </w:rPr>
        <w:t>般公共预算财政拨款项目支出决算表</w:t>
      </w:r>
      <w:bookmarkEnd w:id="62"/>
    </w:p>
    <w:p w14:paraId="00C8E7C4">
      <w:pPr>
        <w:pStyle w:val="4"/>
        <w:rPr>
          <w:rFonts w:ascii="仿宋" w:hAnsi="仿宋" w:eastAsia="仿宋"/>
        </w:rPr>
      </w:pPr>
      <w:bookmarkStart w:id="63" w:name="_Toc15396628"/>
      <w:r>
        <w:rPr>
          <w:rStyle w:val="26"/>
          <w:rFonts w:hint="eastAsia" w:ascii="仿宋" w:hAnsi="仿宋" w:eastAsia="仿宋"/>
          <w:b w:val="0"/>
          <w:bCs w:val="0"/>
        </w:rPr>
        <w:t>十、</w:t>
      </w:r>
      <w:r>
        <w:rPr>
          <w:rFonts w:hint="eastAsia" w:ascii="仿宋" w:hAnsi="仿宋" w:eastAsia="仿宋"/>
          <w:b w:val="0"/>
        </w:rPr>
        <w:t>一</w:t>
      </w:r>
      <w:r>
        <w:rPr>
          <w:rStyle w:val="26"/>
          <w:rFonts w:hint="eastAsia" w:ascii="仿宋" w:hAnsi="仿宋" w:eastAsia="仿宋"/>
          <w:b w:val="0"/>
          <w:bCs w:val="0"/>
        </w:rPr>
        <w:t>般公共预算财政拨款“三公”经费支出决算表</w:t>
      </w:r>
      <w:bookmarkEnd w:id="63"/>
    </w:p>
    <w:p w14:paraId="79B48FE1">
      <w:pPr>
        <w:pStyle w:val="4"/>
        <w:rPr>
          <w:rFonts w:ascii="仿宋" w:hAnsi="仿宋" w:eastAsia="仿宋"/>
        </w:rPr>
      </w:pPr>
      <w:bookmarkStart w:id="64" w:name="_Toc15396629"/>
      <w:r>
        <w:rPr>
          <w:rStyle w:val="26"/>
          <w:rFonts w:hint="eastAsia" w:ascii="仿宋" w:hAnsi="仿宋" w:eastAsia="仿宋"/>
          <w:b w:val="0"/>
          <w:bCs w:val="0"/>
        </w:rPr>
        <w:t>十一、</w:t>
      </w:r>
      <w:r>
        <w:rPr>
          <w:rFonts w:hint="eastAsia" w:ascii="仿宋" w:hAnsi="仿宋" w:eastAsia="仿宋"/>
          <w:b w:val="0"/>
        </w:rPr>
        <w:t>政</w:t>
      </w:r>
      <w:r>
        <w:rPr>
          <w:rStyle w:val="26"/>
          <w:rFonts w:hint="eastAsia" w:ascii="仿宋" w:hAnsi="仿宋" w:eastAsia="仿宋"/>
          <w:b w:val="0"/>
          <w:bCs w:val="0"/>
        </w:rPr>
        <w:t>府性基金预算财政拨款收入支出决算表</w:t>
      </w:r>
      <w:bookmarkEnd w:id="64"/>
    </w:p>
    <w:p w14:paraId="5F7F9F66">
      <w:pPr>
        <w:pStyle w:val="4"/>
        <w:rPr>
          <w:rFonts w:ascii="仿宋" w:hAnsi="仿宋" w:eastAsia="仿宋"/>
        </w:rPr>
      </w:pPr>
      <w:bookmarkStart w:id="65" w:name="_Toc15396630"/>
      <w:r>
        <w:rPr>
          <w:rStyle w:val="26"/>
          <w:rFonts w:hint="eastAsia" w:ascii="仿宋" w:hAnsi="仿宋" w:eastAsia="仿宋"/>
          <w:b w:val="0"/>
          <w:bCs w:val="0"/>
        </w:rPr>
        <w:t>十二、</w:t>
      </w:r>
      <w:r>
        <w:rPr>
          <w:rFonts w:hint="eastAsia" w:ascii="仿宋" w:hAnsi="仿宋" w:eastAsia="仿宋"/>
          <w:b w:val="0"/>
        </w:rPr>
        <w:t>政</w:t>
      </w:r>
      <w:r>
        <w:rPr>
          <w:rStyle w:val="26"/>
          <w:rFonts w:hint="eastAsia" w:ascii="仿宋" w:hAnsi="仿宋" w:eastAsia="仿宋"/>
          <w:b w:val="0"/>
          <w:bCs w:val="0"/>
        </w:rPr>
        <w:t>府性基金预算财政拨款“三公”经费支出决算表</w:t>
      </w:r>
      <w:bookmarkEnd w:id="65"/>
    </w:p>
    <w:p w14:paraId="18BB6310">
      <w:pPr>
        <w:pStyle w:val="4"/>
        <w:rPr>
          <w:rStyle w:val="26"/>
          <w:rFonts w:ascii="仿宋" w:hAnsi="仿宋" w:eastAsia="仿宋"/>
          <w:b w:val="0"/>
          <w:bCs w:val="0"/>
        </w:rPr>
      </w:pPr>
      <w:bookmarkStart w:id="66" w:name="_Toc15396631"/>
      <w:r>
        <w:rPr>
          <w:rStyle w:val="26"/>
          <w:rFonts w:hint="eastAsia" w:ascii="仿宋" w:hAnsi="仿宋" w:eastAsia="仿宋"/>
          <w:b w:val="0"/>
          <w:bCs w:val="0"/>
        </w:rPr>
        <w:t>十三、</w:t>
      </w:r>
      <w:r>
        <w:rPr>
          <w:rFonts w:hint="eastAsia" w:ascii="仿宋" w:hAnsi="仿宋" w:eastAsia="仿宋"/>
          <w:b w:val="0"/>
        </w:rPr>
        <w:t>国</w:t>
      </w:r>
      <w:r>
        <w:rPr>
          <w:rStyle w:val="26"/>
          <w:rFonts w:hint="eastAsia" w:ascii="仿宋" w:hAnsi="仿宋" w:eastAsia="仿宋"/>
          <w:b w:val="0"/>
          <w:bCs w:val="0"/>
        </w:rPr>
        <w:t>有资本经营预算财政拨款收入支出决算表</w:t>
      </w:r>
      <w:bookmarkEnd w:id="66"/>
    </w:p>
    <w:p w14:paraId="4D26D9E3">
      <w:pPr>
        <w:rPr>
          <w:rFonts w:eastAsia="仿宋"/>
        </w:rPr>
      </w:pPr>
      <w:r>
        <w:rPr>
          <w:rStyle w:val="26"/>
          <w:rFonts w:hint="eastAsia" w:ascii="仿宋" w:hAnsi="仿宋" w:eastAsia="仿宋"/>
          <w:b w:val="0"/>
          <w:bCs w:val="0"/>
        </w:rPr>
        <w:t>十四、国有资本经营预算财政拨款支出决算表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1CED81CD">
        <w:pPr>
          <w:pStyle w:val="8"/>
          <w:jc w:val="center"/>
        </w:pPr>
        <w:r>
          <w:fldChar w:fldCharType="begin"/>
        </w:r>
        <w:r>
          <w:instrText xml:space="preserve">PAGE   \* MERGEFORMAT</w:instrText>
        </w:r>
        <w:r>
          <w:fldChar w:fldCharType="separate"/>
        </w:r>
        <w:r>
          <w:rPr>
            <w:lang w:val="zh-CN"/>
          </w:rPr>
          <w:t>20</w:t>
        </w:r>
        <w:r>
          <w:fldChar w:fldCharType="end"/>
        </w:r>
      </w:p>
    </w:sdtContent>
  </w:sdt>
  <w:p w14:paraId="4A988D92">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DF19F">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5MGUyNzMxZTVlNDNhMThjMmUyOTMzMDRhNzFhZmEifQ=="/>
  </w:docVars>
  <w:rsids>
    <w:rsidRoot w:val="00F1361C"/>
    <w:rsid w:val="000207E8"/>
    <w:rsid w:val="000222C6"/>
    <w:rsid w:val="0002549F"/>
    <w:rsid w:val="00035B32"/>
    <w:rsid w:val="000401B8"/>
    <w:rsid w:val="000468DB"/>
    <w:rsid w:val="0006487A"/>
    <w:rsid w:val="00065F8F"/>
    <w:rsid w:val="00070A43"/>
    <w:rsid w:val="000717B0"/>
    <w:rsid w:val="00074778"/>
    <w:rsid w:val="000768F2"/>
    <w:rsid w:val="0009184B"/>
    <w:rsid w:val="0009254B"/>
    <w:rsid w:val="00094236"/>
    <w:rsid w:val="0009593C"/>
    <w:rsid w:val="00097322"/>
    <w:rsid w:val="000A6A92"/>
    <w:rsid w:val="000B047F"/>
    <w:rsid w:val="000B5923"/>
    <w:rsid w:val="000B5A48"/>
    <w:rsid w:val="000B6FF3"/>
    <w:rsid w:val="000C3467"/>
    <w:rsid w:val="000C3CA6"/>
    <w:rsid w:val="000D1267"/>
    <w:rsid w:val="000D1D50"/>
    <w:rsid w:val="000D2BCE"/>
    <w:rsid w:val="000D5782"/>
    <w:rsid w:val="000E19C9"/>
    <w:rsid w:val="000E6613"/>
    <w:rsid w:val="000E7119"/>
    <w:rsid w:val="00114E9B"/>
    <w:rsid w:val="00124460"/>
    <w:rsid w:val="00124B47"/>
    <w:rsid w:val="00126921"/>
    <w:rsid w:val="00142216"/>
    <w:rsid w:val="00144D6A"/>
    <w:rsid w:val="001455DB"/>
    <w:rsid w:val="0014729F"/>
    <w:rsid w:val="00153A71"/>
    <w:rsid w:val="00157BAB"/>
    <w:rsid w:val="001654D1"/>
    <w:rsid w:val="00174518"/>
    <w:rsid w:val="0018106D"/>
    <w:rsid w:val="001877A7"/>
    <w:rsid w:val="00191536"/>
    <w:rsid w:val="00195D0E"/>
    <w:rsid w:val="00196687"/>
    <w:rsid w:val="001A1850"/>
    <w:rsid w:val="001C0962"/>
    <w:rsid w:val="001C16B5"/>
    <w:rsid w:val="001C190D"/>
    <w:rsid w:val="001C3795"/>
    <w:rsid w:val="001D39A0"/>
    <w:rsid w:val="001D7531"/>
    <w:rsid w:val="001E71F3"/>
    <w:rsid w:val="001E737D"/>
    <w:rsid w:val="001F0592"/>
    <w:rsid w:val="001F1C12"/>
    <w:rsid w:val="001F3472"/>
    <w:rsid w:val="001F6397"/>
    <w:rsid w:val="001F7506"/>
    <w:rsid w:val="002006CD"/>
    <w:rsid w:val="00202B36"/>
    <w:rsid w:val="00204B7A"/>
    <w:rsid w:val="00204CDE"/>
    <w:rsid w:val="00205BC4"/>
    <w:rsid w:val="0021101A"/>
    <w:rsid w:val="00213BE4"/>
    <w:rsid w:val="00214FC2"/>
    <w:rsid w:val="00220536"/>
    <w:rsid w:val="00235629"/>
    <w:rsid w:val="0024020D"/>
    <w:rsid w:val="00260C38"/>
    <w:rsid w:val="002616C0"/>
    <w:rsid w:val="00265372"/>
    <w:rsid w:val="002662AA"/>
    <w:rsid w:val="00270F48"/>
    <w:rsid w:val="00280496"/>
    <w:rsid w:val="00280DE8"/>
    <w:rsid w:val="00294DC9"/>
    <w:rsid w:val="00295495"/>
    <w:rsid w:val="00296FAD"/>
    <w:rsid w:val="002A31DE"/>
    <w:rsid w:val="002B2613"/>
    <w:rsid w:val="002C31DF"/>
    <w:rsid w:val="002D5263"/>
    <w:rsid w:val="002D626A"/>
    <w:rsid w:val="002D6D05"/>
    <w:rsid w:val="002F1818"/>
    <w:rsid w:val="002F295F"/>
    <w:rsid w:val="002F567B"/>
    <w:rsid w:val="00313B69"/>
    <w:rsid w:val="003216A9"/>
    <w:rsid w:val="00325C96"/>
    <w:rsid w:val="00335A74"/>
    <w:rsid w:val="00341988"/>
    <w:rsid w:val="00347956"/>
    <w:rsid w:val="0035238F"/>
    <w:rsid w:val="0035295B"/>
    <w:rsid w:val="0036561B"/>
    <w:rsid w:val="0037013F"/>
    <w:rsid w:val="00380C92"/>
    <w:rsid w:val="003A484F"/>
    <w:rsid w:val="003A4883"/>
    <w:rsid w:val="003B0BE0"/>
    <w:rsid w:val="003B0C1B"/>
    <w:rsid w:val="003B1DCB"/>
    <w:rsid w:val="003B688C"/>
    <w:rsid w:val="003C0291"/>
    <w:rsid w:val="003C39AE"/>
    <w:rsid w:val="003C7B60"/>
    <w:rsid w:val="003D0C0F"/>
    <w:rsid w:val="003D1FB2"/>
    <w:rsid w:val="003D66DA"/>
    <w:rsid w:val="003E1310"/>
    <w:rsid w:val="003E6456"/>
    <w:rsid w:val="003E6F55"/>
    <w:rsid w:val="003F2425"/>
    <w:rsid w:val="00406254"/>
    <w:rsid w:val="004134CD"/>
    <w:rsid w:val="00417723"/>
    <w:rsid w:val="004223DE"/>
    <w:rsid w:val="00430A38"/>
    <w:rsid w:val="00434489"/>
    <w:rsid w:val="00437085"/>
    <w:rsid w:val="00443880"/>
    <w:rsid w:val="004464F4"/>
    <w:rsid w:val="00463E29"/>
    <w:rsid w:val="00470865"/>
    <w:rsid w:val="00471401"/>
    <w:rsid w:val="00473F31"/>
    <w:rsid w:val="0048263A"/>
    <w:rsid w:val="0048368B"/>
    <w:rsid w:val="00487E5D"/>
    <w:rsid w:val="004A68AF"/>
    <w:rsid w:val="004A711F"/>
    <w:rsid w:val="004B199D"/>
    <w:rsid w:val="004B4690"/>
    <w:rsid w:val="004B67FF"/>
    <w:rsid w:val="004D5693"/>
    <w:rsid w:val="004D7425"/>
    <w:rsid w:val="004E0A2D"/>
    <w:rsid w:val="004E206B"/>
    <w:rsid w:val="004E6DF7"/>
    <w:rsid w:val="004F0FBD"/>
    <w:rsid w:val="004F2A8F"/>
    <w:rsid w:val="00505A47"/>
    <w:rsid w:val="00512FDA"/>
    <w:rsid w:val="00520DA0"/>
    <w:rsid w:val="005664BB"/>
    <w:rsid w:val="00566FFA"/>
    <w:rsid w:val="00567EFC"/>
    <w:rsid w:val="00571DD8"/>
    <w:rsid w:val="0057481D"/>
    <w:rsid w:val="0058486E"/>
    <w:rsid w:val="00585B33"/>
    <w:rsid w:val="0059014D"/>
    <w:rsid w:val="005B5C64"/>
    <w:rsid w:val="005B6C84"/>
    <w:rsid w:val="005C5337"/>
    <w:rsid w:val="005C6BD0"/>
    <w:rsid w:val="005C7528"/>
    <w:rsid w:val="005D1C8B"/>
    <w:rsid w:val="005D468D"/>
    <w:rsid w:val="005D5CED"/>
    <w:rsid w:val="005F1A4C"/>
    <w:rsid w:val="005F381A"/>
    <w:rsid w:val="005F5E58"/>
    <w:rsid w:val="00601F23"/>
    <w:rsid w:val="00604A9F"/>
    <w:rsid w:val="00605688"/>
    <w:rsid w:val="006070AF"/>
    <w:rsid w:val="0060790B"/>
    <w:rsid w:val="00607E6C"/>
    <w:rsid w:val="006101B1"/>
    <w:rsid w:val="00614E44"/>
    <w:rsid w:val="00615167"/>
    <w:rsid w:val="0062270A"/>
    <w:rsid w:val="00622830"/>
    <w:rsid w:val="00623D19"/>
    <w:rsid w:val="00623DA0"/>
    <w:rsid w:val="00630AEF"/>
    <w:rsid w:val="006325F8"/>
    <w:rsid w:val="00633463"/>
    <w:rsid w:val="00634C9A"/>
    <w:rsid w:val="00641222"/>
    <w:rsid w:val="006440E4"/>
    <w:rsid w:val="00660C3A"/>
    <w:rsid w:val="0066343B"/>
    <w:rsid w:val="00664777"/>
    <w:rsid w:val="00667097"/>
    <w:rsid w:val="006748A4"/>
    <w:rsid w:val="006753E9"/>
    <w:rsid w:val="00681A31"/>
    <w:rsid w:val="00683E73"/>
    <w:rsid w:val="00692AF7"/>
    <w:rsid w:val="006A1399"/>
    <w:rsid w:val="006A3141"/>
    <w:rsid w:val="006A5E34"/>
    <w:rsid w:val="006B2422"/>
    <w:rsid w:val="006B2B9A"/>
    <w:rsid w:val="006C1937"/>
    <w:rsid w:val="006F020C"/>
    <w:rsid w:val="00711DD9"/>
    <w:rsid w:val="007127B7"/>
    <w:rsid w:val="0071354A"/>
    <w:rsid w:val="00716543"/>
    <w:rsid w:val="0071798E"/>
    <w:rsid w:val="007416B6"/>
    <w:rsid w:val="00746F48"/>
    <w:rsid w:val="0075404D"/>
    <w:rsid w:val="00761243"/>
    <w:rsid w:val="0076182A"/>
    <w:rsid w:val="007670C8"/>
    <w:rsid w:val="00767B7E"/>
    <w:rsid w:val="00776C6F"/>
    <w:rsid w:val="007770C3"/>
    <w:rsid w:val="00784D24"/>
    <w:rsid w:val="00785FBA"/>
    <w:rsid w:val="00786E4A"/>
    <w:rsid w:val="007875EB"/>
    <w:rsid w:val="0079426B"/>
    <w:rsid w:val="007B4DBF"/>
    <w:rsid w:val="007C0B27"/>
    <w:rsid w:val="007C7045"/>
    <w:rsid w:val="007D1682"/>
    <w:rsid w:val="007D312A"/>
    <w:rsid w:val="007D3F19"/>
    <w:rsid w:val="007E23B0"/>
    <w:rsid w:val="007E23E5"/>
    <w:rsid w:val="007F1991"/>
    <w:rsid w:val="007F2C2F"/>
    <w:rsid w:val="007F55FC"/>
    <w:rsid w:val="007F5665"/>
    <w:rsid w:val="00800112"/>
    <w:rsid w:val="0080194E"/>
    <w:rsid w:val="00813348"/>
    <w:rsid w:val="00815D63"/>
    <w:rsid w:val="00817EE1"/>
    <w:rsid w:val="008228EF"/>
    <w:rsid w:val="00824946"/>
    <w:rsid w:val="008253BB"/>
    <w:rsid w:val="0083706E"/>
    <w:rsid w:val="008408F6"/>
    <w:rsid w:val="008423A5"/>
    <w:rsid w:val="00850625"/>
    <w:rsid w:val="00853718"/>
    <w:rsid w:val="00855221"/>
    <w:rsid w:val="00860645"/>
    <w:rsid w:val="00871F71"/>
    <w:rsid w:val="00872FD8"/>
    <w:rsid w:val="008745E4"/>
    <w:rsid w:val="00885AF4"/>
    <w:rsid w:val="008939CD"/>
    <w:rsid w:val="00893A87"/>
    <w:rsid w:val="008A66A4"/>
    <w:rsid w:val="008B768C"/>
    <w:rsid w:val="008C0EEA"/>
    <w:rsid w:val="008C4DB1"/>
    <w:rsid w:val="008C4EAF"/>
    <w:rsid w:val="008C5176"/>
    <w:rsid w:val="008C7FD0"/>
    <w:rsid w:val="008E1DE7"/>
    <w:rsid w:val="008E648B"/>
    <w:rsid w:val="008E707C"/>
    <w:rsid w:val="008F13E0"/>
    <w:rsid w:val="00900B08"/>
    <w:rsid w:val="00902155"/>
    <w:rsid w:val="00902FA3"/>
    <w:rsid w:val="00904B94"/>
    <w:rsid w:val="00907C20"/>
    <w:rsid w:val="00910C2B"/>
    <w:rsid w:val="00917F27"/>
    <w:rsid w:val="00923564"/>
    <w:rsid w:val="0092392E"/>
    <w:rsid w:val="00923FB3"/>
    <w:rsid w:val="009252C1"/>
    <w:rsid w:val="009315F9"/>
    <w:rsid w:val="00933499"/>
    <w:rsid w:val="00935C98"/>
    <w:rsid w:val="00937D3B"/>
    <w:rsid w:val="00946062"/>
    <w:rsid w:val="00946945"/>
    <w:rsid w:val="00951248"/>
    <w:rsid w:val="0095152F"/>
    <w:rsid w:val="00954C49"/>
    <w:rsid w:val="00955E37"/>
    <w:rsid w:val="0097099F"/>
    <w:rsid w:val="00971997"/>
    <w:rsid w:val="00971FFC"/>
    <w:rsid w:val="0098660A"/>
    <w:rsid w:val="009931C3"/>
    <w:rsid w:val="009A19FF"/>
    <w:rsid w:val="009B2C43"/>
    <w:rsid w:val="009B4EAE"/>
    <w:rsid w:val="009B5AD1"/>
    <w:rsid w:val="009B7573"/>
    <w:rsid w:val="009C22F4"/>
    <w:rsid w:val="009C2A4B"/>
    <w:rsid w:val="009C2E98"/>
    <w:rsid w:val="009D20BE"/>
    <w:rsid w:val="009D3447"/>
    <w:rsid w:val="009D45CA"/>
    <w:rsid w:val="009D4711"/>
    <w:rsid w:val="009F1185"/>
    <w:rsid w:val="009F18CD"/>
    <w:rsid w:val="009F2A13"/>
    <w:rsid w:val="009F319F"/>
    <w:rsid w:val="009F7527"/>
    <w:rsid w:val="00A04EB0"/>
    <w:rsid w:val="00A1340C"/>
    <w:rsid w:val="00A13CC1"/>
    <w:rsid w:val="00A16847"/>
    <w:rsid w:val="00A237D8"/>
    <w:rsid w:val="00A268C4"/>
    <w:rsid w:val="00A307CD"/>
    <w:rsid w:val="00A331C8"/>
    <w:rsid w:val="00A40A00"/>
    <w:rsid w:val="00A4142F"/>
    <w:rsid w:val="00A422EB"/>
    <w:rsid w:val="00A45BB7"/>
    <w:rsid w:val="00A4652C"/>
    <w:rsid w:val="00A46E8D"/>
    <w:rsid w:val="00A56DF2"/>
    <w:rsid w:val="00A56E6E"/>
    <w:rsid w:val="00A67AB5"/>
    <w:rsid w:val="00A733B2"/>
    <w:rsid w:val="00A741C2"/>
    <w:rsid w:val="00A8464B"/>
    <w:rsid w:val="00A91760"/>
    <w:rsid w:val="00A93B00"/>
    <w:rsid w:val="00A93C21"/>
    <w:rsid w:val="00A970E8"/>
    <w:rsid w:val="00AB64C9"/>
    <w:rsid w:val="00AC3C6A"/>
    <w:rsid w:val="00AD5620"/>
    <w:rsid w:val="00AD656B"/>
    <w:rsid w:val="00AD7C1B"/>
    <w:rsid w:val="00AE16BA"/>
    <w:rsid w:val="00AE1EBE"/>
    <w:rsid w:val="00AF307F"/>
    <w:rsid w:val="00AF77B1"/>
    <w:rsid w:val="00B034F9"/>
    <w:rsid w:val="00B03C9D"/>
    <w:rsid w:val="00B060AE"/>
    <w:rsid w:val="00B10517"/>
    <w:rsid w:val="00B10CE7"/>
    <w:rsid w:val="00B14E76"/>
    <w:rsid w:val="00B151AB"/>
    <w:rsid w:val="00B161B8"/>
    <w:rsid w:val="00B2048C"/>
    <w:rsid w:val="00B310B9"/>
    <w:rsid w:val="00B339CC"/>
    <w:rsid w:val="00B35F3F"/>
    <w:rsid w:val="00B36CBB"/>
    <w:rsid w:val="00B425E0"/>
    <w:rsid w:val="00B42ABB"/>
    <w:rsid w:val="00B440AA"/>
    <w:rsid w:val="00B44B70"/>
    <w:rsid w:val="00B44E5D"/>
    <w:rsid w:val="00B53C56"/>
    <w:rsid w:val="00B559D6"/>
    <w:rsid w:val="00B57DAF"/>
    <w:rsid w:val="00B603F0"/>
    <w:rsid w:val="00B77EA6"/>
    <w:rsid w:val="00B81598"/>
    <w:rsid w:val="00B841F1"/>
    <w:rsid w:val="00B944D6"/>
    <w:rsid w:val="00B967DE"/>
    <w:rsid w:val="00BB00D7"/>
    <w:rsid w:val="00BB4DF0"/>
    <w:rsid w:val="00BC289F"/>
    <w:rsid w:val="00BC2D50"/>
    <w:rsid w:val="00BC5361"/>
    <w:rsid w:val="00BC5460"/>
    <w:rsid w:val="00BC6B50"/>
    <w:rsid w:val="00BD0E25"/>
    <w:rsid w:val="00BF5BD6"/>
    <w:rsid w:val="00C03E31"/>
    <w:rsid w:val="00C10F94"/>
    <w:rsid w:val="00C246E8"/>
    <w:rsid w:val="00C24C9A"/>
    <w:rsid w:val="00C26171"/>
    <w:rsid w:val="00C3238E"/>
    <w:rsid w:val="00C33E72"/>
    <w:rsid w:val="00C354B2"/>
    <w:rsid w:val="00C35554"/>
    <w:rsid w:val="00C3556F"/>
    <w:rsid w:val="00C367C3"/>
    <w:rsid w:val="00C42709"/>
    <w:rsid w:val="00C533CC"/>
    <w:rsid w:val="00C5751C"/>
    <w:rsid w:val="00C61BFC"/>
    <w:rsid w:val="00C62B85"/>
    <w:rsid w:val="00C65438"/>
    <w:rsid w:val="00C724F5"/>
    <w:rsid w:val="00C81218"/>
    <w:rsid w:val="00C8509B"/>
    <w:rsid w:val="00C87FD8"/>
    <w:rsid w:val="00C91381"/>
    <w:rsid w:val="00C91CBB"/>
    <w:rsid w:val="00CB4E70"/>
    <w:rsid w:val="00CC09B6"/>
    <w:rsid w:val="00CC164E"/>
    <w:rsid w:val="00CC666F"/>
    <w:rsid w:val="00CC74AD"/>
    <w:rsid w:val="00CD0E17"/>
    <w:rsid w:val="00CD1E3F"/>
    <w:rsid w:val="00CE0B28"/>
    <w:rsid w:val="00CE44F6"/>
    <w:rsid w:val="00CE49DA"/>
    <w:rsid w:val="00CE5F2C"/>
    <w:rsid w:val="00CE7B61"/>
    <w:rsid w:val="00D00095"/>
    <w:rsid w:val="00D114F0"/>
    <w:rsid w:val="00D12494"/>
    <w:rsid w:val="00D12CF1"/>
    <w:rsid w:val="00D1323C"/>
    <w:rsid w:val="00D20620"/>
    <w:rsid w:val="00D254F7"/>
    <w:rsid w:val="00D26091"/>
    <w:rsid w:val="00D2685C"/>
    <w:rsid w:val="00D34E7C"/>
    <w:rsid w:val="00D35489"/>
    <w:rsid w:val="00D36AFE"/>
    <w:rsid w:val="00D40E30"/>
    <w:rsid w:val="00D51276"/>
    <w:rsid w:val="00D537DA"/>
    <w:rsid w:val="00D7035F"/>
    <w:rsid w:val="00D813F5"/>
    <w:rsid w:val="00DA634F"/>
    <w:rsid w:val="00DA65AC"/>
    <w:rsid w:val="00DB1913"/>
    <w:rsid w:val="00DB7CAB"/>
    <w:rsid w:val="00DC410D"/>
    <w:rsid w:val="00DC5A81"/>
    <w:rsid w:val="00DC68CA"/>
    <w:rsid w:val="00DC7CBA"/>
    <w:rsid w:val="00DD0022"/>
    <w:rsid w:val="00DD73B7"/>
    <w:rsid w:val="00DE257A"/>
    <w:rsid w:val="00DE4CE2"/>
    <w:rsid w:val="00DF05A2"/>
    <w:rsid w:val="00DF28BC"/>
    <w:rsid w:val="00DF34B9"/>
    <w:rsid w:val="00E01053"/>
    <w:rsid w:val="00E07ACF"/>
    <w:rsid w:val="00E24956"/>
    <w:rsid w:val="00E331A1"/>
    <w:rsid w:val="00E33202"/>
    <w:rsid w:val="00E336A9"/>
    <w:rsid w:val="00E35E12"/>
    <w:rsid w:val="00E46DAD"/>
    <w:rsid w:val="00E472B1"/>
    <w:rsid w:val="00E50624"/>
    <w:rsid w:val="00E52ECF"/>
    <w:rsid w:val="00E568DF"/>
    <w:rsid w:val="00E64269"/>
    <w:rsid w:val="00E732B4"/>
    <w:rsid w:val="00E82267"/>
    <w:rsid w:val="00E853CE"/>
    <w:rsid w:val="00E867B6"/>
    <w:rsid w:val="00E90528"/>
    <w:rsid w:val="00EA010F"/>
    <w:rsid w:val="00EB6997"/>
    <w:rsid w:val="00EC49AD"/>
    <w:rsid w:val="00EC64D2"/>
    <w:rsid w:val="00ED1B63"/>
    <w:rsid w:val="00ED3C1F"/>
    <w:rsid w:val="00ED4085"/>
    <w:rsid w:val="00ED420E"/>
    <w:rsid w:val="00ED6FBE"/>
    <w:rsid w:val="00EE1195"/>
    <w:rsid w:val="00EE1528"/>
    <w:rsid w:val="00EE2F57"/>
    <w:rsid w:val="00EF4C34"/>
    <w:rsid w:val="00EF77C6"/>
    <w:rsid w:val="00F04754"/>
    <w:rsid w:val="00F05438"/>
    <w:rsid w:val="00F103CA"/>
    <w:rsid w:val="00F1361C"/>
    <w:rsid w:val="00F1543A"/>
    <w:rsid w:val="00F156F0"/>
    <w:rsid w:val="00F160C7"/>
    <w:rsid w:val="00F22CE1"/>
    <w:rsid w:val="00F2408F"/>
    <w:rsid w:val="00F240E9"/>
    <w:rsid w:val="00F36D8F"/>
    <w:rsid w:val="00F417B1"/>
    <w:rsid w:val="00F44B71"/>
    <w:rsid w:val="00F45853"/>
    <w:rsid w:val="00F46930"/>
    <w:rsid w:val="00F602DF"/>
    <w:rsid w:val="00F754A1"/>
    <w:rsid w:val="00F8167A"/>
    <w:rsid w:val="00F81FD9"/>
    <w:rsid w:val="00F83E4A"/>
    <w:rsid w:val="00F841AA"/>
    <w:rsid w:val="00F84A94"/>
    <w:rsid w:val="00F87E96"/>
    <w:rsid w:val="00F912D5"/>
    <w:rsid w:val="00F93ABA"/>
    <w:rsid w:val="00FA23E8"/>
    <w:rsid w:val="00FC648C"/>
    <w:rsid w:val="00FD044C"/>
    <w:rsid w:val="00FD1CB8"/>
    <w:rsid w:val="00FD3CC1"/>
    <w:rsid w:val="00FF1E02"/>
    <w:rsid w:val="00FF2AA1"/>
    <w:rsid w:val="00FF30B4"/>
    <w:rsid w:val="00FF4241"/>
    <w:rsid w:val="05944E5F"/>
    <w:rsid w:val="0A2032A3"/>
    <w:rsid w:val="0B8A37D8"/>
    <w:rsid w:val="0C722A19"/>
    <w:rsid w:val="10C055FF"/>
    <w:rsid w:val="113C2E92"/>
    <w:rsid w:val="118107EC"/>
    <w:rsid w:val="11DD6519"/>
    <w:rsid w:val="16422ED8"/>
    <w:rsid w:val="16BB723D"/>
    <w:rsid w:val="18015F3F"/>
    <w:rsid w:val="1B6C1DAC"/>
    <w:rsid w:val="1BE8440E"/>
    <w:rsid w:val="1C547797"/>
    <w:rsid w:val="1D155CEE"/>
    <w:rsid w:val="206F2704"/>
    <w:rsid w:val="20F57F95"/>
    <w:rsid w:val="240371BF"/>
    <w:rsid w:val="25B7033B"/>
    <w:rsid w:val="25C741E6"/>
    <w:rsid w:val="27842671"/>
    <w:rsid w:val="29FD04D3"/>
    <w:rsid w:val="2ABE7A3E"/>
    <w:rsid w:val="2EFA178C"/>
    <w:rsid w:val="30B46D73"/>
    <w:rsid w:val="319F7F4E"/>
    <w:rsid w:val="33281D69"/>
    <w:rsid w:val="39AE70AB"/>
    <w:rsid w:val="3C0C0783"/>
    <w:rsid w:val="3F9F3A96"/>
    <w:rsid w:val="493C27E9"/>
    <w:rsid w:val="496F39ED"/>
    <w:rsid w:val="49FF41D3"/>
    <w:rsid w:val="4BE068DB"/>
    <w:rsid w:val="4BF6002B"/>
    <w:rsid w:val="4ECE2238"/>
    <w:rsid w:val="51DB4B86"/>
    <w:rsid w:val="55333C3E"/>
    <w:rsid w:val="57817115"/>
    <w:rsid w:val="5A595FD4"/>
    <w:rsid w:val="5B1F09BD"/>
    <w:rsid w:val="5CB82DB3"/>
    <w:rsid w:val="6389059D"/>
    <w:rsid w:val="64CA39A1"/>
    <w:rsid w:val="66AF499E"/>
    <w:rsid w:val="6C4A05C8"/>
    <w:rsid w:val="72734D90"/>
    <w:rsid w:val="72F66722"/>
    <w:rsid w:val="734D0F4E"/>
    <w:rsid w:val="79E7B28D"/>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autoRedefine/>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2"/>
    <w:autoRedefine/>
    <w:qFormat/>
    <w:uiPriority w:val="99"/>
    <w:pPr>
      <w:spacing w:beforeLines="30"/>
    </w:pPr>
    <w:rPr>
      <w:rFonts w:ascii="仿宋_GB2312" w:eastAsia="仿宋_GB2312"/>
      <w:kern w:val="0"/>
      <w:sz w:val="30"/>
    </w:rPr>
  </w:style>
  <w:style w:type="paragraph" w:styleId="6">
    <w:name w:val="toc 3"/>
    <w:basedOn w:val="1"/>
    <w:next w:val="1"/>
    <w:autoRedefine/>
    <w:unhideWhenUsed/>
    <w:qFormat/>
    <w:uiPriority w:val="39"/>
    <w:pPr>
      <w:tabs>
        <w:tab w:val="right" w:leader="dot" w:pos="8296"/>
      </w:tabs>
      <w:ind w:left="840" w:leftChars="400"/>
    </w:pPr>
  </w:style>
  <w:style w:type="paragraph" w:styleId="7">
    <w:name w:val="Balloon Text"/>
    <w:basedOn w:val="1"/>
    <w:link w:val="28"/>
    <w:autoRedefine/>
    <w:semiHidden/>
    <w:unhideWhenUsed/>
    <w:qFormat/>
    <w:uiPriority w:val="99"/>
    <w:rPr>
      <w:sz w:val="18"/>
      <w:szCs w:val="18"/>
    </w:rPr>
  </w:style>
  <w:style w:type="paragraph" w:styleId="8">
    <w:name w:val="footer"/>
    <w:basedOn w:val="1"/>
    <w:link w:val="20"/>
    <w:autoRedefine/>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character" w:customStyle="1" w:styleId="17">
    <w:name w:val="Header Char"/>
    <w:basedOn w:val="14"/>
    <w:autoRedefine/>
    <w:semiHidden/>
    <w:qFormat/>
    <w:uiPriority w:val="99"/>
    <w:rPr>
      <w:rFonts w:ascii="Times New Roman" w:hAnsi="Times New Roman"/>
      <w:sz w:val="18"/>
      <w:szCs w:val="18"/>
    </w:rPr>
  </w:style>
  <w:style w:type="character" w:customStyle="1" w:styleId="18">
    <w:name w:val="页眉 Char"/>
    <w:link w:val="9"/>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Char"/>
    <w:link w:val="8"/>
    <w:qFormat/>
    <w:locked/>
    <w:uiPriority w:val="99"/>
    <w:rPr>
      <w:sz w:val="18"/>
    </w:rPr>
  </w:style>
  <w:style w:type="character" w:customStyle="1" w:styleId="21">
    <w:name w:val="Body Text Char"/>
    <w:basedOn w:val="14"/>
    <w:autoRedefine/>
    <w:semiHidden/>
    <w:qFormat/>
    <w:uiPriority w:val="99"/>
    <w:rPr>
      <w:rFonts w:ascii="Times New Roman" w:hAnsi="Times New Roman"/>
      <w:szCs w:val="24"/>
    </w:rPr>
  </w:style>
  <w:style w:type="character" w:customStyle="1" w:styleId="22">
    <w:name w:val="正文文本 Char"/>
    <w:link w:val="2"/>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Char"/>
    <w:basedOn w:val="14"/>
    <w:link w:val="3"/>
    <w:autoRedefine/>
    <w:qFormat/>
    <w:uiPriority w:val="9"/>
    <w:rPr>
      <w:rFonts w:ascii="Times New Roman" w:hAnsi="Times New Roman"/>
      <w:b/>
      <w:bCs/>
      <w:kern w:val="44"/>
      <w:sz w:val="44"/>
      <w:szCs w:val="44"/>
    </w:rPr>
  </w:style>
  <w:style w:type="character" w:customStyle="1" w:styleId="26">
    <w:name w:val="标题 2 Char"/>
    <w:basedOn w:val="14"/>
    <w:link w:val="4"/>
    <w:qFormat/>
    <w:uiPriority w:val="9"/>
    <w:rPr>
      <w:rFonts w:asciiTheme="majorHAnsi" w:hAnsiTheme="majorHAnsi" w:eastAsiaTheme="majorEastAsia" w:cstheme="majorBidi"/>
      <w:b/>
      <w:bCs/>
      <w:kern w:val="2"/>
      <w:sz w:val="32"/>
      <w:szCs w:val="32"/>
    </w:rPr>
  </w:style>
  <w:style w:type="paragraph" w:customStyle="1" w:styleId="27">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8">
    <w:name w:val="批注框文本 Char"/>
    <w:basedOn w:val="14"/>
    <w:link w:val="7"/>
    <w:semiHidden/>
    <w:qFormat/>
    <w:uiPriority w:val="99"/>
    <w:rPr>
      <w:rFonts w:ascii="Times New Roman" w:hAnsi="Times New Roman"/>
      <w:kern w:val="2"/>
      <w:sz w:val="18"/>
      <w:szCs w:val="18"/>
    </w:rPr>
  </w:style>
  <w:style w:type="character" w:customStyle="1" w:styleId="29">
    <w:name w:val="标题 3 Char"/>
    <w:basedOn w:val="14"/>
    <w:link w:val="5"/>
    <w:qFormat/>
    <w:uiPriority w:val="9"/>
    <w:rPr>
      <w:rFonts w:ascii="Times New Roman" w:hAnsi="Times New Roman"/>
      <w:b/>
      <w:bCs/>
      <w:kern w:val="2"/>
      <w:sz w:val="32"/>
      <w:szCs w:val="32"/>
    </w:rPr>
  </w:style>
  <w:style w:type="paragraph" w:customStyle="1" w:styleId="30">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chartUserShapes" Target="../drawings/drawing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600" b="1" i="0" u="none" strike="noStrike" kern="1200" baseline="0">
                <a:solidFill>
                  <a:schemeClr val="tx1">
                    <a:lumMod val="65000"/>
                    <a:lumOff val="35000"/>
                  </a:schemeClr>
                </a:solidFill>
                <a:latin typeface="+mn-lt"/>
                <a:ea typeface="+mn-ea"/>
                <a:cs typeface="+mn-cs"/>
              </a:defRPr>
            </a:pPr>
            <a:r>
              <a:t>2021-2022年收、支决算总计变动情况图</a:t>
            </a:r>
          </a:p>
        </c:rich>
      </c:tx>
      <c:layout/>
      <c:overlay val="0"/>
      <c:spPr>
        <a:noFill/>
        <a:ln>
          <a:noFill/>
        </a:ln>
        <a:effectLst/>
      </c:spPr>
    </c:title>
    <c:autoTitleDeleted val="0"/>
    <c:plotArea>
      <c:layout>
        <c:manualLayout>
          <c:layoutTarget val="inner"/>
          <c:xMode val="edge"/>
          <c:yMode val="edge"/>
          <c:x val="0.0896501669327914"/>
          <c:y val="0.349609939323895"/>
          <c:w val="0.876672956887792"/>
          <c:h val="0.514128864490032"/>
        </c:manualLayout>
      </c:layout>
      <c:barChart>
        <c:barDir val="col"/>
        <c:grouping val="stacked"/>
        <c:varyColors val="0"/>
        <c:ser>
          <c:idx val="0"/>
          <c:order val="0"/>
          <c:tx>
            <c:strRef>
              <c:f>Sheet1!$B$1</c:f>
              <c:strCache>
                <c:ptCount val="1"/>
                <c:pt idx="0">
                  <c:v>2021-2022年收、支决算总计变动情况图</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dLbl>
              <c:idx val="0"/>
              <c:layout>
                <c:manualLayout>
                  <c:x val="-0.00754849363073189"/>
                  <c:y val="-0.293543524517148"/>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
                  <c:y val="-0.265797357950603"/>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Sheet1!$A$2:$A$3</c:f>
              <c:strCache>
                <c:ptCount val="2"/>
                <c:pt idx="0">
                  <c:v>2021年收支</c:v>
                </c:pt>
                <c:pt idx="1">
                  <c:v>2022年收支</c:v>
                </c:pt>
              </c:strCache>
            </c:strRef>
          </c:cat>
          <c:val>
            <c:numRef>
              <c:f>Sheet1!$B$2:$B$3</c:f>
              <c:numCache>
                <c:formatCode>General</c:formatCode>
                <c:ptCount val="2"/>
                <c:pt idx="0">
                  <c:v>10328700</c:v>
                </c:pt>
                <c:pt idx="1">
                  <c:v>8517060.52</c:v>
                </c:pt>
              </c:numCache>
            </c:numRef>
          </c:val>
        </c:ser>
        <c:dLbls>
          <c:showLegendKey val="0"/>
          <c:showVal val="0"/>
          <c:showCatName val="0"/>
          <c:showSerName val="0"/>
          <c:showPercent val="0"/>
          <c:showBubbleSize val="0"/>
        </c:dLbls>
        <c:gapWidth val="150"/>
        <c:overlap val="100"/>
        <c:axId val="40733312"/>
        <c:axId val="43127168"/>
      </c:barChart>
      <c:catAx>
        <c:axId val="40733312"/>
        <c:scaling>
          <c:orientation val="minMax"/>
        </c:scaling>
        <c:delete val="0"/>
        <c:axPos val="b"/>
        <c:majorTickMark val="out"/>
        <c:minorTickMark val="none"/>
        <c:tickLblPos val="nextTo"/>
        <c:spPr>
          <a:noFill/>
          <a:ln w="12700"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3127168"/>
        <c:crosses val="autoZero"/>
        <c:auto val="1"/>
        <c:lblAlgn val="ctr"/>
        <c:lblOffset val="100"/>
        <c:noMultiLvlLbl val="0"/>
      </c:catAx>
      <c:valAx>
        <c:axId val="431271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733312"/>
        <c:crosses val="autoZero"/>
        <c:crossBetween val="between"/>
      </c:valAx>
      <c:spPr>
        <a:noFill/>
        <a:ln>
          <a:noFill/>
        </a:ln>
        <a:effectLst/>
      </c:spPr>
    </c:plotArea>
    <c:plotVisOnly val="1"/>
    <c:dispBlanksAs val="gap"/>
    <c:showDLblsOverMax val="0"/>
    <c:extLst>
      <c:ext uri="{0b15fc19-7d7d-44ad-8c2d-2c3a37ce22c3}">
        <chartProps xmlns="https://web.wps.cn/et/2018/main" chartId="{d34a718d-1416-4e3e-a423-a0ba4f597535}"/>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tx1"/>
                </a:solidFill>
                <a:latin typeface="+mn-lt"/>
                <a:ea typeface="+mn-ea"/>
                <a:cs typeface="+mn-cs"/>
              </a:defRPr>
            </a:pPr>
            <a:r>
              <a:t>202</a:t>
            </a:r>
            <a:r>
              <a:rPr lang="en-US" altLang="zh-CN"/>
              <a:t>2</a:t>
            </a:r>
            <a:r>
              <a:t>年收入决算结构图</a:t>
            </a:r>
          </a:p>
        </c:rich>
      </c:tx>
      <c:layout/>
      <c:overlay val="0"/>
    </c:title>
    <c:autoTitleDeleted val="0"/>
    <c:view3D>
      <c:rotX val="30"/>
      <c:rotY val="0"/>
      <c:depthPercent val="100"/>
      <c:rAngAx val="0"/>
      <c:perspective val="30"/>
    </c:view3D>
    <c:floor>
      <c:thickness val="0"/>
    </c:floor>
    <c:sideWall>
      <c:thickness val="0"/>
    </c:sideWall>
    <c:backWall>
      <c:thickness val="0"/>
    </c:backWall>
    <c:plotArea>
      <c:layout/>
      <c:pie3DChart>
        <c:varyColors val="1"/>
        <c:ser>
          <c:idx val="0"/>
          <c:order val="0"/>
          <c:tx>
            <c:strRef>
              <c:f>Sheet1!$B$1</c:f>
              <c:strCache>
                <c:ptCount val="1"/>
                <c:pt idx="0">
                  <c:v>2022年收入决算结构图</c:v>
                </c:pt>
              </c:strCache>
            </c:strRef>
          </c:tx>
          <c:explosion val="0"/>
          <c:dPt>
            <c:idx val="0"/>
            <c:bubble3D val="0"/>
            <c:spP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c:spPr>
          </c:dPt>
          <c:dLbls>
            <c:delete val="1"/>
          </c:dLbls>
          <c:cat>
            <c:strRef>
              <c:f>Sheet1!$A$2</c:f>
              <c:strCache>
                <c:ptCount val="1"/>
                <c:pt idx="0">
                  <c:v>一般公共预算财政拨款收入8895265.52元，占100%。</c:v>
                </c:pt>
              </c:strCache>
            </c:strRef>
          </c:cat>
          <c:val>
            <c:numRef>
              <c:f>Sheet1!$B$2</c:f>
              <c:numCache>
                <c:formatCode>General</c:formatCode>
                <c:ptCount val="1"/>
                <c:pt idx="0">
                  <c:v>8895265.52</c:v>
                </c:pt>
              </c:numCache>
            </c:numRef>
          </c:val>
        </c:ser>
        <c:dLbls>
          <c:showLegendKey val="0"/>
          <c:showVal val="0"/>
          <c:showCatName val="0"/>
          <c:showSerName val="0"/>
          <c:showPercent val="0"/>
          <c:showBubbleSize val="0"/>
        </c:dLbls>
      </c:pie3DChart>
    </c:plotArea>
    <c:legend>
      <c:legendPos val="r"/>
      <c:layout>
        <c:manualLayout>
          <c:xMode val="edge"/>
          <c:yMode val="edge"/>
          <c:x val="0.657754010695187"/>
          <c:y val="0.514260511614231"/>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d979b9c7-7f19-4671-8d2c-40b9d6448c6d}"/>
      </c:ext>
    </c:extLst>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tx1"/>
                </a:solidFill>
                <a:latin typeface="+mn-lt"/>
                <a:ea typeface="+mn-ea"/>
                <a:cs typeface="+mn-cs"/>
              </a:defRPr>
            </a:pPr>
            <a:r>
              <a:t>202</a:t>
            </a:r>
            <a:r>
              <a:rPr lang="en-US" altLang="zh-CN"/>
              <a:t>2</a:t>
            </a:r>
            <a:r>
              <a:t>年支出决算结构图</a:t>
            </a:r>
          </a:p>
        </c:rich>
      </c:tx>
      <c:layout>
        <c:manualLayout>
          <c:xMode val="edge"/>
          <c:yMode val="edge"/>
          <c:x val="0.193267651888342"/>
          <c:y val="0.033033033033033"/>
        </c:manualLayout>
      </c:layout>
      <c:overlay val="0"/>
    </c:title>
    <c:autoTitleDeleted val="0"/>
    <c:view3D>
      <c:rotX val="30"/>
      <c:rotY val="0"/>
      <c:depthPercent val="100"/>
      <c:rAngAx val="0"/>
      <c:perspective val="30"/>
    </c:view3D>
    <c:floor>
      <c:thickness val="0"/>
    </c:floor>
    <c:sideWall>
      <c:thickness val="0"/>
    </c:sideWall>
    <c:backWall>
      <c:thickness val="0"/>
    </c:backWall>
    <c:plotArea>
      <c:layout/>
      <c:pie3DChart>
        <c:varyColors val="1"/>
        <c:ser>
          <c:idx val="0"/>
          <c:order val="0"/>
          <c:tx>
            <c:strRef>
              <c:f>Sheet1!$B$1</c:f>
              <c:strCache>
                <c:ptCount val="1"/>
                <c:pt idx="0">
                  <c:v>2022年支出决算结构图</c:v>
                </c:pt>
              </c:strCache>
            </c:strRef>
          </c:tx>
          <c:explosion val="0"/>
          <c:dPt>
            <c:idx val="0"/>
            <c:bubble3D val="0"/>
          </c:dPt>
          <c:dPt>
            <c:idx val="1"/>
            <c:bubble3D val="0"/>
          </c:dPt>
          <c:dLbls>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Sheet1!$A$3:$A$4</c:f>
              <c:strCache>
                <c:ptCount val="2"/>
                <c:pt idx="0">
                  <c:v>项目支出1319671.44元，占14.84%</c:v>
                </c:pt>
              </c:strCache>
            </c:strRef>
          </c:cat>
          <c:val>
            <c:numRef>
              <c:f>Sheet1!$B$3:$B$4</c:f>
              <c:numCache>
                <c:formatCode>General</c:formatCode>
                <c:ptCount val="2"/>
                <c:pt idx="0">
                  <c:v>1319671.44</c:v>
                </c:pt>
              </c:numCache>
            </c:numRef>
          </c:val>
        </c:ser>
        <c:dLbls>
          <c:showLegendKey val="0"/>
          <c:showVal val="0"/>
          <c:showCatName val="0"/>
          <c:showSerName val="0"/>
          <c:showPercent val="0"/>
          <c:showBubbleSize val="0"/>
        </c:dLbls>
      </c:pie3D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9a6f461d-6641-4381-933a-ca31603cb9ca}"/>
      </c:ext>
    </c:extLst>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tx1"/>
                </a:solidFill>
                <a:latin typeface="+mn-lt"/>
                <a:ea typeface="+mn-ea"/>
                <a:cs typeface="+mn-cs"/>
              </a:defRPr>
            </a:pPr>
            <a:r>
              <a:t>202</a:t>
            </a:r>
            <a:r>
              <a:rPr lang="en-US" altLang="zh-CN"/>
              <a:t>1</a:t>
            </a:r>
            <a:r>
              <a:t>-202</a:t>
            </a:r>
            <a:r>
              <a:rPr lang="en-US" altLang="zh-CN"/>
              <a:t>2</a:t>
            </a:r>
            <a:r>
              <a:t>年财政拨款收、支决算总计变动情况</a:t>
            </a:r>
          </a:p>
        </c:rich>
      </c:tx>
      <c:layout/>
      <c:overlay val="0"/>
    </c:title>
    <c:autoTitleDeleted val="0"/>
    <c:plotArea>
      <c:layout>
        <c:manualLayout>
          <c:layoutTarget val="inner"/>
          <c:xMode val="edge"/>
          <c:yMode val="edge"/>
          <c:x val="0.0936002255427121"/>
          <c:y val="0.351533082302313"/>
          <c:w val="0.872004510854243"/>
          <c:h val="0.510220548682087"/>
        </c:manualLayout>
      </c:layout>
      <c:barChart>
        <c:barDir val="col"/>
        <c:grouping val="stacked"/>
        <c:varyColors val="0"/>
        <c:ser>
          <c:idx val="0"/>
          <c:order val="0"/>
          <c:tx>
            <c:strRef>
              <c:f>Sheet1!$B$1</c:f>
              <c:strCache>
                <c:ptCount val="1"/>
                <c:pt idx="0">
                  <c:v>2021-2022年财政拨款收、支决算总计变动情况</c:v>
                </c:pt>
              </c:strCache>
            </c:strRef>
          </c:tx>
          <c:spPr>
            <a:gradFill>
              <a:gsLst>
                <a:gs pos="0">
                  <a:srgbClr val="5E9EFF"/>
                </a:gs>
                <a:gs pos="39999">
                  <a:srgbClr val="85C2FF"/>
                </a:gs>
                <a:gs pos="70000">
                  <a:srgbClr val="C4D6EB"/>
                </a:gs>
                <a:gs pos="100000">
                  <a:srgbClr val="FFEBFA"/>
                </a:gs>
              </a:gsLst>
              <a:lin ang="5400000" scaled="0"/>
            </a:gradFill>
          </c:spPr>
          <c:invertIfNegative val="0"/>
          <c:dLbls>
            <c:dLbl>
              <c:idx val="0"/>
              <c:layout>
                <c:manualLayout>
                  <c:x val="-0.00563831997599052"/>
                  <c:y val="-0.161338132542875"/>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
                  <c:y val="-0.274274825322888"/>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2021年</c:v>
                </c:pt>
                <c:pt idx="1">
                  <c:v>2022年</c:v>
                </c:pt>
              </c:strCache>
            </c:strRef>
          </c:cat>
          <c:val>
            <c:numRef>
              <c:f>Sheet1!$B$2:$B$3</c:f>
              <c:numCache>
                <c:formatCode>General</c:formatCode>
                <c:ptCount val="2"/>
                <c:pt idx="0">
                  <c:v>10328700</c:v>
                </c:pt>
                <c:pt idx="1">
                  <c:v>8895265.52</c:v>
                </c:pt>
              </c:numCache>
            </c:numRef>
          </c:val>
        </c:ser>
        <c:dLbls>
          <c:showLegendKey val="0"/>
          <c:showVal val="0"/>
          <c:showCatName val="0"/>
          <c:showSerName val="0"/>
          <c:showPercent val="0"/>
          <c:showBubbleSize val="0"/>
        </c:dLbls>
        <c:gapWidth val="150"/>
        <c:overlap val="100"/>
        <c:axId val="40958208"/>
        <c:axId val="41099264"/>
      </c:barChart>
      <c:catAx>
        <c:axId val="40958208"/>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41099264"/>
        <c:crosses val="autoZero"/>
        <c:auto val="1"/>
        <c:lblAlgn val="ctr"/>
        <c:lblOffset val="100"/>
        <c:noMultiLvlLbl val="0"/>
      </c:catAx>
      <c:valAx>
        <c:axId val="4109926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40958208"/>
        <c:crosses val="autoZero"/>
        <c:crossBetween val="between"/>
      </c:valAx>
    </c:plotArea>
    <c:plotVisOnly val="1"/>
    <c:dispBlanksAs val="gap"/>
    <c:showDLblsOverMax val="0"/>
    <c:extLst>
      <c:ext uri="{0b15fc19-7d7d-44ad-8c2d-2c3a37ce22c3}">
        <chartProps xmlns="https://web.wps.cn/et/2018/main" chartId="{19b4df3c-e5a1-4fa3-8c37-bcc8949a2f0a}"/>
      </c:ext>
    </c:extLst>
  </c:chart>
  <c:txPr>
    <a:bodyPr/>
    <a:lstStyle/>
    <a:p>
      <a:pPr>
        <a:defRPr lang="zh-CN"/>
      </a:pPr>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barChart>
        <c:barDir val="col"/>
        <c:grouping val="stacked"/>
        <c:varyColors val="0"/>
        <c:ser>
          <c:idx val="0"/>
          <c:order val="0"/>
          <c:tx>
            <c:strRef>
              <c:f>Sheet1!$B$1</c:f>
              <c:strCache>
                <c:ptCount val="1"/>
                <c:pt idx="0">
                  <c:v>一般公共预算财政拨款支出决算变动情况</c:v>
                </c:pt>
              </c:strCache>
            </c:strRef>
          </c:tx>
          <c:spPr>
            <a:gradFill>
              <a:gsLst>
                <a:gs pos="0">
                  <a:srgbClr val="8488C4"/>
                </a:gs>
                <a:gs pos="53000">
                  <a:srgbClr val="D4DEFF"/>
                </a:gs>
                <a:gs pos="83000">
                  <a:srgbClr val="D4DEFF"/>
                </a:gs>
                <a:gs pos="100000">
                  <a:srgbClr val="96AB94"/>
                </a:gs>
              </a:gsLst>
              <a:lin ang="5400000" scaled="0"/>
            </a:gradFill>
          </c:spPr>
          <c:invertIfNegative val="0"/>
          <c:dLbls>
            <c:dLbl>
              <c:idx val="0"/>
              <c:layout>
                <c:manualLayout>
                  <c:x val="-0.00547518576831083"/>
                  <c:y val="-0.152204265314805"/>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1.00377246185852e-16"/>
                  <c:y val="-0.277229197537681"/>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2021年</c:v>
                </c:pt>
                <c:pt idx="1">
                  <c:v>2022年</c:v>
                </c:pt>
              </c:strCache>
            </c:strRef>
          </c:cat>
          <c:val>
            <c:numRef>
              <c:f>Sheet1!$B$2:$B$3</c:f>
              <c:numCache>
                <c:formatCode>General</c:formatCode>
                <c:ptCount val="2"/>
                <c:pt idx="0">
                  <c:v>9373800</c:v>
                </c:pt>
                <c:pt idx="1">
                  <c:v>8895265.52</c:v>
                </c:pt>
              </c:numCache>
            </c:numRef>
          </c:val>
        </c:ser>
        <c:dLbls>
          <c:showLegendKey val="0"/>
          <c:showVal val="0"/>
          <c:showCatName val="0"/>
          <c:showSerName val="0"/>
          <c:showPercent val="0"/>
          <c:showBubbleSize val="0"/>
        </c:dLbls>
        <c:gapWidth val="150"/>
        <c:overlap val="100"/>
        <c:axId val="40534400"/>
        <c:axId val="40535936"/>
      </c:barChart>
      <c:catAx>
        <c:axId val="40534400"/>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40535936"/>
        <c:crosses val="autoZero"/>
        <c:auto val="1"/>
        <c:lblAlgn val="ctr"/>
        <c:lblOffset val="100"/>
        <c:noMultiLvlLbl val="0"/>
      </c:catAx>
      <c:valAx>
        <c:axId val="4053593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40534400"/>
        <c:crosses val="autoZero"/>
        <c:crossBetween val="between"/>
      </c:valAx>
    </c:plotArea>
    <c:plotVisOnly val="1"/>
    <c:dispBlanksAs val="gap"/>
    <c:showDLblsOverMax val="0"/>
    <c:extLst>
      <c:ext uri="{0b15fc19-7d7d-44ad-8c2d-2c3a37ce22c3}">
        <chartProps xmlns="https://web.wps.cn/et/2018/main" chartId="{ba0073ca-a43e-4fc4-a425-8e97dcafecc6}"/>
      </c:ext>
    </c:extLst>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20457761325926"/>
          <c:y val="0"/>
        </c:manualLayout>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一般公共预算财政拨款支出决算结构</c:v>
                </c:pt>
              </c:strCache>
            </c:strRef>
          </c:tx>
          <c:explosion val="0"/>
          <c:dPt>
            <c:idx val="0"/>
            <c:bubble3D val="0"/>
          </c:dPt>
          <c:dPt>
            <c:idx val="1"/>
            <c:bubble3D val="0"/>
          </c:dPt>
          <c:dPt>
            <c:idx val="2"/>
            <c:bubble3D val="0"/>
          </c:dPt>
          <c:dPt>
            <c:idx val="3"/>
            <c:bubble3D val="0"/>
          </c:dPt>
          <c:dPt>
            <c:idx val="4"/>
            <c:bubble3D val="0"/>
          </c:dPt>
          <c:dLbls>
            <c:dLbl>
              <c:idx val="1"/>
              <c:layout>
                <c:manualLayout>
                  <c:x val="0.0218218090231676"/>
                  <c:y val="0.145032370953631"/>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Sheet1!$A$2:$A$6</c:f>
              <c:strCache>
                <c:ptCount val="5"/>
                <c:pt idx="0">
                  <c:v>教育支出（类）6857786.69元，占77.09%</c:v>
                </c:pt>
                <c:pt idx="1">
                  <c:v>社会保障和就业（类）支出1126577.64元，占12.66%</c:v>
                </c:pt>
                <c:pt idx="2">
                  <c:v>卫生健康支出269583.87元，占3.03%</c:v>
                </c:pt>
                <c:pt idx="3">
                  <c:v>农林水支出0元，占0%</c:v>
                </c:pt>
                <c:pt idx="4">
                  <c:v>住房保障支出641317.32元，占7.22%</c:v>
                </c:pt>
              </c:strCache>
            </c:strRef>
          </c:cat>
          <c:val>
            <c:numRef>
              <c:f>Sheet1!$B$2:$B$6</c:f>
              <c:numCache>
                <c:formatCode>General</c:formatCode>
                <c:ptCount val="5"/>
                <c:pt idx="0">
                  <c:v>6857786.69</c:v>
                </c:pt>
                <c:pt idx="1">
                  <c:v>1126577.64</c:v>
                </c:pt>
                <c:pt idx="2">
                  <c:v>269583.87</c:v>
                </c:pt>
                <c:pt idx="3">
                  <c:v>0</c:v>
                </c:pt>
                <c:pt idx="4">
                  <c:v>641317.32</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599252512109059"/>
          <c:y val="0.164729221347332"/>
          <c:w val="0.397816434347978"/>
          <c:h val="0.835270778652668"/>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f10e0c35-54a5-466d-9581-f0f20a0be231}"/>
      </c:ext>
    </c:extLst>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c:spPr>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view3D>
      <c:rotX val="75"/>
      <c:rotY val="0"/>
      <c:depthPercent val="100"/>
      <c:rAngAx val="0"/>
      <c:perspective val="30"/>
    </c:view3D>
    <c:floor>
      <c:thickness val="0"/>
    </c:floor>
    <c:sideWall>
      <c:thickness val="0"/>
    </c:sideWall>
    <c:backWall>
      <c:thickness val="0"/>
    </c:backWall>
    <c:plotArea>
      <c:layout/>
      <c:pie3DChart>
        <c:varyColors val="1"/>
        <c:ser>
          <c:idx val="0"/>
          <c:order val="0"/>
          <c:tx>
            <c:strRef>
              <c:f>Sheet1!$B$1</c:f>
              <c:strCache>
                <c:ptCount val="1"/>
                <c:pt idx="0">
                  <c:v>“三公”经费财政拨款支出结构</c:v>
                </c:pt>
              </c:strCache>
            </c:strRef>
          </c:tx>
          <c:spPr>
            <a:gradFill>
              <a:gsLst>
                <a:gs pos="0">
                  <a:srgbClr val="8488C4"/>
                </a:gs>
                <a:gs pos="53000">
                  <a:srgbClr val="D4DEFF"/>
                </a:gs>
                <a:gs pos="83000">
                  <a:srgbClr val="D4DEFF"/>
                </a:gs>
                <a:gs pos="100000">
                  <a:srgbClr val="96AB94"/>
                </a:gs>
              </a:gsLst>
              <a:lin ang="5400000" scaled="0"/>
            </a:gradFill>
          </c:spPr>
          <c:explosion val="0"/>
          <c:dPt>
            <c:idx val="0"/>
            <c:bubble3D val="0"/>
            <c:spPr>
              <a:gradFill>
                <a:gsLst>
                  <a:gs pos="0">
                    <a:srgbClr val="8488C4"/>
                  </a:gs>
                  <a:gs pos="53000">
                    <a:srgbClr val="D4DEFF"/>
                  </a:gs>
                  <a:gs pos="83000">
                    <a:srgbClr val="D4DEFF"/>
                  </a:gs>
                  <a:gs pos="100000">
                    <a:srgbClr val="96AB94"/>
                  </a:gs>
                </a:gsLst>
                <a:lin ang="5400000" scaled="0"/>
              </a:gradFill>
            </c:spPr>
          </c:dPt>
          <c:dLbls>
            <c:delete val="1"/>
          </c:dLbls>
          <c:cat>
            <c:strRef>
              <c:f>Sheet1!$A$2</c:f>
              <c:strCache>
                <c:ptCount val="1"/>
                <c:pt idx="0">
                  <c:v>公务接待费支出2350元，占100.00%。</c:v>
                </c:pt>
              </c:strCache>
            </c:strRef>
          </c:cat>
          <c:val>
            <c:numRef>
              <c:f>Sheet1!$B$2</c:f>
              <c:numCache>
                <c:formatCode>General</c:formatCode>
                <c:ptCount val="1"/>
                <c:pt idx="0">
                  <c:v>100</c:v>
                </c:pt>
              </c:numCache>
            </c:numRef>
          </c:val>
        </c:ser>
        <c:dLbls>
          <c:showLegendKey val="0"/>
          <c:showVal val="0"/>
          <c:showCatName val="0"/>
          <c:showSerName val="0"/>
          <c:showPercent val="0"/>
          <c:showBubbleSize val="0"/>
        </c:dLbls>
      </c:pie3DChart>
    </c:plotArea>
    <c:legend>
      <c:legendPos val="r"/>
      <c:layout>
        <c:manualLayout>
          <c:xMode val="edge"/>
          <c:yMode val="edge"/>
          <c:x val="0.692151898734177"/>
          <c:y val="0.510026155187446"/>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6f24fc34-893f-406c-b89e-93e9677358b7}"/>
      </c:ext>
    </c:extLst>
  </c:chart>
  <c:spPr>
    <a:noFill/>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style1.xml><?xml version="1.0" encoding="utf-8"?>
<cs:chartStyle xmlns:cs="http://schemas.microsoft.com/office/drawing/2012/chartStyle" xmlns:a="http://schemas.openxmlformats.org/drawingml/2006/main" id="34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drawings/drawing1.xml><?xml version="1.0" encoding="utf-8"?>
<c:userShapes xmlns:c="http://schemas.openxmlformats.org/drawingml/2006/chart">
  <cdr:relSizeAnchor xmlns:cdr="http://schemas.openxmlformats.org/drawingml/2006/chartDrawing">
    <cdr:from>
      <cdr:x>0.40011</cdr:x>
      <cdr:y>0.13512</cdr:y>
    </cdr:from>
    <cdr:to>
      <cdr:x>0.56314</cdr:x>
      <cdr:y>0.20738</cdr:y>
    </cdr:to>
    <cdr:sp>
      <cdr:nvSpPr>
        <cdr:cNvPr id="2" name="矩形 1"/>
        <cdr:cNvSpPr/>
      </cdr:nvSpPr>
      <cdr:spPr xmlns:a="http://schemas.openxmlformats.org/drawingml/2006/main">
        <a:xfrm xmlns:a="http://schemas.openxmlformats.org/drawingml/2006/main">
          <a:off x="2110295" y="415719"/>
          <a:ext cx="859873" cy="222309"/>
        </a:xfrm>
        <a:prstGeom xmlns:a="http://schemas.openxmlformats.org/drawingml/2006/main" prst="rect">
          <a:avLst/>
        </a:prstGeom>
      </cdr:spPr>
    </cdr:sp>
  </cdr:relSizeAnchor>
</c:userShapes>
</file>

<file path=word/drawings/drawing2.xml><?xml version="1.0" encoding="utf-8"?>
<c:userShapes xmlns:c="http://schemas.openxmlformats.org/drawingml/2006/chart">
  <cdr:relSizeAnchor xmlns:cdr="http://schemas.openxmlformats.org/drawingml/2006/chartDrawing">
    <cdr:from>
      <cdr:x>0.66028</cdr:x>
      <cdr:y>0.33243</cdr:y>
    </cdr:from>
    <cdr:to>
      <cdr:x>0.88189</cdr:x>
      <cdr:y>0.44258</cdr:y>
    </cdr:to>
    <cdr:sp>
      <cdr:nvSpPr>
        <cdr:cNvPr id="2" name="矩形 1"/>
        <cdr:cNvSpPr/>
      </cdr:nvSpPr>
      <cdr:spPr xmlns:a="http://schemas.openxmlformats.org/drawingml/2006/main">
        <a:xfrm xmlns:a="http://schemas.openxmlformats.org/drawingml/2006/main">
          <a:off x="2974364" y="784837"/>
          <a:ext cx="998290" cy="260058"/>
        </a:xfrm>
        <a:prstGeom xmlns:a="http://schemas.openxmlformats.org/drawingml/2006/main" prst="rect">
          <a:avLst/>
        </a:prstGeom>
      </cdr:spPr>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21</Pages>
  <Words>3500</Words>
  <Characters>3912</Characters>
  <Lines>63</Lines>
  <Paragraphs>17</Paragraphs>
  <TotalTime>393</TotalTime>
  <ScaleCrop>false</ScaleCrop>
  <LinksUpToDate>false</LinksUpToDate>
  <CharactersWithSpaces>3934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2022-10-17T11:11:00Z</dcterms:created>
  <dc:creator>曹颖</dc:creator>
  <cp:lastModifiedBy>碧云天</cp:lastModifiedBy>
  <cp:lastPrinted>2022-08-06T02:23:00Z</cp:lastPrinted>
  <dcterms:modified xsi:type="dcterms:W3CDTF">2025-06-23T02:38:49Z</dcterms:modified>
  <dc:title>四川省***</dc:title>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E6B675B8165940F98520C79F8B333C19_13</vt:lpwstr>
  </property>
  <property fmtid="{D5CDD505-2E9C-101B-9397-08002B2CF9AE}" pid="4" name="KSOTemplateDocerSaveRecord">
    <vt:lpwstr>eyJoZGlkIjoiNzI2ZGI0OGUzMDAzMzk0YmE1OTYyMDVlZGMwMmYyODYiLCJ1c2VySWQiOiIxMTM5NjM2MTk5In0=</vt:lpwstr>
  </property>
</Properties>
</file>