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峨边彝族自治县心连心服务中心2022年部门预算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单位(签章)：峨边彝族自治县心连心服务中心</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 27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峨边县心连心服务中心</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峨边县心连心服务中心</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峨边县心连心服务中心</w:t>
      </w:r>
      <w:r>
        <w:rPr>
          <w:rFonts w:hint="default"/>
          <w:b w:val="0"/>
          <w:bCs w:val="0"/>
          <w:sz w:val="32"/>
          <w:szCs w:val="32"/>
          <w:lang w:val="en-US" w:eastAsia="zh-CN"/>
        </w:rPr>
        <w:t>2022年部门预算情况说明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峨边彝族自治县心连心</w:t>
      </w:r>
    </w:p>
    <w:p>
      <w:pPr>
        <w:numPr>
          <w:ilvl w:val="0"/>
          <w:numId w:val="0"/>
        </w:numPr>
        <w:ind w:firstLine="3654" w:firstLineChars="700"/>
        <w:jc w:val="both"/>
        <w:rPr>
          <w:rFonts w:hint="default"/>
          <w:b/>
          <w:bCs/>
          <w:sz w:val="52"/>
          <w:szCs w:val="52"/>
          <w:lang w:val="en-US" w:eastAsia="zh-CN"/>
        </w:rPr>
      </w:pPr>
      <w:r>
        <w:rPr>
          <w:rFonts w:hint="eastAsia"/>
          <w:b/>
          <w:bCs/>
          <w:sz w:val="52"/>
          <w:szCs w:val="52"/>
          <w:lang w:val="en-US" w:eastAsia="zh-CN"/>
        </w:rPr>
        <w:t>服务中心</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拟订并组织实施全县心连心服务、群众满意度提升、机关事务和政务接待的具体管理措施，</w:t>
      </w:r>
      <w:r>
        <w:rPr>
          <w:rStyle w:val="5"/>
          <w:rFonts w:hint="eastAsia" w:ascii="仿宋_GB2312" w:hAnsi="仿宋_GB2312" w:eastAsia="仿宋_GB2312" w:cs="仿宋_GB2312"/>
          <w:color w:val="000000"/>
          <w:sz w:val="32"/>
          <w:szCs w:val="32"/>
        </w:rPr>
        <w:t>制定工作规划和工作规范；</w:t>
      </w:r>
      <w:r>
        <w:rPr>
          <w:rFonts w:hint="eastAsia" w:ascii="仿宋_GB2312" w:hAnsi="仿宋_GB2312" w:eastAsia="仿宋_GB2312" w:cs="仿宋_GB2312"/>
          <w:sz w:val="32"/>
          <w:szCs w:val="32"/>
        </w:rPr>
        <w:t>拟订实施县级机关后勤体制改革办法。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受理、交办、督办广大群众通过心连心服务热线电话、群众来信来访等渠道反映的各种矛盾纠纷、生产生活困难、法律求助、干部作风、社会治安、群众身边腐败等诉求和建议，做到“件件有落实、事事有回音”。按照“集中受理、分类办理、分级负责、条块结合”的原则，建立横向到边、纵向到底的联动办理机制，协调跨部门、跨乡镇的热线受理事项的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负责统筹协调推动全县群众满意度提升工作，负责“三收一送”问题收集、转办和督办工作，指导各单位建立并运行党建工作例会解决社情民意闭环制度。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负责对心连心服务热线承办单位办理情况，提升群众满意度工作开展情况进行督查，负责受理反映全县干部作风建设等方面的电话投诉、来信来访投诉，对各单位工作状态、工作效率、工作态度等情况进行明查暗访，定期对心连心服务热线运行情况以及反映的热点难点问题进行统计分析，为县委、县政府领导科学决策提供参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贯彻落实中央和省市党政机关国内公务接待管理办法及实施细则精神，规范全县党政机关国内公务接待管理。具体实施全县党委、政府重要公务接待服务，办理县委县政府主要领导带队外出考察、学习等活动的前期对外联络、安排及随行服务，统一管理和使用接待经费;指导乡镇和县级部门按规定做好对口公务接待;协调和指导相关部门做好全县性大型活动、重要会议后勤保障;指导全县机关后勤服务和政务接待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拟订全县行政事业单位办公用房使用管理、一般公务用车车辆管理制度和办法并组织实施;负责全县行政事业单位办公用房使用管理、一般公务用车的编制计划和核定;负责全县除特种车辆外的行政事业单位一般公务用车的配备、更新、处置、维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会同有关部门拟订全县公共机构节能规划编制及相关制度并组织实施;负责公共机构节能管理和宣传培训;组织开展能耗统计监测和考核工作。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shd w:val="clear" w:color="auto" w:fill="FFFFFF"/>
        </w:rPr>
        <w:t>负责职责范围内的安全生产和职业健康、生态环境保护等工作。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完成县委、县政府交办的其他工作。</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1.进一步完善全县心连心工作运行机制。</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心连心服务热线平台，群众来信、来访等形式受理群众各类合理诉求，限时高效办结，解决全县广大群众“急难愁盼”问题，定期梳理汇总，分析研判集中反映事项为县委政府决策提供科学依据。全年向市心连心服务中心推送典型案例50件。</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强化督查措施。为确保群众合理诉求得到解决，迎接党的二十大胜利</w:t>
      </w:r>
      <w:bookmarkStart w:id="0" w:name="_GoBack"/>
      <w:bookmarkEnd w:id="0"/>
      <w:r>
        <w:rPr>
          <w:rFonts w:hint="eastAsia" w:ascii="仿宋_GB2312" w:hAnsi="仿宋_GB2312" w:eastAsia="仿宋_GB2312" w:cs="仿宋_GB2312"/>
          <w:sz w:val="32"/>
          <w:szCs w:val="32"/>
          <w:lang w:val="en-US" w:eastAsia="zh-CN"/>
        </w:rPr>
        <w:t>召开，督查效能处将对心连心交办件办理情况进行跟踪督查问效，切实提高心连心交办事项率和满意率达到100%。</w:t>
      </w:r>
    </w:p>
    <w:p>
      <w:pPr>
        <w:keepNext w:val="0"/>
        <w:keepLines w:val="0"/>
        <w:pageBreakBefore w:val="0"/>
        <w:widowControl w:val="0"/>
        <w:kinsoku/>
        <w:wordWrap/>
        <w:overflowPunct/>
        <w:topLinePunct w:val="0"/>
        <w:autoSpaceDE w:val="0"/>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2.加强公务用车监督管理。</w:t>
      </w:r>
      <w:r>
        <w:rPr>
          <w:rFonts w:hint="eastAsia" w:ascii="仿宋_GB2312" w:hAnsi="仿宋_GB2312" w:eastAsia="仿宋_GB2312" w:cs="仿宋_GB2312"/>
          <w:sz w:val="32"/>
          <w:szCs w:val="32"/>
          <w:lang w:val="en-US" w:eastAsia="zh-CN"/>
        </w:rPr>
        <w:t>加强与县政府办的沟通协调机制，进一步完善公务用车购置、维修、保养、运行等系列制度，每季度</w:t>
      </w:r>
      <w:r>
        <w:rPr>
          <w:rFonts w:hint="eastAsia" w:ascii="仿宋_GB2312" w:hAnsi="仿宋_GB2312" w:eastAsia="仿宋_GB2312" w:cs="仿宋_GB2312"/>
          <w:kern w:val="2"/>
          <w:sz w:val="32"/>
          <w:szCs w:val="32"/>
          <w:lang w:val="en-US" w:eastAsia="zh-CN" w:bidi="ar"/>
        </w:rPr>
        <w:t>组织开展“安全驾驶和车辆维护保养”培训一次，</w:t>
      </w:r>
      <w:r>
        <w:rPr>
          <w:rFonts w:hint="eastAsia" w:ascii="仿宋_GB2312" w:hAnsi="仿宋_GB2312" w:eastAsia="仿宋_GB2312" w:cs="仿宋_GB2312"/>
          <w:sz w:val="32"/>
          <w:szCs w:val="32"/>
          <w:lang w:val="en-US" w:eastAsia="zh-CN"/>
        </w:rPr>
        <w:t>确保全县公务用车安全规范有效。</w:t>
      </w:r>
    </w:p>
    <w:p>
      <w:pPr>
        <w:keepNext w:val="0"/>
        <w:keepLines w:val="0"/>
        <w:pageBreakBefore w:val="0"/>
        <w:widowControl w:val="0"/>
        <w:kinsoku/>
        <w:wordWrap/>
        <w:overflowPunct/>
        <w:topLinePunct w:val="0"/>
        <w:autoSpaceDE w:val="0"/>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3.创新节能管理。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是完成2022年度全县124家公共机构能源资源消费数据统计、审核和上报工作，并达到省、市相关要求，力争同比2021年公共机构能耗下降1.3%。完成全县124家公共机构垃圾分类相关录入工作。修建集中停车点充电桩20个，为节能降耗，新能源利用提供有力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val="en-US" w:eastAsia="zh-CN"/>
        </w:rPr>
        <w:t>二是加强公务用房使用管理。</w:t>
      </w:r>
      <w:r>
        <w:rPr>
          <w:rFonts w:hint="eastAsia" w:ascii="仿宋_GB2312" w:hAnsi="仿宋_GB2312" w:eastAsia="仿宋_GB2312" w:cs="仿宋_GB2312"/>
          <w:kern w:val="2"/>
          <w:sz w:val="32"/>
          <w:szCs w:val="32"/>
          <w:lang w:val="en-US" w:eastAsia="zh-CN" w:bidi="ar"/>
        </w:rPr>
        <w:t>建立完善办公用房清查盘点、系统维护、管理机制，严格按照各部门、单位编制数及领导职数情况，据实从严核定办公用房面积，摸清底数，确保我县公务用房不出现违规、超标现象，严格执行公务用房统一调配使用，满足相关单位对办公用房的最新需求。</w:t>
      </w:r>
    </w:p>
    <w:p>
      <w:pPr>
        <w:keepNext w:val="0"/>
        <w:keepLines w:val="0"/>
        <w:pageBreakBefore w:val="0"/>
        <w:widowControl w:val="0"/>
        <w:kinsoku/>
        <w:wordWrap/>
        <w:overflowPunct/>
        <w:topLinePunct w:val="0"/>
        <w:autoSpaceDE w:val="0"/>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4.建立政务接待团队。</w:t>
      </w:r>
      <w:r>
        <w:rPr>
          <w:rFonts w:hint="eastAsia" w:ascii="仿宋_GB2312" w:hAnsi="仿宋_GB2312" w:eastAsia="仿宋_GB2312" w:cs="仿宋_GB2312"/>
          <w:sz w:val="32"/>
          <w:szCs w:val="32"/>
          <w:lang w:val="en-US" w:eastAsia="zh-CN"/>
        </w:rPr>
        <w:t>全年开展接待人员培训不少于2次，实行科学化、精细化接待，提升全县政务接待水平。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5.进一步提升全县群众满意度、认可度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坚持依靠群众、组织群众、发动群众，通过各种形式加大宣传力度，采取多种行之有效措施，充分调动社会各界和广大人民群众的积极性和自觉性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努力营造</w:t>
      </w:r>
      <w:r>
        <w:rPr>
          <w:rFonts w:hint="eastAsia" w:ascii="仿宋_GB2312" w:hAnsi="仿宋_GB2312" w:eastAsia="仿宋_GB2312" w:cs="仿宋_GB2312"/>
          <w:sz w:val="32"/>
          <w:szCs w:val="32"/>
          <w:lang w:eastAsia="zh-CN"/>
        </w:rPr>
        <w:t>美丽峨边</w:t>
      </w:r>
      <w:r>
        <w:rPr>
          <w:rFonts w:hint="eastAsia" w:ascii="仿宋_GB2312" w:hAnsi="仿宋_GB2312" w:eastAsia="仿宋_GB2312" w:cs="仿宋_GB2312"/>
          <w:sz w:val="32"/>
          <w:szCs w:val="32"/>
        </w:rPr>
        <w:t>的浓厚氛围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480" w:firstLineChars="15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val="en-US" w:eastAsia="zh-CN"/>
        </w:rPr>
        <w:t>6.</w:t>
      </w:r>
      <w:r>
        <w:rPr>
          <w:rFonts w:hint="eastAsia" w:ascii="楷体" w:hAnsi="楷体" w:eastAsia="楷体" w:cs="楷体"/>
          <w:b w:val="0"/>
          <w:bCs/>
          <w:color w:val="000000"/>
          <w:sz w:val="32"/>
          <w:szCs w:val="32"/>
        </w:rPr>
        <w:t>加强队伍建设</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抓好党风廉政建设，努力打造廉洁高效服务团队。全面落实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两个责任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w:t>
      </w:r>
      <w:r>
        <w:rPr>
          <w:rFonts w:hint="eastAsia" w:ascii="仿宋_GB2312" w:hAnsi="仿宋_GB2312" w:eastAsia="仿宋_GB2312" w:cs="仿宋_GB2312"/>
          <w:sz w:val="32"/>
          <w:szCs w:val="32"/>
          <w:lang w:eastAsia="zh-CN"/>
        </w:rPr>
        <w:t>党史教育</w:t>
      </w:r>
      <w:r>
        <w:rPr>
          <w:rFonts w:hint="eastAsia" w:ascii="仿宋_GB2312" w:hAnsi="仿宋_GB2312" w:eastAsia="仿宋_GB2312" w:cs="仿宋_GB2312"/>
          <w:sz w:val="32"/>
          <w:szCs w:val="32"/>
        </w:rPr>
        <w:t>”活动成果，把从严治党要求贯穿到</w:t>
      </w:r>
      <w:r>
        <w:rPr>
          <w:rFonts w:hint="eastAsia" w:ascii="仿宋_GB2312" w:hAnsi="仿宋_GB2312" w:eastAsia="仿宋_GB2312" w:cs="仿宋_GB2312"/>
          <w:sz w:val="32"/>
          <w:szCs w:val="32"/>
          <w:lang w:eastAsia="zh-CN"/>
        </w:rPr>
        <w:t>心连心</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工作全过程。</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加强作风纪律建设，强化管理，大力弘扬“马上就办、真抓实干”精神，采用有效措施提振干部精气神，促进心连队心服务</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提质增效。</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.完成县委、县政府交办的其他工作任务。</w:t>
      </w:r>
    </w:p>
    <w:p>
      <w:pPr>
        <w:spacing w:line="600" w:lineRule="exact"/>
        <w:ind w:firstLine="640" w:firstLineChars="200"/>
        <w:rPr>
          <w:rFonts w:hint="eastAsia" w:ascii="仿宋" w:hAnsi="仿宋" w:eastAsia="仿宋"/>
          <w:sz w:val="32"/>
          <w:szCs w:val="32"/>
        </w:rPr>
      </w:pP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pPr>
        <w:spacing w:line="600" w:lineRule="exact"/>
        <w:ind w:firstLine="640" w:firstLineChars="200"/>
        <w:rPr>
          <w:rFonts w:hint="eastAsia" w:ascii="仿宋" w:hAnsi="仿宋" w:eastAsia="仿宋"/>
          <w:sz w:val="32"/>
          <w:szCs w:val="32"/>
        </w:rPr>
      </w:pPr>
      <w:r>
        <w:rPr>
          <w:rFonts w:hint="eastAsia" w:ascii="仿宋" w:hAnsi="仿宋" w:eastAsia="仿宋"/>
          <w:color w:val="FF0000"/>
          <w:sz w:val="32"/>
          <w:szCs w:val="32"/>
          <w:lang w:eastAsia="zh-CN"/>
        </w:rPr>
        <w:t>县心连心</w:t>
      </w:r>
      <w:r>
        <w:rPr>
          <w:rFonts w:hint="eastAsia" w:ascii="仿宋" w:hAnsi="仿宋" w:eastAsia="仿宋"/>
          <w:sz w:val="32"/>
          <w:szCs w:val="32"/>
        </w:rPr>
        <w:t>预算单位</w:t>
      </w:r>
      <w:r>
        <w:rPr>
          <w:rFonts w:hint="eastAsia" w:ascii="仿宋" w:hAnsi="仿宋" w:eastAsia="仿宋"/>
          <w:color w:val="FF0000"/>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个，事业单位</w:t>
      </w:r>
      <w:r>
        <w:rPr>
          <w:rFonts w:hint="eastAsia" w:ascii="仿宋" w:hAnsi="仿宋" w:eastAsia="仿宋"/>
          <w:color w:val="FF0000"/>
          <w:sz w:val="32"/>
          <w:szCs w:val="32"/>
          <w:lang w:val="en-US" w:eastAsia="zh-CN"/>
        </w:rPr>
        <w:t>1</w:t>
      </w:r>
      <w:r>
        <w:rPr>
          <w:rFonts w:hint="eastAsia" w:ascii="仿宋" w:hAnsi="仿宋" w:eastAsia="仿宋"/>
          <w:sz w:val="32"/>
          <w:szCs w:val="32"/>
        </w:rPr>
        <w:t>个。</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县心连心</w:t>
      </w:r>
      <w:r>
        <w:rPr>
          <w:rFonts w:hint="eastAsia" w:ascii="仿宋" w:hAnsi="仿宋" w:eastAsia="仿宋"/>
          <w:sz w:val="32"/>
          <w:szCs w:val="32"/>
        </w:rPr>
        <w:t>总编制</w:t>
      </w:r>
      <w:r>
        <w:rPr>
          <w:rFonts w:hint="eastAsia" w:ascii="仿宋" w:hAnsi="仿宋" w:eastAsia="仿宋"/>
          <w:color w:val="FF0000"/>
          <w:sz w:val="32"/>
          <w:szCs w:val="32"/>
          <w:lang w:val="en-US" w:eastAsia="zh-CN"/>
        </w:rPr>
        <w:t>20</w:t>
      </w:r>
      <w:r>
        <w:rPr>
          <w:rFonts w:hint="eastAsia" w:ascii="仿宋" w:hAnsi="仿宋" w:eastAsia="仿宋"/>
          <w:sz w:val="32"/>
          <w:szCs w:val="32"/>
        </w:rPr>
        <w:t>名，其中：行政编制</w:t>
      </w:r>
      <w:r>
        <w:rPr>
          <w:rFonts w:hint="eastAsia" w:ascii="仿宋" w:hAnsi="仿宋" w:eastAsia="仿宋"/>
          <w:color w:val="FF0000"/>
          <w:sz w:val="32"/>
          <w:szCs w:val="32"/>
          <w:lang w:val="en-US" w:eastAsia="zh-CN"/>
        </w:rPr>
        <w:t>0</w:t>
      </w:r>
      <w:r>
        <w:rPr>
          <w:rFonts w:hint="eastAsia" w:ascii="仿宋" w:hAnsi="仿宋" w:eastAsia="仿宋"/>
          <w:sz w:val="32"/>
          <w:szCs w:val="32"/>
        </w:rPr>
        <w:t>名，工勤编制</w:t>
      </w:r>
      <w:r>
        <w:rPr>
          <w:rFonts w:hint="eastAsia" w:ascii="仿宋" w:hAnsi="仿宋" w:eastAsia="仿宋"/>
          <w:color w:val="FF0000"/>
          <w:sz w:val="32"/>
          <w:szCs w:val="32"/>
          <w:lang w:val="en-US" w:eastAsia="zh-CN"/>
        </w:rPr>
        <w:t>0</w:t>
      </w:r>
      <w:r>
        <w:rPr>
          <w:rFonts w:hint="eastAsia" w:ascii="仿宋" w:hAnsi="仿宋" w:eastAsia="仿宋"/>
          <w:sz w:val="32"/>
          <w:szCs w:val="32"/>
        </w:rPr>
        <w:t>名，事业编制</w:t>
      </w:r>
      <w:r>
        <w:rPr>
          <w:rFonts w:hint="eastAsia" w:ascii="仿宋" w:hAnsi="仿宋" w:eastAsia="仿宋"/>
          <w:color w:val="FF0000"/>
          <w:sz w:val="32"/>
          <w:szCs w:val="32"/>
          <w:lang w:val="en-US" w:eastAsia="zh-CN"/>
        </w:rPr>
        <w:t>20</w:t>
      </w:r>
      <w:r>
        <w:rPr>
          <w:rFonts w:hint="eastAsia" w:ascii="仿宋" w:hAnsi="仿宋" w:eastAsia="仿宋"/>
          <w:sz w:val="32"/>
          <w:szCs w:val="32"/>
        </w:rPr>
        <w:t>名。在职人员总数</w:t>
      </w:r>
      <w:r>
        <w:rPr>
          <w:rFonts w:hint="eastAsia" w:ascii="仿宋" w:hAnsi="仿宋" w:eastAsia="仿宋"/>
          <w:color w:val="FF0000"/>
          <w:sz w:val="32"/>
          <w:szCs w:val="32"/>
          <w:lang w:val="en-US" w:eastAsia="zh-CN"/>
        </w:rPr>
        <w:t>0</w:t>
      </w:r>
      <w:r>
        <w:rPr>
          <w:rFonts w:hint="eastAsia" w:ascii="仿宋" w:hAnsi="仿宋" w:eastAsia="仿宋"/>
          <w:sz w:val="32"/>
          <w:szCs w:val="32"/>
        </w:rPr>
        <w:t>名，其中：行政</w:t>
      </w:r>
      <w:r>
        <w:rPr>
          <w:rFonts w:hint="eastAsia" w:ascii="仿宋" w:hAnsi="仿宋" w:eastAsia="仿宋"/>
          <w:color w:val="FF0000"/>
          <w:sz w:val="32"/>
          <w:szCs w:val="32"/>
          <w:lang w:val="en-US" w:eastAsia="zh-CN"/>
        </w:rPr>
        <w:t>0</w:t>
      </w:r>
      <w:r>
        <w:rPr>
          <w:rFonts w:hint="eastAsia" w:ascii="仿宋" w:hAnsi="仿宋" w:eastAsia="仿宋"/>
          <w:sz w:val="32"/>
          <w:szCs w:val="32"/>
        </w:rPr>
        <w:t>名，工勤</w:t>
      </w:r>
      <w:r>
        <w:rPr>
          <w:rFonts w:hint="eastAsia" w:ascii="仿宋" w:hAnsi="仿宋" w:eastAsia="仿宋"/>
          <w:color w:val="FF0000"/>
          <w:sz w:val="32"/>
          <w:szCs w:val="32"/>
          <w:lang w:val="en-US" w:eastAsia="zh-CN"/>
        </w:rPr>
        <w:t>0</w:t>
      </w:r>
      <w:r>
        <w:rPr>
          <w:rFonts w:hint="eastAsia" w:ascii="仿宋" w:hAnsi="仿宋" w:eastAsia="仿宋"/>
          <w:sz w:val="32"/>
          <w:szCs w:val="32"/>
        </w:rPr>
        <w:t>名，事业</w:t>
      </w:r>
      <w:r>
        <w:rPr>
          <w:rFonts w:hint="eastAsia" w:ascii="仿宋" w:hAnsi="仿宋" w:eastAsia="仿宋"/>
          <w:color w:val="FF0000"/>
          <w:sz w:val="32"/>
          <w:szCs w:val="32"/>
          <w:lang w:val="en-US" w:eastAsia="zh-CN"/>
        </w:rPr>
        <w:t>8</w:t>
      </w:r>
      <w:r>
        <w:rPr>
          <w:rFonts w:hint="eastAsia" w:ascii="仿宋" w:hAnsi="仿宋" w:eastAsia="仿宋"/>
          <w:sz w:val="32"/>
          <w:szCs w:val="32"/>
        </w:rPr>
        <w:t>名。离休</w:t>
      </w:r>
      <w:r>
        <w:rPr>
          <w:rFonts w:hint="eastAsia" w:ascii="仿宋" w:hAnsi="仿宋" w:eastAsia="仿宋"/>
          <w:color w:val="FF0000"/>
          <w:sz w:val="32"/>
          <w:szCs w:val="32"/>
          <w:lang w:val="en-US" w:eastAsia="zh-CN"/>
        </w:rPr>
        <w:t>0</w:t>
      </w:r>
      <w:r>
        <w:rPr>
          <w:rFonts w:hint="eastAsia" w:ascii="仿宋" w:hAnsi="仿宋" w:eastAsia="仿宋"/>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ind w:firstLine="522" w:firstLineChars="100"/>
        <w:jc w:val="both"/>
        <w:rPr>
          <w:rFonts w:hint="eastAsia"/>
          <w:b/>
          <w:bCs/>
          <w:sz w:val="52"/>
          <w:szCs w:val="52"/>
          <w:lang w:val="en-US" w:eastAsia="zh-CN"/>
        </w:rPr>
      </w:pPr>
      <w:r>
        <w:rPr>
          <w:rFonts w:hint="eastAsia"/>
          <w:b/>
          <w:bCs/>
          <w:sz w:val="52"/>
          <w:szCs w:val="52"/>
          <w:lang w:val="en-US" w:eastAsia="zh-CN"/>
        </w:rPr>
        <w:t>峨边彝族自治县心连心服务中心</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
      <w:r>
        <w:drawing>
          <wp:inline distT="0" distB="0" distL="114300" distR="114300">
            <wp:extent cx="5268595" cy="8677910"/>
            <wp:effectExtent l="0" t="0" r="8255" b="889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
                    <a:stretch>
                      <a:fillRect/>
                    </a:stretch>
                  </pic:blipFill>
                  <pic:spPr>
                    <a:xfrm>
                      <a:off x="0" y="0"/>
                      <a:ext cx="5268595" cy="8677910"/>
                    </a:xfrm>
                    <a:prstGeom prst="rect">
                      <a:avLst/>
                    </a:prstGeom>
                    <a:noFill/>
                    <a:ln w="9525">
                      <a:noFill/>
                    </a:ln>
                  </pic:spPr>
                </pic:pic>
              </a:graphicData>
            </a:graphic>
          </wp:inline>
        </w:drawing>
      </w:r>
    </w:p>
    <w:p>
      <w:r>
        <w:br w:type="textWrapping"/>
      </w:r>
      <w:r>
        <w:drawing>
          <wp:inline distT="0" distB="0" distL="114300" distR="114300">
            <wp:extent cx="5270500" cy="1462405"/>
            <wp:effectExtent l="0" t="0" r="6350" b="44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5"/>
                    <a:stretch>
                      <a:fillRect/>
                    </a:stretch>
                  </pic:blipFill>
                  <pic:spPr>
                    <a:xfrm>
                      <a:off x="0" y="0"/>
                      <a:ext cx="5270500" cy="1462405"/>
                    </a:xfrm>
                    <a:prstGeom prst="rect">
                      <a:avLst/>
                    </a:prstGeom>
                    <a:noFill/>
                    <a:ln w="9525">
                      <a:noFill/>
                    </a:ln>
                  </pic:spPr>
                </pic:pic>
              </a:graphicData>
            </a:graphic>
          </wp:inline>
        </w:drawing>
      </w:r>
    </w:p>
    <w:p/>
    <w:p/>
    <w:p/>
    <w:p/>
    <w:p/>
    <w:p/>
    <w:p>
      <w:r>
        <w:drawing>
          <wp:inline distT="0" distB="0" distL="114300" distR="114300">
            <wp:extent cx="5270500" cy="2220595"/>
            <wp:effectExtent l="0" t="0" r="6350" b="825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6"/>
                    <a:stretch>
                      <a:fillRect/>
                    </a:stretch>
                  </pic:blipFill>
                  <pic:spPr>
                    <a:xfrm>
                      <a:off x="0" y="0"/>
                      <a:ext cx="5270500" cy="2220595"/>
                    </a:xfrm>
                    <a:prstGeom prst="rect">
                      <a:avLst/>
                    </a:prstGeom>
                    <a:noFill/>
                    <a:ln w="9525">
                      <a:noFill/>
                    </a:ln>
                  </pic:spPr>
                </pic:pic>
              </a:graphicData>
            </a:graphic>
          </wp:inline>
        </w:drawing>
      </w:r>
    </w:p>
    <w:p/>
    <w:p/>
    <w:p/>
    <w:p/>
    <w:p/>
    <w:p/>
    <w:p/>
    <w:p>
      <w:r>
        <w:drawing>
          <wp:inline distT="0" distB="0" distL="114300" distR="114300">
            <wp:extent cx="5269865" cy="5986145"/>
            <wp:effectExtent l="0" t="0" r="6985" b="1460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
                    <a:stretch>
                      <a:fillRect/>
                    </a:stretch>
                  </pic:blipFill>
                  <pic:spPr>
                    <a:xfrm>
                      <a:off x="0" y="0"/>
                      <a:ext cx="5269865" cy="5986145"/>
                    </a:xfrm>
                    <a:prstGeom prst="rect">
                      <a:avLst/>
                    </a:prstGeom>
                    <a:noFill/>
                    <a:ln w="9525">
                      <a:noFill/>
                    </a:ln>
                  </pic:spPr>
                </pic:pic>
              </a:graphicData>
            </a:graphic>
          </wp:inline>
        </w:drawing>
      </w:r>
    </w:p>
    <w:p/>
    <w:p/>
    <w:p/>
    <w:p/>
    <w:p/>
    <w:p/>
    <w:p/>
    <w:p/>
    <w:p/>
    <w:p/>
    <w:p/>
    <w:p/>
    <w:p>
      <w:pPr>
        <w:jc w:val="center"/>
      </w:pPr>
    </w:p>
    <w:p>
      <w:pPr>
        <w:jc w:val="center"/>
        <w:rPr>
          <w:rFonts w:hint="eastAsia"/>
          <w:lang w:eastAsia="zh-CN"/>
        </w:rPr>
      </w:pPr>
      <w:r>
        <w:rPr>
          <w:rFonts w:hint="eastAsia"/>
          <w:lang w:eastAsia="zh-CN"/>
        </w:rPr>
        <w:t>财政拨款支出预算表（部门经济分类科目）</w:t>
      </w:r>
    </w:p>
    <w:p>
      <w:pPr>
        <w:jc w:val="center"/>
        <w:rPr>
          <w:rFonts w:hint="eastAsia"/>
          <w:lang w:eastAsia="zh-CN"/>
        </w:rPr>
      </w:pPr>
    </w:p>
    <w:p>
      <w:pPr>
        <w:jc w:val="center"/>
      </w:pPr>
      <w:r>
        <w:drawing>
          <wp:inline distT="0" distB="0" distL="114300" distR="114300">
            <wp:extent cx="5266690" cy="4662170"/>
            <wp:effectExtent l="0" t="0" r="10160" b="508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8"/>
                    <a:stretch>
                      <a:fillRect/>
                    </a:stretch>
                  </pic:blipFill>
                  <pic:spPr>
                    <a:xfrm>
                      <a:off x="0" y="0"/>
                      <a:ext cx="5266690" cy="4662170"/>
                    </a:xfrm>
                    <a:prstGeom prst="rect">
                      <a:avLst/>
                    </a:prstGeom>
                    <a:noFill/>
                    <a:ln w="9525">
                      <a:noFill/>
                    </a:ln>
                  </pic:spPr>
                </pic:pic>
              </a:graphicData>
            </a:graphic>
          </wp:inline>
        </w:drawing>
      </w:r>
    </w:p>
    <w:p>
      <w:pPr>
        <w:jc w:val="center"/>
      </w:pPr>
    </w:p>
    <w:p>
      <w:pPr>
        <w:jc w:val="center"/>
      </w:pPr>
      <w:r>
        <w:drawing>
          <wp:inline distT="0" distB="0" distL="114300" distR="114300">
            <wp:extent cx="5269230" cy="6355715"/>
            <wp:effectExtent l="0" t="0" r="7620" b="698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9"/>
                    <a:stretch>
                      <a:fillRect/>
                    </a:stretch>
                  </pic:blipFill>
                  <pic:spPr>
                    <a:xfrm>
                      <a:off x="0" y="0"/>
                      <a:ext cx="5269230" cy="6355715"/>
                    </a:xfrm>
                    <a:prstGeom prst="rect">
                      <a:avLst/>
                    </a:prstGeom>
                    <a:noFill/>
                    <a:ln w="9525">
                      <a:noFill/>
                    </a:ln>
                  </pic:spPr>
                </pic:pic>
              </a:graphicData>
            </a:graphic>
          </wp:inline>
        </w:drawing>
      </w:r>
    </w:p>
    <w:p>
      <w:pPr>
        <w:jc w:val="center"/>
      </w:pPr>
    </w:p>
    <w:p>
      <w:pPr>
        <w:jc w:val="center"/>
      </w:pPr>
    </w:p>
    <w:p>
      <w:pPr>
        <w:jc w:val="center"/>
      </w:pPr>
      <w:r>
        <w:drawing>
          <wp:inline distT="0" distB="0" distL="114300" distR="114300">
            <wp:extent cx="5271770" cy="5155565"/>
            <wp:effectExtent l="0" t="0" r="5080" b="698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0"/>
                    <a:stretch>
                      <a:fillRect/>
                    </a:stretch>
                  </pic:blipFill>
                  <pic:spPr>
                    <a:xfrm>
                      <a:off x="0" y="0"/>
                      <a:ext cx="5271770" cy="5155565"/>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drawing>
          <wp:inline distT="0" distB="0" distL="114300" distR="114300">
            <wp:extent cx="5273040" cy="2596515"/>
            <wp:effectExtent l="0" t="0" r="3810" b="133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1"/>
                    <a:stretch>
                      <a:fillRect/>
                    </a:stretch>
                  </pic:blipFill>
                  <pic:spPr>
                    <a:xfrm>
                      <a:off x="0" y="0"/>
                      <a:ext cx="5273040" cy="2596515"/>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r>
        <w:drawing>
          <wp:inline distT="0" distB="0" distL="114300" distR="114300">
            <wp:extent cx="5271135" cy="3332480"/>
            <wp:effectExtent l="0" t="0" r="5715" b="127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271135" cy="3332480"/>
                    </a:xfrm>
                    <a:prstGeom prst="rect">
                      <a:avLst/>
                    </a:prstGeom>
                    <a:noFill/>
                    <a:ln w="9525">
                      <a:noFill/>
                    </a:ln>
                  </pic:spPr>
                </pic:pic>
              </a:graphicData>
            </a:graphic>
          </wp:inline>
        </w:drawing>
      </w:r>
    </w:p>
    <w:p>
      <w:pPr>
        <w:jc w:val="center"/>
      </w:pPr>
    </w:p>
    <w:p>
      <w:pPr>
        <w:jc w:val="center"/>
      </w:pPr>
      <w:r>
        <w:drawing>
          <wp:inline distT="0" distB="0" distL="114300" distR="114300">
            <wp:extent cx="5272405" cy="6236335"/>
            <wp:effectExtent l="0" t="0" r="4445" b="1206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272405" cy="6236335"/>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r>
        <w:drawing>
          <wp:inline distT="0" distB="0" distL="114300" distR="114300">
            <wp:extent cx="5269230" cy="1733550"/>
            <wp:effectExtent l="0" t="0" r="762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4"/>
                    <a:stretch>
                      <a:fillRect/>
                    </a:stretch>
                  </pic:blipFill>
                  <pic:spPr>
                    <a:xfrm>
                      <a:off x="0" y="0"/>
                      <a:ext cx="5269230" cy="1733550"/>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r>
        <w:drawing>
          <wp:inline distT="0" distB="0" distL="114300" distR="114300">
            <wp:extent cx="5271135" cy="1284605"/>
            <wp:effectExtent l="0" t="0" r="5715" b="1079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5271135" cy="1284605"/>
                    </a:xfrm>
                    <a:prstGeom prst="rect">
                      <a:avLst/>
                    </a:prstGeom>
                    <a:noFill/>
                    <a:ln w="9525">
                      <a:noFill/>
                    </a:ln>
                  </pic:spPr>
                </pic:pic>
              </a:graphicData>
            </a:graphic>
          </wp:inline>
        </w:drawing>
      </w:r>
    </w:p>
    <w:p>
      <w:pPr>
        <w:jc w:val="center"/>
      </w:pPr>
    </w:p>
    <w:p>
      <w:pPr>
        <w:jc w:val="center"/>
      </w:pPr>
    </w:p>
    <w:p>
      <w:pPr>
        <w:jc w:val="center"/>
      </w:pPr>
    </w:p>
    <w:p>
      <w:pPr>
        <w:jc w:val="center"/>
      </w:pPr>
      <w:r>
        <w:drawing>
          <wp:inline distT="0" distB="0" distL="114300" distR="114300">
            <wp:extent cx="5267325" cy="1214755"/>
            <wp:effectExtent l="0" t="0" r="9525"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267325" cy="1214755"/>
                    </a:xfrm>
                    <a:prstGeom prst="rect">
                      <a:avLst/>
                    </a:prstGeom>
                    <a:noFill/>
                    <a:ln w="9525">
                      <a:noFill/>
                    </a:ln>
                  </pic:spPr>
                </pic:pic>
              </a:graphicData>
            </a:graphic>
          </wp:inline>
        </w:drawing>
      </w:r>
    </w:p>
    <w:p>
      <w:pPr>
        <w:jc w:val="center"/>
      </w:pPr>
    </w:p>
    <w:p>
      <w:pPr>
        <w:jc w:val="center"/>
        <w:rPr>
          <w:rFonts w:hint="eastAsia"/>
          <w:lang w:eastAsia="zh-CN"/>
        </w:rPr>
      </w:pPr>
    </w:p>
    <w:p>
      <w:pPr>
        <w:jc w:val="center"/>
        <w:rPr>
          <w:rFonts w:hint="eastAsia"/>
          <w:lang w:eastAsia="zh-CN"/>
        </w:rPr>
      </w:pPr>
    </w:p>
    <w:p>
      <w:pPr>
        <w:jc w:val="center"/>
      </w:pPr>
      <w:r>
        <w:drawing>
          <wp:inline distT="0" distB="0" distL="114300" distR="114300">
            <wp:extent cx="5270500" cy="1393190"/>
            <wp:effectExtent l="0" t="0" r="6350" b="1651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270500" cy="1393190"/>
                    </a:xfrm>
                    <a:prstGeom prst="rect">
                      <a:avLst/>
                    </a:prstGeom>
                    <a:noFill/>
                    <a:ln w="9525">
                      <a:noFill/>
                    </a:ln>
                  </pic:spPr>
                </pic:pic>
              </a:graphicData>
            </a:graphic>
          </wp:inline>
        </w:drawing>
      </w:r>
    </w:p>
    <w:p>
      <w:pPr>
        <w:jc w:val="center"/>
      </w:pPr>
    </w:p>
    <w:p>
      <w:pPr>
        <w:jc w:val="center"/>
      </w:pPr>
    </w:p>
    <w:p>
      <w:pPr>
        <w:jc w:val="both"/>
      </w:pPr>
    </w:p>
    <w:p>
      <w:pPr>
        <w:jc w:val="center"/>
      </w:pPr>
      <w:r>
        <w:drawing>
          <wp:inline distT="0" distB="0" distL="114300" distR="114300">
            <wp:extent cx="5271135" cy="4729480"/>
            <wp:effectExtent l="0" t="0" r="571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271135" cy="4729480"/>
                    </a:xfrm>
                    <a:prstGeom prst="rect">
                      <a:avLst/>
                    </a:prstGeom>
                    <a:noFill/>
                    <a:ln>
                      <a:noFill/>
                    </a:ln>
                  </pic:spPr>
                </pic:pic>
              </a:graphicData>
            </a:graphic>
          </wp:inline>
        </w:drawing>
      </w:r>
    </w:p>
    <w:p>
      <w:pPr>
        <w:jc w:val="center"/>
      </w:pPr>
      <w:r>
        <w:drawing>
          <wp:inline distT="0" distB="0" distL="114300" distR="114300">
            <wp:extent cx="5271135" cy="5386705"/>
            <wp:effectExtent l="0" t="0" r="571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271135" cy="5386705"/>
                    </a:xfrm>
                    <a:prstGeom prst="rect">
                      <a:avLst/>
                    </a:prstGeom>
                    <a:noFill/>
                    <a:ln>
                      <a:noFill/>
                    </a:ln>
                  </pic:spPr>
                </pic:pic>
              </a:graphicData>
            </a:graphic>
          </wp:inline>
        </w:drawing>
      </w:r>
    </w:p>
    <w:p>
      <w:pPr>
        <w:jc w:val="center"/>
      </w:pPr>
      <w:r>
        <w:drawing>
          <wp:inline distT="0" distB="0" distL="114300" distR="114300">
            <wp:extent cx="5274310" cy="7582535"/>
            <wp:effectExtent l="0" t="0" r="2540" b="1841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0"/>
                    <a:stretch>
                      <a:fillRect/>
                    </a:stretch>
                  </pic:blipFill>
                  <pic:spPr>
                    <a:xfrm>
                      <a:off x="0" y="0"/>
                      <a:ext cx="5274310" cy="7582535"/>
                    </a:xfrm>
                    <a:prstGeom prst="rect">
                      <a:avLst/>
                    </a:prstGeom>
                    <a:noFill/>
                    <a:ln w="9525">
                      <a:noFill/>
                    </a:ln>
                  </pic:spPr>
                </pic:pic>
              </a:graphicData>
            </a:graphic>
          </wp:inline>
        </w:drawing>
      </w:r>
    </w:p>
    <w:p>
      <w:pPr>
        <w:jc w:val="center"/>
      </w:pPr>
    </w:p>
    <w:p>
      <w:pPr>
        <w:jc w:val="center"/>
      </w:pPr>
      <w:r>
        <w:drawing>
          <wp:inline distT="0" distB="0" distL="114300" distR="114300">
            <wp:extent cx="5269230" cy="1036320"/>
            <wp:effectExtent l="0" t="0" r="7620" b="1143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1"/>
                    <a:stretch>
                      <a:fillRect/>
                    </a:stretch>
                  </pic:blipFill>
                  <pic:spPr>
                    <a:xfrm>
                      <a:off x="0" y="0"/>
                      <a:ext cx="5269230" cy="1036320"/>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峨边彝族自治县心连心</w:t>
      </w:r>
    </w:p>
    <w:p>
      <w:pPr>
        <w:numPr>
          <w:ilvl w:val="0"/>
          <w:numId w:val="0"/>
        </w:numPr>
        <w:ind w:leftChars="0" w:firstLine="4176" w:firstLineChars="800"/>
        <w:jc w:val="both"/>
        <w:rPr>
          <w:rFonts w:hint="eastAsia"/>
          <w:b/>
          <w:bCs/>
          <w:sz w:val="52"/>
          <w:szCs w:val="52"/>
          <w:lang w:val="en-US" w:eastAsia="zh-CN"/>
        </w:rPr>
      </w:pPr>
      <w:r>
        <w:rPr>
          <w:rFonts w:hint="eastAsia"/>
          <w:b/>
          <w:bCs/>
          <w:sz w:val="52"/>
          <w:szCs w:val="52"/>
          <w:lang w:val="en-US" w:eastAsia="zh-CN"/>
        </w:rPr>
        <w:t>服务中心</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FF0000"/>
          <w:sz w:val="32"/>
          <w:szCs w:val="32"/>
          <w:lang w:eastAsia="zh-CN"/>
        </w:rPr>
        <w:t>县心连心</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FF0000"/>
          <w:sz w:val="32"/>
          <w:szCs w:val="32"/>
          <w:lang w:eastAsia="zh-CN"/>
        </w:rPr>
        <w:t>县心连心</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sz w:val="28"/>
          <w:szCs w:val="28"/>
          <w:shd w:val="clear" w:color="auto" w:fill="FFFFFF"/>
        </w:rPr>
        <w:t>853.22</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117.96</w:t>
      </w:r>
      <w:r>
        <w:rPr>
          <w:rFonts w:hint="eastAsia" w:ascii="仿宋" w:hAnsi="仿宋" w:eastAsia="仿宋" w:cs="宋体"/>
          <w:kern w:val="0"/>
          <w:sz w:val="32"/>
          <w:szCs w:val="32"/>
        </w:rPr>
        <w:t>万元，主要是由于</w:t>
      </w:r>
      <w:r>
        <w:rPr>
          <w:rFonts w:hint="eastAsia" w:ascii="仿宋" w:hAnsi="仿宋" w:eastAsia="仿宋" w:cs="宋体"/>
          <w:color w:val="FF0000"/>
          <w:kern w:val="0"/>
          <w:sz w:val="32"/>
          <w:szCs w:val="32"/>
        </w:rPr>
        <w:t>人员经费预算增加</w:t>
      </w:r>
      <w:r>
        <w:rPr>
          <w:rFonts w:hint="eastAsia" w:ascii="仿宋" w:hAnsi="仿宋" w:eastAsia="仿宋" w:cs="宋体"/>
          <w:color w:val="FF0000"/>
          <w:kern w:val="0"/>
          <w:sz w:val="32"/>
          <w:szCs w:val="32"/>
          <w:lang w:eastAsia="zh-CN"/>
        </w:rPr>
        <w:t>与全县公务出行保障经费增加</w:t>
      </w:r>
      <w:r>
        <w:rPr>
          <w:rFonts w:hint="eastAsia" w:ascii="仿宋" w:hAnsi="仿宋" w:eastAsia="仿宋" w:cs="宋体"/>
          <w:kern w:val="0"/>
          <w:sz w:val="32"/>
          <w:szCs w:val="32"/>
        </w:rPr>
        <w:t>。</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县心连心</w:t>
      </w:r>
      <w:r>
        <w:rPr>
          <w:rFonts w:hint="eastAsia" w:ascii="仿宋" w:hAnsi="仿宋" w:eastAsia="仿宋" w:cs="宋体"/>
          <w:kern w:val="0"/>
          <w:sz w:val="32"/>
          <w:szCs w:val="32"/>
        </w:rPr>
        <w:t xml:space="preserve"> 2022 年收入预算</w:t>
      </w:r>
      <w:r>
        <w:rPr>
          <w:rFonts w:hint="eastAsia" w:ascii="仿宋" w:hAnsi="仿宋" w:eastAsia="仿宋" w:cs="宋体"/>
          <w:color w:val="FF0000"/>
          <w:kern w:val="0"/>
          <w:sz w:val="32"/>
          <w:szCs w:val="32"/>
          <w:lang w:val="en-US" w:eastAsia="zh-CN"/>
        </w:rPr>
        <w:t>853.22</w:t>
      </w:r>
      <w:r>
        <w:rPr>
          <w:rFonts w:hint="eastAsia" w:ascii="仿宋" w:hAnsi="仿宋" w:eastAsia="仿宋" w:cs="宋体"/>
          <w:kern w:val="0"/>
          <w:sz w:val="32"/>
          <w:szCs w:val="32"/>
        </w:rPr>
        <w:t>万元，其中：上年结转</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color w:val="FF0000"/>
          <w:kern w:val="0"/>
          <w:sz w:val="32"/>
          <w:szCs w:val="32"/>
          <w:lang w:val="en-US" w:eastAsia="zh-CN"/>
        </w:rPr>
        <w:t>853.22</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eastAsia="zh-CN"/>
        </w:rPr>
        <w:t>县心连心</w:t>
      </w:r>
      <w:r>
        <w:rPr>
          <w:rFonts w:hint="eastAsia" w:ascii="仿宋" w:hAnsi="仿宋" w:eastAsia="仿宋" w:cs="宋体"/>
          <w:kern w:val="0"/>
          <w:sz w:val="32"/>
          <w:szCs w:val="32"/>
        </w:rPr>
        <w:t xml:space="preserve"> 2022 年支出预算</w:t>
      </w:r>
      <w:r>
        <w:rPr>
          <w:rFonts w:hint="eastAsia" w:ascii="仿宋" w:hAnsi="仿宋" w:eastAsia="仿宋" w:cs="宋体"/>
          <w:color w:val="FF0000"/>
          <w:kern w:val="0"/>
          <w:sz w:val="32"/>
          <w:szCs w:val="32"/>
          <w:lang w:val="en-US" w:eastAsia="zh-CN"/>
        </w:rPr>
        <w:t>853.22</w:t>
      </w:r>
      <w:r>
        <w:rPr>
          <w:rFonts w:hint="eastAsia" w:ascii="仿宋" w:hAnsi="仿宋" w:eastAsia="仿宋" w:cs="宋体"/>
          <w:kern w:val="0"/>
          <w:sz w:val="32"/>
          <w:szCs w:val="32"/>
        </w:rPr>
        <w:t>万元，其中：基本支出</w:t>
      </w:r>
      <w:r>
        <w:rPr>
          <w:rFonts w:hint="eastAsia" w:ascii="仿宋" w:hAnsi="仿宋" w:eastAsia="仿宋" w:cs="宋体"/>
          <w:color w:val="FF0000"/>
          <w:kern w:val="0"/>
          <w:sz w:val="32"/>
          <w:szCs w:val="32"/>
          <w:lang w:val="en-US" w:eastAsia="zh-CN"/>
        </w:rPr>
        <w:t>577.82</w:t>
      </w:r>
      <w:r>
        <w:rPr>
          <w:rFonts w:hint="eastAsia" w:ascii="仿宋" w:hAnsi="仿宋" w:eastAsia="仿宋" w:cs="宋体"/>
          <w:kern w:val="0"/>
          <w:sz w:val="32"/>
          <w:szCs w:val="32"/>
        </w:rPr>
        <w:t>，占</w:t>
      </w:r>
      <w:r>
        <w:rPr>
          <w:rFonts w:hint="eastAsia" w:ascii="仿宋" w:hAnsi="仿宋" w:eastAsia="仿宋" w:cs="宋体"/>
          <w:kern w:val="0"/>
          <w:sz w:val="32"/>
          <w:szCs w:val="32"/>
          <w:lang w:val="en-US" w:eastAsia="zh-CN"/>
        </w:rPr>
        <w:t>68</w:t>
      </w:r>
      <w:r>
        <w:rPr>
          <w:rFonts w:hint="eastAsia" w:ascii="仿宋" w:hAnsi="仿宋" w:eastAsia="仿宋" w:cs="宋体"/>
          <w:kern w:val="0"/>
          <w:sz w:val="32"/>
          <w:szCs w:val="32"/>
        </w:rPr>
        <w:t xml:space="preserve">%；项目支出 </w:t>
      </w:r>
      <w:r>
        <w:rPr>
          <w:rFonts w:hint="eastAsia" w:ascii="仿宋" w:hAnsi="仿宋" w:eastAsia="仿宋" w:cs="宋体"/>
          <w:kern w:val="0"/>
          <w:sz w:val="32"/>
          <w:szCs w:val="32"/>
          <w:lang w:val="en-US" w:eastAsia="zh-CN"/>
        </w:rPr>
        <w:t>275.4</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32</w:t>
      </w:r>
      <w:r>
        <w:rPr>
          <w:rFonts w:hint="eastAsia" w:ascii="仿宋" w:hAnsi="仿宋" w:eastAsia="仿宋" w:cs="宋体"/>
          <w:kern w:val="0"/>
          <w:sz w:val="32"/>
          <w:szCs w:val="32"/>
        </w:rPr>
        <w:t>%。</w:t>
      </w: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县心连心</w:t>
      </w:r>
      <w:r>
        <w:rPr>
          <w:rFonts w:hint="eastAsia" w:ascii="仿宋" w:hAnsi="仿宋" w:eastAsia="仿宋" w:cs="宋体"/>
          <w:kern w:val="0"/>
          <w:sz w:val="32"/>
          <w:szCs w:val="32"/>
        </w:rPr>
        <w:t xml:space="preserve"> 2022 年财政拨款收支预算总数</w:t>
      </w:r>
      <w:r>
        <w:rPr>
          <w:rFonts w:hint="eastAsia" w:ascii="仿宋" w:hAnsi="仿宋" w:eastAsia="仿宋" w:cs="宋体"/>
          <w:kern w:val="0"/>
          <w:sz w:val="32"/>
          <w:szCs w:val="32"/>
          <w:lang w:val="en-US" w:eastAsia="zh-CN"/>
        </w:rPr>
        <w:t>853.22</w:t>
      </w:r>
      <w:r>
        <w:rPr>
          <w:rFonts w:hint="eastAsia" w:ascii="仿宋" w:hAnsi="仿宋" w:eastAsia="仿宋" w:cs="宋体"/>
          <w:kern w:val="0"/>
          <w:sz w:val="32"/>
          <w:szCs w:val="32"/>
        </w:rPr>
        <w:t xml:space="preserve"> 万元,比 2021 年财政拨款收支预算总数 </w:t>
      </w:r>
      <w:r>
        <w:rPr>
          <w:rFonts w:hint="eastAsia" w:ascii="仿宋" w:hAnsi="仿宋" w:eastAsia="仿宋" w:cs="宋体"/>
          <w:color w:val="FF0000"/>
          <w:kern w:val="0"/>
          <w:sz w:val="32"/>
          <w:szCs w:val="32"/>
          <w:lang w:val="en-US" w:eastAsia="zh-CN"/>
        </w:rPr>
        <w:t>735.26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 xml:space="preserve"> </w:t>
      </w:r>
      <w:r>
        <w:rPr>
          <w:rFonts w:hint="eastAsia" w:ascii="仿宋" w:hAnsi="仿宋" w:eastAsia="仿宋" w:cs="宋体"/>
          <w:color w:val="FF0000"/>
          <w:kern w:val="0"/>
          <w:sz w:val="32"/>
          <w:szCs w:val="32"/>
          <w:lang w:val="en-US" w:eastAsia="zh-CN"/>
        </w:rPr>
        <w:t>117.96</w:t>
      </w:r>
      <w:r>
        <w:rPr>
          <w:rFonts w:hint="eastAsia" w:ascii="仿宋" w:hAnsi="仿宋" w:eastAsia="仿宋" w:cs="宋体"/>
          <w:kern w:val="0"/>
          <w:sz w:val="32"/>
          <w:szCs w:val="32"/>
        </w:rPr>
        <w:t>万元，主要原因一是</w:t>
      </w:r>
      <w:r>
        <w:rPr>
          <w:rFonts w:hint="eastAsia" w:ascii="仿宋" w:hAnsi="仿宋" w:eastAsia="仿宋" w:cs="宋体"/>
          <w:color w:val="FF0000"/>
          <w:kern w:val="0"/>
          <w:sz w:val="32"/>
          <w:szCs w:val="32"/>
        </w:rPr>
        <w:t>人员经费预算增加</w:t>
      </w:r>
      <w:r>
        <w:rPr>
          <w:rFonts w:hint="eastAsia" w:ascii="仿宋" w:hAnsi="仿宋" w:eastAsia="仿宋" w:cs="宋体"/>
          <w:color w:val="FF0000"/>
          <w:kern w:val="0"/>
          <w:sz w:val="32"/>
          <w:szCs w:val="32"/>
          <w:lang w:eastAsia="zh-CN"/>
        </w:rPr>
        <w:t>，二是全县公务出行保障经费增加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收入包括：本年一般公共预算拨款收入</w:t>
      </w:r>
      <w:r>
        <w:rPr>
          <w:rFonts w:hint="eastAsia" w:ascii="仿宋" w:hAnsi="仿宋" w:eastAsia="仿宋" w:cs="宋体"/>
          <w:kern w:val="0"/>
          <w:sz w:val="32"/>
          <w:szCs w:val="32"/>
          <w:lang w:val="en-US" w:eastAsia="zh-CN"/>
        </w:rPr>
        <w:t>853.22</w:t>
      </w:r>
      <w:r>
        <w:rPr>
          <w:rFonts w:hint="eastAsia" w:ascii="仿宋" w:hAnsi="仿宋" w:eastAsia="仿宋" w:cs="宋体"/>
          <w:kern w:val="0"/>
          <w:sz w:val="32"/>
          <w:szCs w:val="32"/>
        </w:rPr>
        <w:t>万元、本年政府性基金预算拨款收入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万元；支出包括：一般公共服务支出</w:t>
      </w:r>
      <w:r>
        <w:rPr>
          <w:rFonts w:hint="eastAsia" w:ascii="仿宋" w:hAnsi="仿宋" w:eastAsia="仿宋" w:cs="宋体"/>
          <w:kern w:val="0"/>
          <w:sz w:val="32"/>
          <w:szCs w:val="32"/>
          <w:lang w:val="en-US" w:eastAsia="zh-CN"/>
        </w:rPr>
        <w:t>826.56</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13.97</w:t>
      </w:r>
      <w:r>
        <w:rPr>
          <w:rFonts w:hint="eastAsia" w:ascii="仿宋" w:hAnsi="仿宋" w:eastAsia="仿宋" w:cs="宋体"/>
          <w:kern w:val="0"/>
          <w:sz w:val="32"/>
          <w:szCs w:val="32"/>
        </w:rPr>
        <w:t xml:space="preserve">万元、卫生健康支出 </w:t>
      </w:r>
      <w:r>
        <w:rPr>
          <w:rFonts w:hint="eastAsia" w:ascii="仿宋" w:hAnsi="仿宋" w:eastAsia="仿宋" w:cs="宋体"/>
          <w:color w:val="FF0000"/>
          <w:kern w:val="0"/>
          <w:sz w:val="32"/>
          <w:szCs w:val="32"/>
          <w:lang w:val="en-US" w:eastAsia="zh-CN"/>
        </w:rPr>
        <w:t>3.23</w:t>
      </w:r>
      <w:r>
        <w:rPr>
          <w:rFonts w:hint="eastAsia" w:ascii="仿宋" w:hAnsi="仿宋" w:eastAsia="仿宋" w:cs="宋体"/>
          <w:kern w:val="0"/>
          <w:sz w:val="32"/>
          <w:szCs w:val="32"/>
        </w:rPr>
        <w:t>万元，住户保障支出</w:t>
      </w:r>
      <w:r>
        <w:rPr>
          <w:rFonts w:hint="eastAsia" w:ascii="仿宋" w:hAnsi="仿宋" w:eastAsia="仿宋" w:cs="宋体"/>
          <w:kern w:val="0"/>
          <w:sz w:val="32"/>
          <w:szCs w:val="32"/>
          <w:lang w:val="en-US" w:eastAsia="zh-CN"/>
        </w:rPr>
        <w:t>9.45</w:t>
      </w:r>
      <w:r>
        <w:rPr>
          <w:rFonts w:hint="eastAsia" w:ascii="仿宋" w:hAnsi="仿宋" w:eastAsia="仿宋" w:cs="宋体"/>
          <w:kern w:val="0"/>
          <w:sz w:val="32"/>
          <w:szCs w:val="32"/>
        </w:rPr>
        <w:t>万元。</w:t>
      </w:r>
    </w:p>
    <w:p>
      <w:pPr>
        <w:numPr>
          <w:ilvl w:val="0"/>
          <w:numId w:val="2"/>
        </w:numPr>
        <w:spacing w:line="600" w:lineRule="exact"/>
        <w:rPr>
          <w:rFonts w:ascii="仿宋" w:hAnsi="宋体" w:eastAsia="仿宋" w:cs="宋体"/>
          <w:color w:val="000000"/>
          <w:kern w:val="0"/>
          <w:sz w:val="32"/>
          <w:szCs w:val="32"/>
        </w:rPr>
      </w:pP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FF0000"/>
          <w:kern w:val="0"/>
          <w:sz w:val="32"/>
          <w:szCs w:val="32"/>
          <w:lang w:val="en-US" w:eastAsia="zh-CN"/>
        </w:rPr>
        <w:t>853.22</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117.96</w:t>
      </w:r>
      <w:r>
        <w:rPr>
          <w:rFonts w:hint="eastAsia" w:ascii="仿宋" w:hAnsi="仿宋" w:eastAsia="仿宋" w:cs="宋体"/>
          <w:color w:val="000000"/>
          <w:kern w:val="0"/>
          <w:sz w:val="32"/>
          <w:szCs w:val="32"/>
        </w:rPr>
        <w:t>万元。主要</w:t>
      </w:r>
      <w:r>
        <w:rPr>
          <w:rFonts w:hint="eastAsia" w:ascii="仿宋" w:hAnsi="仿宋" w:eastAsia="仿宋" w:cs="宋体"/>
          <w:kern w:val="0"/>
          <w:sz w:val="32"/>
          <w:szCs w:val="32"/>
        </w:rPr>
        <w:t>一是</w:t>
      </w:r>
      <w:r>
        <w:rPr>
          <w:rFonts w:hint="eastAsia" w:ascii="仿宋" w:hAnsi="仿宋" w:eastAsia="仿宋" w:cs="宋体"/>
          <w:color w:val="FF0000"/>
          <w:kern w:val="0"/>
          <w:sz w:val="32"/>
          <w:szCs w:val="32"/>
        </w:rPr>
        <w:t>人员经费预算增加</w:t>
      </w:r>
      <w:r>
        <w:rPr>
          <w:rFonts w:hint="eastAsia" w:ascii="仿宋" w:hAnsi="仿宋" w:eastAsia="仿宋" w:cs="宋体"/>
          <w:color w:val="FF0000"/>
          <w:kern w:val="0"/>
          <w:sz w:val="32"/>
          <w:szCs w:val="32"/>
          <w:lang w:eastAsia="zh-CN"/>
        </w:rPr>
        <w:t>，二是全县公务出行保障经费增加</w:t>
      </w:r>
      <w:r>
        <w:rPr>
          <w:rFonts w:hint="eastAsia" w:ascii="仿宋" w:hAnsi="仿宋" w:eastAsia="仿宋" w:cs="宋体"/>
          <w:kern w:val="0"/>
          <w:sz w:val="32"/>
          <w:szCs w:val="32"/>
          <w:lang w:val="en-US" w:eastAsia="zh-CN"/>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hint="eastAsia" w:ascii="仿宋" w:hAnsi="仿宋" w:eastAsia="仿宋" w:cs="宋体"/>
          <w:color w:val="FF0000"/>
          <w:kern w:val="0"/>
          <w:sz w:val="32"/>
          <w:szCs w:val="32"/>
        </w:rPr>
        <w:t>（阐述到类）</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826.56</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96.87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FF0000"/>
          <w:kern w:val="0"/>
          <w:sz w:val="32"/>
          <w:szCs w:val="32"/>
          <w:lang w:val="en-US" w:eastAsia="zh-CN"/>
        </w:rPr>
        <w:t>13.97</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1.64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color w:val="FF0000"/>
          <w:kern w:val="0"/>
          <w:sz w:val="32"/>
          <w:szCs w:val="32"/>
          <w:lang w:val="en-US" w:eastAsia="zh-CN"/>
        </w:rPr>
        <w:t>3.23</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0.38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FF0000"/>
          <w:kern w:val="0"/>
          <w:sz w:val="32"/>
          <w:szCs w:val="32"/>
          <w:lang w:val="en-US" w:eastAsia="zh-CN"/>
        </w:rPr>
        <w:t>9.45</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1.11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hint="eastAsia" w:ascii="仿宋" w:hAnsi="仿宋" w:eastAsia="仿宋" w:cs="宋体"/>
          <w:color w:val="FF0000"/>
          <w:kern w:val="0"/>
          <w:sz w:val="32"/>
          <w:szCs w:val="32"/>
        </w:rPr>
        <w:t>详细阐述到类、款、项</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 党委办公厅（室）及相关机构事务支出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其他党委办公厅（室）及相关机构事务支出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826.56</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机关事业单位基本养老保险缴费支出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8.60</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4.30</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p>
    <w:p>
      <w:pPr>
        <w:numPr>
          <w:ilvl w:val="0"/>
          <w:numId w:val="0"/>
        </w:numPr>
        <w:spacing w:line="600" w:lineRule="exact"/>
        <w:ind w:firstLine="320" w:firstLineChars="100"/>
        <w:rPr>
          <w:rFonts w:hint="eastAsia" w:ascii="仿宋" w:hAnsi="仿宋" w:eastAsia="仿宋" w:cs="宋体"/>
          <w:color w:val="FF0000"/>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FF0000"/>
          <w:kern w:val="0"/>
          <w:sz w:val="32"/>
          <w:szCs w:val="32"/>
          <w:lang w:val="en-US" w:eastAsia="zh-CN"/>
        </w:rPr>
        <w:t>(</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1.07</w:t>
      </w:r>
      <w:r>
        <w:rPr>
          <w:rFonts w:hint="eastAsia" w:ascii="仿宋" w:hAnsi="仿宋" w:eastAsia="仿宋" w:cs="宋体"/>
          <w:color w:val="000000"/>
          <w:kern w:val="0"/>
          <w:sz w:val="32"/>
          <w:szCs w:val="32"/>
        </w:rPr>
        <w:t>万元，主要用于：</w:t>
      </w:r>
      <w:r>
        <w:rPr>
          <w:rFonts w:hint="eastAsia" w:ascii="仿宋" w:hAnsi="仿宋" w:eastAsia="仿宋" w:cs="宋体"/>
          <w:color w:val="FF0000"/>
          <w:kern w:val="0"/>
          <w:sz w:val="32"/>
          <w:szCs w:val="32"/>
          <w:lang w:eastAsia="zh-CN"/>
        </w:rPr>
        <w:t>其他社会保障和就业支出。</w:t>
      </w:r>
    </w:p>
    <w:p>
      <w:pPr>
        <w:numPr>
          <w:ilvl w:val="0"/>
          <w:numId w:val="0"/>
        </w:numPr>
        <w:spacing w:line="600" w:lineRule="exact"/>
        <w:ind w:firstLine="320" w:firstLineChars="1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w:t>
      </w:r>
      <w:r>
        <w:rPr>
          <w:rFonts w:hint="eastAsia" w:ascii="仿宋" w:hAnsi="仿宋" w:eastAsia="仿宋" w:cs="宋体"/>
          <w:color w:val="FF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事业单位医疗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3.23</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w:t>
      </w:r>
      <w:r>
        <w:rPr>
          <w:rFonts w:hint="eastAsia" w:ascii="仿宋" w:hAnsi="仿宋" w:eastAsia="仿宋" w:cs="宋体"/>
          <w:color w:val="FF0000"/>
          <w:kern w:val="0"/>
          <w:sz w:val="32"/>
          <w:szCs w:val="32"/>
          <w:lang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住房公积金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9.45</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pPr>
        <w:numPr>
          <w:ilvl w:val="0"/>
          <w:numId w:val="0"/>
        </w:numPr>
        <w:spacing w:line="600" w:lineRule="exact"/>
        <w:ind w:firstLine="320" w:firstLineChars="100"/>
        <w:rPr>
          <w:rFonts w:hint="eastAsia" w:ascii="仿宋" w:hAnsi="仿宋" w:eastAsia="仿宋" w:cs="宋体"/>
          <w:b/>
          <w:color w:val="000000"/>
          <w:kern w:val="0"/>
          <w:sz w:val="32"/>
          <w:szCs w:val="32"/>
        </w:rPr>
      </w:pP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577.82</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86.54</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491.28</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办公费、印刷费、手续费、水费、电费、邮电费、差旅费、维修（护）费、劳务费、工会经费、福利费、其他商品和服务支出。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县心连心</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ind w:firstLine="640" w:firstLineChars="200"/>
        <w:rPr>
          <w:rFonts w:hint="eastAsia"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ind w:firstLine="640" w:firstLineChars="200"/>
        <w:rPr>
          <w:rFonts w:hint="eastAsia"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社会保险基金预算支出</w:t>
      </w:r>
      <w:r>
        <w:rPr>
          <w:rFonts w:hint="eastAsia" w:ascii="仿宋" w:hAnsi="仿宋" w:eastAsia="仿宋" w:cs="宋体"/>
          <w:color w:val="FF0000"/>
          <w:kern w:val="0"/>
          <w:sz w:val="32"/>
          <w:szCs w:val="32"/>
          <w:lang w:val="en-US" w:eastAsia="zh-CN"/>
        </w:rPr>
        <w:t>0.</w:t>
      </w:r>
    </w:p>
    <w:p>
      <w:pPr>
        <w:numPr>
          <w:ilvl w:val="0"/>
          <w:numId w:val="3"/>
        </w:numPr>
        <w:ind w:firstLine="643" w:firstLineChars="200"/>
        <w:rPr>
          <w:rFonts w:hint="eastAsia" w:ascii="仿宋_GB2312" w:hAnsi="仿宋_GB2312" w:eastAsia="仿宋_GB2312" w:cs="仿宋_GB2312"/>
          <w:sz w:val="32"/>
          <w:szCs w:val="32"/>
        </w:rPr>
      </w:pPr>
      <w:r>
        <w:rPr>
          <w:rFonts w:hint="eastAsia" w:ascii="仿宋" w:hAnsi="仿宋" w:eastAsia="仿宋" w:cs="宋体"/>
          <w:b/>
          <w:color w:val="000000"/>
          <w:kern w:val="0"/>
          <w:sz w:val="32"/>
          <w:szCs w:val="32"/>
        </w:rPr>
        <w:t>“三公”经费预算安排情况说明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468.3</w:t>
      </w:r>
      <w:r>
        <w:rPr>
          <w:rFonts w:hint="eastAsia" w:ascii="仿宋" w:hAnsi="仿宋" w:eastAsia="仿宋" w:cs="宋体"/>
          <w:color w:val="000000"/>
          <w:kern w:val="0"/>
          <w:sz w:val="32"/>
          <w:szCs w:val="32"/>
        </w:rPr>
        <w:t>万元，较上年“三公”经费预算数（减少）</w:t>
      </w:r>
      <w:r>
        <w:rPr>
          <w:rFonts w:hint="eastAsia" w:ascii="仿宋" w:hAnsi="仿宋" w:eastAsia="仿宋" w:cs="宋体"/>
          <w:color w:val="FF0000"/>
          <w:kern w:val="0"/>
          <w:sz w:val="32"/>
          <w:szCs w:val="32"/>
          <w:lang w:val="en-US" w:eastAsia="zh-CN"/>
        </w:rPr>
        <w:t>5.7</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FF0000"/>
          <w:kern w:val="0"/>
          <w:sz w:val="32"/>
          <w:szCs w:val="32"/>
          <w:lang w:val="en-US" w:eastAsia="zh-CN"/>
        </w:rPr>
        <w:t>468.3</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108.3</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360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FF0000"/>
          <w:kern w:val="0"/>
          <w:sz w:val="32"/>
          <w:szCs w:val="32"/>
          <w:lang w:val="en-US" w:eastAsia="zh-CN"/>
        </w:rPr>
        <w:t>5.7</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_GB2312" w:hAnsi="仿宋_GB2312" w:eastAsia="仿宋_GB2312" w:cs="仿宋_GB2312"/>
          <w:sz w:val="32"/>
          <w:szCs w:val="32"/>
        </w:rPr>
        <w:t>全县党委、政府重要公务接待服务，办理县委县政府主要领导带队外出考察、学习等活动的前期对外联络、安排及随行服务</w:t>
      </w:r>
    </w:p>
    <w:p>
      <w:pPr>
        <w:numPr>
          <w:ilvl w:val="0"/>
          <w:numId w:val="4"/>
        </w:numPr>
        <w:ind w:left="640" w:leftChars="0" w:firstLine="0" w:firstLineChars="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公务用车购置及运行维护费较上年预算减少</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numPr>
          <w:ilvl w:val="0"/>
          <w:numId w:val="0"/>
        </w:numPr>
        <w:ind w:left="640" w:leftChars="0"/>
        <w:rPr>
          <w:rFonts w:ascii="仿宋" w:hAnsi="仿宋" w:eastAsia="仿宋"/>
          <w:sz w:val="32"/>
          <w:szCs w:val="32"/>
        </w:rPr>
      </w:pPr>
      <w:r>
        <w:rPr>
          <w:rFonts w:hint="eastAsia" w:ascii="仿宋" w:hAnsi="仿宋" w:eastAsia="仿宋" w:cs="宋体"/>
          <w:color w:val="000000"/>
          <w:kern w:val="0"/>
          <w:sz w:val="32"/>
          <w:szCs w:val="32"/>
        </w:rPr>
        <w:t>　　单位现有公务用车</w:t>
      </w:r>
      <w:r>
        <w:rPr>
          <w:rFonts w:hint="eastAsia" w:ascii="仿宋" w:hAnsi="仿宋" w:eastAsia="仿宋" w:cs="宋体"/>
          <w:color w:val="FF0000"/>
          <w:kern w:val="0"/>
          <w:sz w:val="32"/>
          <w:szCs w:val="32"/>
          <w:lang w:val="en-US" w:eastAsia="zh-CN"/>
        </w:rPr>
        <w:t>72</w:t>
      </w:r>
      <w:r>
        <w:rPr>
          <w:rFonts w:hint="eastAsia" w:ascii="仿宋" w:hAnsi="仿宋" w:eastAsia="仿宋" w:cs="宋体"/>
          <w:color w:val="000000"/>
          <w:kern w:val="0"/>
          <w:sz w:val="32"/>
          <w:szCs w:val="32"/>
        </w:rPr>
        <w:t>辆</w:t>
      </w:r>
      <w:r>
        <w:rPr>
          <w:rFonts w:hint="eastAsia" w:ascii="仿宋" w:hAnsi="仿宋" w:eastAsia="仿宋" w:cs="宋体"/>
          <w:color w:val="000000"/>
          <w:kern w:val="0"/>
          <w:sz w:val="32"/>
          <w:szCs w:val="32"/>
          <w:lang w:val="en-US" w:eastAsia="zh-CN"/>
        </w:rPr>
        <w:t>(车辆编制在政府办）</w:t>
      </w:r>
      <w:r>
        <w:rPr>
          <w:rFonts w:hint="eastAsia" w:ascii="仿宋" w:hAnsi="仿宋" w:eastAsia="仿宋" w:cs="宋体"/>
          <w:color w:val="000000"/>
          <w:kern w:val="0"/>
          <w:sz w:val="32"/>
          <w:szCs w:val="32"/>
        </w:rPr>
        <w:t>，其中：轿车</w:t>
      </w:r>
      <w:r>
        <w:rPr>
          <w:rFonts w:hint="eastAsia" w:ascii="仿宋" w:hAnsi="仿宋" w:eastAsia="仿宋" w:cs="宋体"/>
          <w:color w:val="FF0000"/>
          <w:kern w:val="0"/>
          <w:sz w:val="32"/>
          <w:szCs w:val="32"/>
          <w:lang w:val="en-US" w:eastAsia="zh-CN"/>
        </w:rPr>
        <w:t>40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28</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4</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FF0000"/>
          <w:kern w:val="0"/>
          <w:sz w:val="32"/>
          <w:szCs w:val="32"/>
          <w:lang w:val="en-US" w:eastAsia="zh-CN"/>
        </w:rPr>
        <w:t>360</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FF0000"/>
          <w:sz w:val="32"/>
          <w:szCs w:val="32"/>
          <w:lang w:eastAsia="zh-CN"/>
        </w:rPr>
        <w:t>县心连心</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491.28</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安排政府采购预算</w:t>
      </w:r>
      <w:r>
        <w:rPr>
          <w:rFonts w:hint="eastAsia" w:ascii="仿宋" w:hAnsi="仿宋" w:eastAsia="仿宋" w:cs="宋体"/>
          <w:color w:val="FF0000"/>
          <w:kern w:val="0"/>
          <w:sz w:val="32"/>
          <w:szCs w:val="32"/>
          <w:lang w:val="en-US" w:eastAsia="zh-CN"/>
        </w:rPr>
        <w:t>56</w:t>
      </w:r>
      <w:r>
        <w:rPr>
          <w:rFonts w:hint="eastAsia" w:ascii="仿宋" w:hAnsi="仿宋" w:eastAsia="仿宋" w:cs="宋体"/>
          <w:color w:val="000000"/>
          <w:kern w:val="0"/>
          <w:sz w:val="32"/>
          <w:szCs w:val="32"/>
        </w:rPr>
        <w:t>万元，较上年预算</w:t>
      </w:r>
      <w:r>
        <w:rPr>
          <w:rFonts w:hint="eastAsia" w:ascii="仿宋" w:hAnsi="仿宋" w:eastAsia="仿宋" w:cs="宋体"/>
          <w:color w:val="FF0000"/>
          <w:kern w:val="0"/>
          <w:sz w:val="32"/>
          <w:szCs w:val="32"/>
        </w:rPr>
        <w:t>增加（减少）</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万元，主要用于</w:t>
      </w:r>
      <w:r>
        <w:rPr>
          <w:rFonts w:hint="eastAsia" w:ascii="仿宋" w:hAnsi="仿宋" w:eastAsia="仿宋" w:cs="宋体"/>
          <w:color w:val="FF0000"/>
          <w:kern w:val="0"/>
          <w:sz w:val="32"/>
          <w:szCs w:val="32"/>
          <w:lang w:eastAsia="zh-CN"/>
        </w:rPr>
        <w:t>心连心服务热线劳务派遣</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县心连心</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853.22</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FF0000"/>
          <w:kern w:val="0"/>
          <w:sz w:val="32"/>
          <w:szCs w:val="32"/>
          <w:lang w:val="en-US" w:eastAsia="zh-CN"/>
        </w:rPr>
        <w:t>275.4</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元，主要是</w:t>
      </w:r>
      <w:r>
        <w:rPr>
          <w:rFonts w:hint="eastAsia" w:ascii="仿宋" w:hAnsi="仿宋" w:eastAsia="仿宋" w:cs="宋体"/>
          <w:color w:val="FF0000"/>
          <w:kern w:val="0"/>
          <w:sz w:val="32"/>
          <w:szCs w:val="32"/>
          <w:lang w:eastAsia="zh-CN"/>
        </w:rPr>
        <w:t>热线平台运行维护</w:t>
      </w:r>
      <w:r>
        <w:rPr>
          <w:rFonts w:hint="eastAsia" w:ascii="仿宋" w:hAnsi="仿宋" w:eastAsia="仿宋" w:cs="宋体"/>
          <w:color w:val="000000"/>
          <w:kern w:val="0"/>
          <w:sz w:val="32"/>
          <w:szCs w:val="32"/>
        </w:rPr>
        <w:t>项目等。</w:t>
      </w:r>
      <w:r>
        <w:rPr>
          <w:rFonts w:ascii="仿宋" w:hAnsi="宋体" w:eastAsia="仿宋" w:cs="宋体"/>
          <w:color w:val="000000"/>
          <w:kern w:val="0"/>
          <w:sz w:val="32"/>
          <w:szCs w:val="32"/>
        </w:rPr>
        <w:t> </w:t>
      </w:r>
    </w:p>
    <w:p>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pPr>
        <w:pStyle w:val="6"/>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20.49</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w:t>
      </w:r>
      <w:r>
        <w:rPr>
          <w:rFonts w:hint="eastAsia" w:ascii="仿宋" w:hAnsi="仿宋" w:eastAsia="仿宋" w:cs="宋体"/>
          <w:color w:val="000000"/>
          <w:kern w:val="0"/>
          <w:lang w:eastAsia="zh-CN"/>
        </w:rPr>
        <w:t>（车辆资产在政府办）</w:t>
      </w:r>
      <w:r>
        <w:rPr>
          <w:rFonts w:hint="eastAsia" w:ascii="仿宋" w:hAnsi="仿宋" w:eastAsia="仿宋" w:cs="宋体"/>
          <w:color w:val="000000"/>
          <w:kern w:val="0"/>
        </w:rPr>
        <w:t>，单位价值200万元以上大型设备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pPr>
        <w:pStyle w:val="6"/>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万元。（或者2021年部门预算</w:t>
      </w:r>
      <w:r>
        <w:rPr>
          <w:rFonts w:hint="eastAsia" w:ascii="仿宋" w:hAnsi="仿宋" w:eastAsia="仿宋" w:cs="宋体"/>
          <w:color w:val="FF0000"/>
          <w:kern w:val="0"/>
        </w:rPr>
        <w:t>未</w:t>
      </w:r>
      <w:r>
        <w:rPr>
          <w:rFonts w:hint="eastAsia" w:ascii="仿宋" w:hAnsi="仿宋" w:eastAsia="仿宋" w:cs="宋体"/>
          <w:color w:val="000000"/>
          <w:kern w:val="0"/>
        </w:rPr>
        <w:t>安排购置车辆及单位价值200万元以上大型设备。）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5"/>
        </w:numPr>
        <w:shd w:val="clear" w:color="auto" w:fill="FFFFFF"/>
        <w:ind w:left="960" w:leftChars="0"/>
        <w:jc w:val="left"/>
        <w:rPr>
          <w:rFonts w:hint="eastAsia"/>
          <w:b/>
          <w:bCs/>
          <w:sz w:val="52"/>
          <w:szCs w:val="52"/>
          <w:lang w:val="en-US" w:eastAsia="zh-CN"/>
        </w:rPr>
      </w:pPr>
      <w:r>
        <w:rPr>
          <w:rFonts w:hint="eastAsia"/>
          <w:b/>
          <w:bCs/>
          <w:sz w:val="52"/>
          <w:szCs w:val="52"/>
          <w:lang w:val="en-US" w:eastAsia="zh-CN"/>
        </w:rPr>
        <w:t>峨边彝族自治县心连心服务中心</w:t>
      </w:r>
    </w:p>
    <w:p>
      <w:pPr>
        <w:widowControl/>
        <w:numPr>
          <w:ilvl w:val="0"/>
          <w:numId w:val="0"/>
        </w:numPr>
        <w:shd w:val="clear" w:color="auto" w:fill="FFFFFF"/>
        <w:ind w:firstLine="1566" w:firstLineChars="300"/>
        <w:jc w:val="left"/>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仿宋"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p>
      <w:pPr>
        <w:jc w:val="cente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abstractNum w:abstractNumId="2">
    <w:nsid w:val="57C39044"/>
    <w:multiLevelType w:val="singleLevel"/>
    <w:tmpl w:val="57C39044"/>
    <w:lvl w:ilvl="0" w:tentative="0">
      <w:start w:val="3"/>
      <w:numFmt w:val="decimal"/>
      <w:lvlText w:val="%1."/>
      <w:lvlJc w:val="left"/>
      <w:pPr>
        <w:tabs>
          <w:tab w:val="left" w:pos="312"/>
        </w:tabs>
        <w:ind w:left="640" w:leftChars="0" w:firstLine="0" w:firstLineChars="0"/>
      </w:pPr>
    </w:lvl>
  </w:abstractNum>
  <w:abstractNum w:abstractNumId="3">
    <w:nsid w:val="7619E7F9"/>
    <w:multiLevelType w:val="singleLevel"/>
    <w:tmpl w:val="7619E7F9"/>
    <w:lvl w:ilvl="0" w:tentative="0">
      <w:start w:val="3"/>
      <w:numFmt w:val="chineseCounting"/>
      <w:suff w:val="nothing"/>
      <w:lvlText w:val="%1、"/>
      <w:lvlJc w:val="left"/>
      <w:rPr>
        <w:rFonts w:hint="eastAsia"/>
      </w:rPr>
    </w:lvl>
  </w:abstractNum>
  <w:abstractNum w:abstractNumId="4">
    <w:nsid w:val="7F07C8FE"/>
    <w:multiLevelType w:val="singleLevel"/>
    <w:tmpl w:val="7F07C8FE"/>
    <w:lvl w:ilvl="0" w:tentative="0">
      <w:start w:val="9"/>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25065E30"/>
    <w:rsid w:val="00D713A9"/>
    <w:rsid w:val="045F27F3"/>
    <w:rsid w:val="062C7CB5"/>
    <w:rsid w:val="067A781A"/>
    <w:rsid w:val="0D5A37D8"/>
    <w:rsid w:val="0DA31570"/>
    <w:rsid w:val="111A30D0"/>
    <w:rsid w:val="13E310B9"/>
    <w:rsid w:val="16513BB1"/>
    <w:rsid w:val="1A736C7D"/>
    <w:rsid w:val="1B0E402F"/>
    <w:rsid w:val="1B4130B6"/>
    <w:rsid w:val="1C6E7D80"/>
    <w:rsid w:val="1E287841"/>
    <w:rsid w:val="1FD50E97"/>
    <w:rsid w:val="22901495"/>
    <w:rsid w:val="25065E30"/>
    <w:rsid w:val="2DE40512"/>
    <w:rsid w:val="39C61BF7"/>
    <w:rsid w:val="3A920690"/>
    <w:rsid w:val="3DBC7B85"/>
    <w:rsid w:val="413A28D5"/>
    <w:rsid w:val="41A418C7"/>
    <w:rsid w:val="43B42CA0"/>
    <w:rsid w:val="46240C00"/>
    <w:rsid w:val="47793608"/>
    <w:rsid w:val="47DA1917"/>
    <w:rsid w:val="4BAF47C1"/>
    <w:rsid w:val="4CEA489F"/>
    <w:rsid w:val="4DBC5A5B"/>
    <w:rsid w:val="5A2438CA"/>
    <w:rsid w:val="5A9539A7"/>
    <w:rsid w:val="5FF92AA1"/>
    <w:rsid w:val="60B1006E"/>
    <w:rsid w:val="627E0125"/>
    <w:rsid w:val="65C96EF8"/>
    <w:rsid w:val="79F711E3"/>
    <w:rsid w:val="7D0645C3"/>
    <w:rsid w:val="7DB73672"/>
    <w:rsid w:val="7EF46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customStyle="1" w:styleId="5">
    <w:name w:val="bjh-p"/>
    <w:basedOn w:val="4"/>
    <w:qFormat/>
    <w:uiPriority w:val="0"/>
    <w:rPr>
      <w:rFonts w:hint="default" w:ascii="Times New Roman" w:hAnsi="Times New Roman" w:eastAsia="宋体" w:cs="Times New Roman"/>
    </w:rPr>
  </w:style>
  <w:style w:type="paragraph" w:customStyle="1" w:styleId="6">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8.emf"/><Relationship Id="rId20" Type="http://schemas.openxmlformats.org/officeDocument/2006/relationships/image" Target="media/image17.emf"/><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5857</Words>
  <Characters>6246</Characters>
  <Lines>0</Lines>
  <Paragraphs>0</Paragraphs>
  <TotalTime>9</TotalTime>
  <ScaleCrop>false</ScaleCrop>
  <LinksUpToDate>false</LinksUpToDate>
  <CharactersWithSpaces>6455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2022-04-25T09:02:00Z</dcterms:created>
  <dc:creator>Administrator</dc:creator>
  <cp:lastModifiedBy>Administrator</cp:lastModifiedBy>
  <cp:lastPrinted>2022-04-27T09:16:00Z</cp:lastPrinted>
  <dcterms:modified xsi:type="dcterms:W3CDTF">2022-11-02T06:51:06Z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92BD25BD72E14F24BD314842FDC8FCBC</vt:lpwstr>
  </property>
</Properties>
</file>