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峨边彝族自治县新林镇中心卫生院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峨边彝族自治县新林镇中心卫生院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峨边彝族自治县新林镇中心卫生院单位概况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17"/>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17"/>
          <w:sz w:val="32"/>
          <w:szCs w:val="32"/>
          <w:lang w:val="en-US" w:eastAsia="zh-CN"/>
        </w:rPr>
        <w:t>峨边彝族自治县新林镇中心卫生院2026年单位预算表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峨边彝族自治县新林镇中心卫生院2026年单位预算情况说明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峨边彝族自治县新林镇中心卫生院单位概况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是农村公共卫生工作的枢纽，在农村承担政府的卫生行政职能，是农村疾病控制的中心，是农村初级卫生保健的核心，是农村社区卫生服务的指导中心。具有“组织药品市场监管”</w:t>
      </w:r>
      <w:r>
        <w:rPr>
          <w:rFonts w:hint="eastAsia" w:ascii="仿宋_GB2312" w:hAnsi="仿宋_GB2312" w:eastAsia="仿宋_GB2312" w:cs="仿宋_GB2312"/>
          <w:color w:val="auto"/>
          <w:sz w:val="32"/>
          <w:szCs w:val="32"/>
          <w:lang w:eastAsia="zh-CN"/>
        </w:rPr>
        <w:t>的职能，以</w:t>
      </w:r>
      <w:r>
        <w:rPr>
          <w:rFonts w:hint="eastAsia" w:ascii="仿宋_GB2312" w:hAnsi="仿宋_GB2312" w:eastAsia="仿宋_GB2312" w:cs="仿宋_GB2312"/>
          <w:color w:val="auto"/>
          <w:sz w:val="32"/>
          <w:szCs w:val="32"/>
        </w:rPr>
        <w:t>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459D6CD0">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5BC9EFC3">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多措并举，夯实人才基础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积极向县卫健局争取，力争补充调配2-3名临床医生，缓解人员紧缺压力。建立院内常态化培训与外出进修机制，每年选派业务骨干参加上级医院研修、学术交流，以点带面提升整体技术水平。</w:t>
      </w:r>
    </w:p>
    <w:p w14:paraId="1DDEFCA5">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更新提质，改善硬件条件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对全院医疗设备进行全面评估，对老化、性能不达标的设备及时进行维修或更新。建立健全设备定期维护保养制度，确保设备处于良好状态，保障临床诊疗需求。</w:t>
      </w:r>
    </w:p>
    <w:p w14:paraId="15400411">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整合联动，优化服务网络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镇村一体化管理，定期组织村医业务培训与技能考核。安排本院医生每月至少2次到村卫生室坐诊指导，提升基层服务能力。深化家庭医生签约服务内涵，推行“签约+个性化健康管理”模式，针对不同人群设计服务套餐。重点加强慢性病患者规范管理，实现健康档案动态更新与全程跟踪。</w:t>
      </w:r>
    </w:p>
    <w:p w14:paraId="6EF75701">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拓宽渠道，加强宣传引导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创新宣传形式，综合利用线上平台、宣传栏、健康讲座等多种载体，广泛传播健康知识、服务信息与惠民政策。持续开展“健康服务进乡村”活动，每年组织健康科普讲座等活动不少于12场，提高辖区居民健康素养与对卫生院的认同感。</w:t>
      </w:r>
    </w:p>
    <w:p w14:paraId="7DDB17E5">
      <w:pPr>
        <w:bidi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聚焦重点，确保任务落实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持续提升公共卫生服务质效，确保老年人、儿童、孕产妇等重点人群规范管理率稳定在90%以上，维持高水平疫苗接种率</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8C53170">
      <w:pPr>
        <w:bidi w:val="0"/>
        <w:rPr>
          <w:rFonts w:hint="eastAsia" w:ascii="仿宋" w:hAnsi="仿宋" w:eastAsia="仿宋"/>
          <w:sz w:val="32"/>
          <w:szCs w:val="32"/>
        </w:rPr>
      </w:pPr>
      <w:r>
        <w:rPr>
          <w:rFonts w:hint="eastAsia" w:ascii="仿宋" w:hAnsi="仿宋" w:eastAsia="仿宋"/>
          <w:sz w:val="32"/>
          <w:szCs w:val="32"/>
        </w:rPr>
        <w:t>峨边彝族自治县新林镇中心卫生院预算单位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4B60B764">
      <w:pPr>
        <w:bidi w:val="0"/>
        <w:rPr>
          <w:rFonts w:hint="eastAsia" w:ascii="仿宋" w:hAnsi="仿宋" w:eastAsia="仿宋"/>
          <w:sz w:val="32"/>
          <w:szCs w:val="32"/>
        </w:rPr>
      </w:pPr>
      <w:r>
        <w:rPr>
          <w:rFonts w:hint="eastAsia" w:ascii="仿宋" w:hAnsi="仿宋" w:eastAsia="仿宋"/>
          <w:sz w:val="32"/>
          <w:szCs w:val="32"/>
        </w:rPr>
        <w:t>峨边彝族自治县新林镇中心卫生院总编制</w:t>
      </w:r>
      <w:r>
        <w:rPr>
          <w:rFonts w:hint="eastAsia" w:ascii="仿宋" w:hAnsi="仿宋"/>
          <w:sz w:val="32"/>
          <w:szCs w:val="32"/>
          <w:lang w:val="en-US" w:eastAsia="zh-CN"/>
        </w:rPr>
        <w:t>19</w:t>
      </w:r>
      <w:r>
        <w:rPr>
          <w:rFonts w:hint="eastAsia" w:ascii="仿宋" w:hAnsi="仿宋" w:eastAsia="仿宋"/>
          <w:sz w:val="32"/>
          <w:szCs w:val="32"/>
        </w:rPr>
        <w:t>名，其中：事业编制</w:t>
      </w:r>
      <w:r>
        <w:rPr>
          <w:rFonts w:hint="eastAsia" w:ascii="仿宋" w:hAnsi="仿宋"/>
          <w:sz w:val="32"/>
          <w:szCs w:val="32"/>
          <w:lang w:val="en-US" w:eastAsia="zh-CN"/>
        </w:rPr>
        <w:t>19</w:t>
      </w:r>
      <w:r>
        <w:rPr>
          <w:rFonts w:hint="eastAsia" w:ascii="仿宋" w:hAnsi="仿宋" w:eastAsia="仿宋"/>
          <w:sz w:val="32"/>
          <w:szCs w:val="32"/>
        </w:rPr>
        <w:t>名。在职人员总数</w:t>
      </w:r>
      <w:r>
        <w:rPr>
          <w:rFonts w:hint="eastAsia" w:ascii="仿宋" w:hAnsi="仿宋"/>
          <w:sz w:val="32"/>
          <w:szCs w:val="32"/>
          <w:lang w:val="en-US" w:eastAsia="zh-CN"/>
        </w:rPr>
        <w:t>20</w:t>
      </w:r>
      <w:r>
        <w:rPr>
          <w:rFonts w:hint="eastAsia" w:ascii="仿宋" w:hAnsi="仿宋" w:eastAsia="仿宋"/>
          <w:sz w:val="32"/>
          <w:szCs w:val="32"/>
        </w:rPr>
        <w:t>名，其中：事业</w:t>
      </w:r>
      <w:r>
        <w:rPr>
          <w:rFonts w:hint="eastAsia" w:ascii="仿宋" w:hAnsi="仿宋"/>
          <w:sz w:val="32"/>
          <w:szCs w:val="32"/>
          <w:lang w:val="en-US" w:eastAsia="zh-CN"/>
        </w:rPr>
        <w:t>20</w:t>
      </w:r>
      <w:r>
        <w:rPr>
          <w:rFonts w:hint="eastAsia" w:ascii="仿宋" w:hAnsi="仿宋" w:eastAsia="仿宋"/>
          <w:sz w:val="32"/>
          <w:szCs w:val="32"/>
        </w:rPr>
        <w:t>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0C20D8FF">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峨边彝族自治县新林镇中心卫生院</w:t>
      </w: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详见附件2：峨边彝族自治县新林镇中心卫生院预算公开报表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D694119">
      <w:pPr>
        <w:spacing w:line="600" w:lineRule="exact"/>
        <w:ind w:left="0" w:leftChars="0" w:firstLine="0" w:firstLineChars="0"/>
        <w:rPr>
          <w:rFonts w:hint="eastAsia" w:ascii="仿宋_GB2312" w:hAnsi="仿宋_GB2312" w:eastAsia="仿宋_GB2312" w:cs="仿宋_GB2312"/>
          <w:sz w:val="32"/>
          <w:szCs w:val="32"/>
          <w:lang w:val="en-US" w:eastAsia="zh-CN"/>
        </w:rPr>
      </w:pPr>
    </w:p>
    <w:p w14:paraId="6F0B6C85">
      <w:pPr>
        <w:spacing w:line="600" w:lineRule="exact"/>
        <w:ind w:left="0" w:leftChars="0" w:firstLine="0" w:firstLineChars="0"/>
        <w:rPr>
          <w:rFonts w:hint="eastAsia" w:ascii="仿宋_GB2312" w:hAnsi="仿宋_GB2312" w:eastAsia="仿宋_GB2312" w:cs="仿宋_GB2312"/>
          <w:sz w:val="32"/>
          <w:szCs w:val="32"/>
          <w:lang w:val="en-US" w:eastAsia="zh-CN"/>
        </w:rPr>
      </w:pPr>
    </w:p>
    <w:p w14:paraId="17F2003E">
      <w:pPr>
        <w:spacing w:line="600" w:lineRule="exact"/>
        <w:ind w:left="0" w:leftChars="0" w:firstLine="0" w:firstLineChars="0"/>
        <w:rPr>
          <w:rFonts w:hint="eastAsia" w:ascii="仿宋_GB2312" w:hAnsi="仿宋_GB2312" w:eastAsia="仿宋_GB2312" w:cs="仿宋_GB2312"/>
          <w:sz w:val="32"/>
          <w:szCs w:val="32"/>
          <w:lang w:val="en-US" w:eastAsia="zh-CN"/>
        </w:rPr>
      </w:pP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0075" cy="2179955"/>
            <wp:effectExtent l="0" t="0" r="15875" b="1079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0075" cy="2179955"/>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641850"/>
            <wp:effectExtent l="0" t="0" r="7620" b="635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641850"/>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十一、政府性基金预算“三公”经费支出预算表（公开表 4-1）</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046480"/>
            <wp:effectExtent l="0" t="0" r="5080" b="12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046480"/>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4998085"/>
            <wp:effectExtent l="0" t="0" r="5715" b="1206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90235" cy="4998085"/>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313AEA29">
      <w:pPr>
        <w:numPr>
          <w:ilvl w:val="0"/>
          <w:numId w:val="0"/>
        </w:numPr>
        <w:ind w:leftChars="0"/>
        <w:jc w:val="both"/>
        <w:rPr>
          <w:rFonts w:hint="eastAsia"/>
          <w:b/>
          <w:bCs/>
          <w:sz w:val="52"/>
          <w:szCs w:val="52"/>
          <w:lang w:val="en-US" w:eastAsia="zh-CN"/>
        </w:rPr>
      </w:pPr>
    </w:p>
    <w:p w14:paraId="467E887B">
      <w:pPr>
        <w:numPr>
          <w:ilvl w:val="0"/>
          <w:numId w:val="0"/>
        </w:numPr>
        <w:ind w:leftChars="0"/>
        <w:jc w:val="both"/>
        <w:rPr>
          <w:rFonts w:hint="eastAsia"/>
          <w:b/>
          <w:bCs/>
          <w:sz w:val="52"/>
          <w:szCs w:val="52"/>
          <w:lang w:val="en-US" w:eastAsia="zh-CN"/>
        </w:rPr>
      </w:pPr>
    </w:p>
    <w:p w14:paraId="13B1DC21">
      <w:pPr>
        <w:numPr>
          <w:ilvl w:val="0"/>
          <w:numId w:val="0"/>
        </w:numPr>
        <w:ind w:leftChars="0"/>
        <w:jc w:val="both"/>
        <w:rPr>
          <w:rFonts w:hint="eastAsia"/>
          <w:b/>
          <w:bCs/>
          <w:sz w:val="52"/>
          <w:szCs w:val="52"/>
          <w:lang w:val="en-US" w:eastAsia="zh-CN"/>
        </w:rPr>
      </w:pPr>
    </w:p>
    <w:p w14:paraId="13420042">
      <w:pPr>
        <w:numPr>
          <w:ilvl w:val="0"/>
          <w:numId w:val="0"/>
        </w:numPr>
        <w:ind w:leftChars="0"/>
        <w:jc w:val="both"/>
        <w:rPr>
          <w:rFonts w:hint="eastAsia"/>
          <w:b/>
          <w:bCs/>
          <w:sz w:val="52"/>
          <w:szCs w:val="52"/>
          <w:lang w:val="en-US" w:eastAsia="zh-CN"/>
        </w:rPr>
      </w:pPr>
    </w:p>
    <w:p w14:paraId="42142D33">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峨边彝族自治县新林镇中心卫生院</w:t>
      </w: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346AFDE5">
      <w:pPr>
        <w:numPr>
          <w:ilvl w:val="0"/>
          <w:numId w:val="0"/>
        </w:numPr>
        <w:jc w:val="both"/>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1E5359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按照综合预算的原则，峨边彝族自治县新林镇中心卫生院所有收入和支出均纳入部门预算管理。收入包括：一般公共预算拨款收入；支出包括：社会保障和就业支出、卫生健康支出、住房保障支出。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峨边彝族自治县新林镇中心卫生院2026年收支总预算257.05万元，比2025年收支预算总数减少0.95万元，主要原因是2026年人员经费减少</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峨边彝族自治县新林镇中心卫生院2026年收入预算257.05万元，其中：上年结转0万元，占0.00%；一般公共预算拨款收入257.05万元，占100.00%；政府性基金预算拨款收入0万元，占0.00%；事业收入0万元，占0.00%</w:t>
      </w:r>
      <w:r>
        <w:rPr>
          <w:rFonts w:hint="eastAsia" w:ascii="Times New Roman" w:hAnsi="Times New Roman" w:eastAsia="仿宋_GB2312" w:cs="仿宋_GB2312"/>
          <w:kern w:val="0"/>
          <w:sz w:val="32"/>
          <w:szCs w:val="32"/>
        </w:rPr>
        <w:t>。</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w:t>
      </w:r>
      <w:r>
        <w:rPr>
          <w:rFonts w:hint="eastAsia" w:ascii="Times New Roman" w:hAnsi="Times New Roman" w:eastAsia="楷体_GB2312" w:cs="Times New Roman"/>
          <w:b w:val="0"/>
          <w:bCs/>
          <w:sz w:val="32"/>
          <w:szCs w:val="32"/>
          <w:lang w:eastAsia="zh-CN"/>
        </w:rPr>
        <w:t>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2026年支出预算257.05万元，其中：基本支出257.05万元，占100.00%；项目支出0万元，占0.00%</w:t>
      </w:r>
      <w:r>
        <w:rPr>
          <w:rFonts w:hint="eastAsia" w:ascii="Times New Roman" w:hAnsi="Times New Roman" w:eastAsia="仿宋_GB2312" w:cs="仿宋_GB2312"/>
          <w:kern w:val="0"/>
          <w:sz w:val="32"/>
          <w:szCs w:val="32"/>
        </w:rPr>
        <w:t>。</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CF45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峨边彝族自治县新林镇中心卫生院2026年财政拨款收支预算总数257.05万元，比2025年财政拨款收支预算总数258万元减少0.9</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eastAsia="zh-CN"/>
        </w:rPr>
        <w:t>万元，主要原因是</w:t>
      </w:r>
      <w:r>
        <w:rPr>
          <w:rFonts w:hint="eastAsia" w:ascii="Times New Roman" w:hAnsi="Times New Roman" w:eastAsia="仿宋_GB2312" w:cs="仿宋_GB2312"/>
          <w:kern w:val="0"/>
          <w:sz w:val="32"/>
          <w:szCs w:val="32"/>
          <w:lang w:val="en-US" w:eastAsia="zh-CN"/>
        </w:rPr>
        <w:t>2026年人员经费减少</w:t>
      </w:r>
      <w:r>
        <w:rPr>
          <w:rFonts w:hint="eastAsia" w:ascii="Times New Roman" w:hAnsi="Times New Roman" w:eastAsia="仿宋_GB2312" w:cs="仿宋_GB2312"/>
          <w:kern w:val="0"/>
          <w:sz w:val="32"/>
          <w:szCs w:val="32"/>
          <w:lang w:eastAsia="zh-CN"/>
        </w:rPr>
        <w:t>。</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收入包括：本年一般公共预算拨款收入257.05万元、本年政府性基金预算拨款收入0万元；支出包括：社会保障和就业支出44.2万元、卫生健康支出191.1万元，住房保障支出21.74万元。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峨边彝族自治县新林镇中心卫生院2026年一般公共预算当年拨款257.05万元，较上年预算数减少0.9</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w:t>
      </w:r>
      <w:bookmarkStart w:id="0" w:name="_GoBack"/>
      <w:bookmarkEnd w:id="0"/>
      <w:r>
        <w:rPr>
          <w:rFonts w:hint="eastAsia" w:ascii="Times New Roman" w:hAnsi="Times New Roman" w:eastAsia="仿宋_GB2312" w:cs="仿宋_GB2312"/>
          <w:color w:val="000000"/>
          <w:kern w:val="0"/>
          <w:sz w:val="32"/>
          <w:szCs w:val="32"/>
          <w:lang w:val="en-US" w:eastAsia="zh-CN"/>
        </w:rPr>
        <w:t>2026年人员经费减少</w:t>
      </w:r>
      <w:r>
        <w:rPr>
          <w:rFonts w:hint="eastAsia" w:ascii="Times New Roman" w:hAnsi="Times New Roman" w:eastAsia="仿宋_GB2312" w:cs="仿宋_GB2312"/>
          <w:color w:val="000000"/>
          <w:kern w:val="0"/>
          <w:sz w:val="32"/>
          <w:szCs w:val="32"/>
          <w:lang w:eastAsia="zh-CN"/>
        </w:rPr>
        <w:t>。</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社会保障和就业支出44.2万元，占17.20%；卫生健康支出191.1万元，占74.34%；住房保障支出21.74万元，占8.46%。</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w:t>
      </w:r>
      <w:r>
        <w:rPr>
          <w:rFonts w:hint="eastAsia" w:ascii="Times New Roman" w:hAnsi="Times New Roman" w:eastAsia="楷体_GB2312" w:cs="Times New Roman"/>
          <w:b w:val="0"/>
          <w:bCs/>
          <w:sz w:val="32"/>
          <w:szCs w:val="32"/>
          <w:lang w:eastAsia="zh-CN"/>
        </w:rPr>
        <w:t>情况。</w:t>
      </w:r>
    </w:p>
    <w:p w14:paraId="7942DA8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年预算数为2</w:t>
      </w:r>
      <w:r>
        <w:rPr>
          <w:rFonts w:hint="eastAsia" w:ascii="Times New Roman" w:hAnsi="Times New Roman" w:eastAsia="仿宋_GB2312" w:cs="仿宋_GB2312"/>
          <w:color w:val="000000"/>
          <w:kern w:val="0"/>
          <w:sz w:val="32"/>
          <w:szCs w:val="32"/>
          <w:lang w:val="en-US" w:eastAsia="zh-CN"/>
        </w:rPr>
        <w:t>7.84</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3A07374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13.92万元</w:t>
      </w:r>
      <w:r>
        <w:rPr>
          <w:rFonts w:hint="eastAsia" w:ascii="Times New Roman" w:hAnsi="Times New Roman" w:eastAsia="仿宋_GB2312" w:cs="仿宋_GB2312"/>
          <w:color w:val="000000"/>
          <w:kern w:val="0"/>
          <w:sz w:val="32"/>
          <w:szCs w:val="32"/>
        </w:rPr>
        <w:t>，主要用于实施养老保险制度后，部门按规定由单位缴纳的职业年金支出。 </w:t>
      </w:r>
    </w:p>
    <w:p w14:paraId="11F581C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年预算数为2.</w:t>
      </w:r>
      <w:r>
        <w:rPr>
          <w:rFonts w:hint="eastAsia" w:ascii="Times New Roman" w:hAnsi="Times New Roman" w:eastAsia="仿宋_GB2312" w:cs="仿宋_GB2312"/>
          <w:color w:val="000000"/>
          <w:kern w:val="0"/>
          <w:sz w:val="32"/>
          <w:szCs w:val="32"/>
          <w:lang w:val="en-US" w:eastAsia="zh-CN"/>
        </w:rPr>
        <w:t>44</w:t>
      </w:r>
      <w:r>
        <w:rPr>
          <w:rFonts w:hint="eastAsia" w:ascii="Times New Roman" w:hAnsi="Times New Roman" w:eastAsia="仿宋_GB2312" w:cs="仿宋_GB2312"/>
          <w:color w:val="000000"/>
          <w:kern w:val="0"/>
          <w:sz w:val="32"/>
          <w:szCs w:val="32"/>
        </w:rPr>
        <w:t>万元，主要用于其他社会保障和就业方面的支出。</w:t>
      </w:r>
    </w:p>
    <w:p w14:paraId="53A53F6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年预算数为18</w:t>
      </w:r>
      <w:r>
        <w:rPr>
          <w:rFonts w:hint="eastAsia" w:ascii="Times New Roman" w:hAnsi="Times New Roman" w:eastAsia="仿宋_GB2312" w:cs="仿宋_GB2312"/>
          <w:color w:val="000000"/>
          <w:kern w:val="0"/>
          <w:sz w:val="32"/>
          <w:szCs w:val="32"/>
          <w:lang w:val="en-US" w:eastAsia="zh-CN"/>
        </w:rPr>
        <w:t>0.18</w:t>
      </w:r>
      <w:r>
        <w:rPr>
          <w:rFonts w:hint="eastAsia" w:ascii="Times New Roman" w:hAnsi="Times New Roman" w:eastAsia="仿宋_GB2312" w:cs="仿宋_GB2312"/>
          <w:color w:val="000000"/>
          <w:kern w:val="0"/>
          <w:sz w:val="32"/>
          <w:szCs w:val="32"/>
        </w:rPr>
        <w:t>万元，主要用于乡镇卫生院的支出。</w:t>
      </w:r>
    </w:p>
    <w:p w14:paraId="2DB9C57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年预算数为10.</w:t>
      </w:r>
      <w:r>
        <w:rPr>
          <w:rFonts w:hint="eastAsia" w:ascii="Times New Roman" w:hAnsi="Times New Roman" w:eastAsia="仿宋_GB2312" w:cs="仿宋_GB2312"/>
          <w:color w:val="000000"/>
          <w:kern w:val="0"/>
          <w:sz w:val="32"/>
          <w:szCs w:val="32"/>
          <w:lang w:val="en-US" w:eastAsia="zh-CN"/>
        </w:rPr>
        <w:t>92</w:t>
      </w:r>
      <w:r>
        <w:rPr>
          <w:rFonts w:hint="eastAsia" w:ascii="Times New Roman" w:hAnsi="Times New Roman" w:eastAsia="仿宋_GB2312" w:cs="仿宋_GB2312"/>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6.住房保障支出（类）住房改革支出（款）住房公积金（项）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年预算数为2</w:t>
      </w:r>
      <w:r>
        <w:rPr>
          <w:rFonts w:hint="eastAsia" w:ascii="Times New Roman" w:hAnsi="Times New Roman" w:eastAsia="仿宋_GB2312" w:cs="仿宋_GB2312"/>
          <w:color w:val="000000"/>
          <w:kern w:val="0"/>
          <w:sz w:val="32"/>
          <w:szCs w:val="32"/>
          <w:lang w:val="en-US" w:eastAsia="zh-CN"/>
        </w:rPr>
        <w:t>1.74</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峨边彝族自治县新林镇中心卫生院2026</w:t>
      </w:r>
      <w:r>
        <w:rPr>
          <w:rFonts w:hint="eastAsia" w:ascii="Times New Roman" w:hAnsi="Times New Roman" w:eastAsia="仿宋_GB2312" w:cs="仿宋_GB2312"/>
          <w:color w:val="000000"/>
          <w:kern w:val="0"/>
          <w:sz w:val="32"/>
          <w:szCs w:val="32"/>
        </w:rPr>
        <w:t>年一般公共预算基本支出257.05万元，其中：</w:t>
      </w:r>
    </w:p>
    <w:p w14:paraId="6A3093DF">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人员经费247.52万元，主要包括：</w:t>
      </w:r>
      <w:r>
        <w:rPr>
          <w:rFonts w:hint="eastAsia" w:ascii="Times New Roman" w:hAnsi="Times New Roman" w:eastAsia="仿宋_GB2312" w:cs="仿宋_GB2312"/>
          <w:color w:val="auto"/>
          <w:kern w:val="0"/>
          <w:sz w:val="32"/>
          <w:szCs w:val="32"/>
        </w:rPr>
        <w:t>基本工资、津贴补贴、绩效工资、机关事业单位基本养老保险缴费、职业年金缴费、职工基本医疗保险缴费、其他社会保障缴费、住房公积金、生活补助。</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公用经费9.</w:t>
      </w:r>
      <w:r>
        <w:rPr>
          <w:rFonts w:hint="eastAsia" w:ascii="Times New Roman" w:hAnsi="Times New Roman" w:eastAsia="仿宋_GB2312" w:cs="仿宋_GB2312"/>
          <w:color w:val="000000"/>
          <w:kern w:val="0"/>
          <w:sz w:val="32"/>
          <w:szCs w:val="32"/>
          <w:lang w:val="en-US" w:eastAsia="zh-CN"/>
        </w:rPr>
        <w:t>53</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工会经费、其他商品和服务支出。</w:t>
      </w:r>
    </w:p>
    <w:p w14:paraId="5AC27466">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峨边彝族自治县新林镇中心卫生院2026年没有使用政府性基金预算拨款安排的支出。</w:t>
      </w:r>
    </w:p>
    <w:p w14:paraId="6E1F4AA7">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峨边彝族自治县新林镇中心卫生院2026年没有使用国有资本经营预算拨款安排的支出。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峨边彝族自治县新林镇中心卫生院2026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年均无公务用车运维费用。</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w:t>
      </w:r>
      <w:r>
        <w:rPr>
          <w:rFonts w:hint="eastAsia" w:ascii="Times New Roman" w:hAnsi="Times New Roman" w:eastAsia="仿宋_GB2312" w:cs="仿宋_GB2312"/>
          <w:color w:val="000000"/>
          <w:kern w:val="0"/>
          <w:sz w:val="32"/>
          <w:szCs w:val="32"/>
          <w:lang w:eastAsia="zh-CN"/>
        </w:rPr>
        <w:t>等</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，峨边彝族自治县新林镇中心卫生院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w:t>
      </w:r>
      <w:r>
        <w:rPr>
          <w:rFonts w:hint="eastAsia" w:ascii="Times New Roman" w:hAnsi="Times New Roman" w:eastAsia="仿宋_GB2312" w:cs="仿宋_GB2312"/>
          <w:color w:val="000000"/>
          <w:sz w:val="32"/>
          <w:szCs w:val="32"/>
          <w:shd w:val="clear" w:color="auto" w:fill="FFFFFF"/>
          <w:lang w:val="en-US" w:eastAsia="zh-CN"/>
        </w:rPr>
        <w:t>5</w:t>
      </w:r>
      <w:r>
        <w:rPr>
          <w:rFonts w:hint="eastAsia" w:ascii="Times New Roman" w:hAnsi="Times New Roman" w:eastAsia="仿宋_GB2312" w:cs="仿宋_GB2312"/>
          <w:color w:val="000000"/>
          <w:sz w:val="32"/>
          <w:szCs w:val="32"/>
          <w:shd w:val="clear" w:color="auto" w:fill="FFFFFF"/>
          <w:lang w:eastAsia="zh-CN"/>
        </w:rPr>
        <w:t>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w:t>
      </w:r>
      <w:r>
        <w:rPr>
          <w:rFonts w:hint="eastAsia" w:ascii="Times New Roman" w:hAnsi="Times New Roman" w:eastAsia="仿宋_GB2312" w:cs="仿宋_GB2312"/>
          <w:color w:val="auto"/>
          <w:kern w:val="0"/>
          <w:sz w:val="32"/>
          <w:szCs w:val="32"/>
          <w:lang w:val="en-US" w:eastAsia="zh-CN"/>
        </w:rPr>
        <w:t>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791C37E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峨边彝族自治县新林镇中心卫生院2026年无政府采购项目，未安排政府采购预算。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42446C0">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年底，峨边彝族自治县新林镇中心卫生院所属各预算单位共有车辆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r>
        <w:rPr>
          <w:rFonts w:hint="eastAsia" w:ascii="Times New Roman" w:hAnsi="Times New Roman" w:eastAsia="仿宋_GB2312" w:cs="仿宋_GB2312"/>
          <w:color w:val="000000"/>
          <w:kern w:val="0"/>
          <w:lang w:eastAsia="zh-CN"/>
        </w:rPr>
        <w:t>。</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2026年，峨边彝族自治县新林镇中心卫生院开展绩效目标管理的项目</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257.05</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247.52</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9.53</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FF2561F">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33DD76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w:t>
      </w:r>
      <w:r>
        <w:rPr>
          <w:rFonts w:hint="eastAsia" w:ascii="仿宋" w:hAnsi="仿宋" w:cs="宋体"/>
          <w:kern w:val="0"/>
          <w:szCs w:val="32"/>
        </w:rPr>
        <w:t>卫生健康支出（类）公共卫生（款）基本公共卫生服务（项）：反映基本公共卫生服务支出。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十七</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C2628E-3BE9-4AB0-A254-256D93276E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B469A56-4380-4958-AC13-9FB4627CE214}"/>
  </w:font>
  <w:font w:name="仿宋">
    <w:panose1 w:val="02010609060101010101"/>
    <w:charset w:val="86"/>
    <w:family w:val="auto"/>
    <w:pitch w:val="default"/>
    <w:sig w:usb0="800002BF" w:usb1="38CF7CFA" w:usb2="00000016" w:usb3="00000000" w:csb0="00040001" w:csb1="00000000"/>
    <w:embedRegular r:id="rId3" w:fontKey="{7A7B8C52-D059-4C2B-88A4-682A33F73F2F}"/>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07BA5FF0-469F-46A4-A719-86AF7858BF12}"/>
  </w:font>
  <w:font w:name="楷体">
    <w:panose1 w:val="02010609060101010101"/>
    <w:charset w:val="86"/>
    <w:family w:val="auto"/>
    <w:pitch w:val="default"/>
    <w:sig w:usb0="800002BF" w:usb1="38CF7CFA" w:usb2="00000016" w:usb3="00000000" w:csb0="00040001" w:csb1="00000000"/>
    <w:embedRegular r:id="rId5" w:fontKey="{E23746EA-D810-47DB-BB70-84952ED98D9D}"/>
  </w:font>
  <w:font w:name="楷体_GB2312">
    <w:panose1 w:val="02010609030101010101"/>
    <w:charset w:val="86"/>
    <w:family w:val="modern"/>
    <w:pitch w:val="default"/>
    <w:sig w:usb0="00000001" w:usb1="080E0000" w:usb2="00000000" w:usb3="00000000" w:csb0="00040000" w:csb1="00000000"/>
    <w:embedRegular r:id="rId6" w:fontKey="{0C2EC6BC-9B21-4086-8DF4-AE36B53D42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3D5930"/>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022B5"/>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0FEA33CD"/>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394ADF"/>
    <w:rsid w:val="15500F91"/>
    <w:rsid w:val="157F6F01"/>
    <w:rsid w:val="15A866E4"/>
    <w:rsid w:val="15CE2029"/>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8B73E1"/>
    <w:rsid w:val="1F9A468B"/>
    <w:rsid w:val="1FF547EC"/>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36069"/>
    <w:rsid w:val="26B732BD"/>
    <w:rsid w:val="26FA6D40"/>
    <w:rsid w:val="27104C6C"/>
    <w:rsid w:val="27263D7B"/>
    <w:rsid w:val="272D4172"/>
    <w:rsid w:val="27724FB0"/>
    <w:rsid w:val="279168B5"/>
    <w:rsid w:val="27A0205E"/>
    <w:rsid w:val="27CA2B49"/>
    <w:rsid w:val="27CB754F"/>
    <w:rsid w:val="280223C0"/>
    <w:rsid w:val="28115DC0"/>
    <w:rsid w:val="28A21C19"/>
    <w:rsid w:val="29116FFE"/>
    <w:rsid w:val="291A6BE7"/>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916EA0"/>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9E2072"/>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DB4F7A"/>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B40016"/>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E6671"/>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C1532B"/>
    <w:rsid w:val="7E5768E9"/>
    <w:rsid w:val="7EBF1A58"/>
    <w:rsid w:val="7EC3202A"/>
    <w:rsid w:val="7ED02DDB"/>
    <w:rsid w:val="7F380CA6"/>
    <w:rsid w:val="7F626766"/>
    <w:rsid w:val="7F73305A"/>
    <w:rsid w:val="7F7E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8fafd8bb-2d21-485a-bf4d-ca61622b39ff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51E5359B</paraID>
      <start>47</start>
      <end>55</end>
      <status>ignored</status>
      <modifiedWord/>
      <trackRevisions>false</trackRevisions>
    </reviewItem>
    <reviewItem>
      <errorID>8f9a30c2-ea82-417c-afd7-f8103a692d5e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51</start>
      <end>59</end>
      <status>ignored</status>
      <modifiedWord/>
      <trackRevisions>false</trackRevisions>
    </reviewItem>
    <reviewItem>
      <errorID>7c7c663d-0def-4708-81fe-0563ea553285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52444c16-44df-42e7-b18f-238de6d6b88b</errorID>
      <errorWord>  </errorWord>
      <group>L1_AI</group>
      <groupName>深度校对</groupName>
      <ability>L2_AI_Punc</ability>
      <abilityName>标点纠错</abilityName>
      <candidateList>
        <item/>
      </candidateList>
      <explain>此处空格冗余，建议删除。</explain>
      <paraID>6A3093DF</paraID>
      <start>28</start>
      <end>28</end>
      <status>modified</status>
      <modifiedWord/>
      <trackRevisions>false</trackRevisions>
    </reviewItem>
    <reviewItem>
      <errorID>37b624ed-5b30-448d-ac16-78d455d33e1b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fc819-5350-4091-abef-d5ae559f6eeb}">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4850</Words>
  <Characters>5182</Characters>
  <Lines>1</Lines>
  <Paragraphs>1</Paragraphs>
  <TotalTime>3</TotalTime>
  <ScaleCrop>false</ScaleCrop>
  <LinksUpToDate>false</LinksUpToDate>
  <CharactersWithSpaces>5214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2026-03-26T01:59:05Z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