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25510"/>
      <w:bookmarkStart w:id="2" w:name="_Toc15396475"/>
      <w:bookmarkStart w:id="3" w:name="_Toc15378441"/>
      <w:bookmarkStart w:id="4" w:name="_Toc15377425"/>
      <w:bookmarkStart w:id="5" w:name="_Toc15396597"/>
      <w:bookmarkStart w:id="6" w:name="_Toc1537719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bookmarkEnd w:id="0"/>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77426"/>
      <w:bookmarkStart w:id="8" w:name="_Toc15378442"/>
      <w:bookmarkStart w:id="9" w:name="_Toc15098"/>
      <w:bookmarkStart w:id="10" w:name="_Toc15306268"/>
      <w:bookmarkStart w:id="11" w:name="_Toc15377194"/>
      <w:bookmarkStart w:id="12" w:name="_Toc15396598"/>
      <w:bookmarkStart w:id="13" w:name="_Toc15396476"/>
      <w:r>
        <w:rPr>
          <w:rFonts w:hint="eastAsia" w:ascii="方正小标宋简体" w:hAnsi="方正小标宋简体" w:eastAsia="方正小标宋简体" w:cs="方正小标宋简体"/>
          <w:color w:val="auto"/>
          <w:sz w:val="72"/>
          <w:szCs w:val="72"/>
          <w:highlight w:val="none"/>
        </w:rPr>
        <w:t>峨边彝族自治县新林镇中心卫生院</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7"/>
      <w:bookmarkEnd w:id="8"/>
      <w:bookmarkEnd w:id="9"/>
      <w:bookmarkEnd w:id="10"/>
      <w:bookmarkEnd w:id="11"/>
      <w:bookmarkEnd w:id="12"/>
      <w:bookmarkEnd w:id="13"/>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104" w:name="_GoBack"/>
      <w:bookmarkEnd w:id="104"/>
      <w:r>
        <w:rPr>
          <w:rFonts w:hint="eastAsia" w:ascii="方正小标宋简体" w:hAnsi="方正小标宋简体" w:eastAsia="方正小标宋简体" w:cs="方正小标宋简体"/>
          <w:color w:val="auto"/>
          <w:sz w:val="72"/>
          <w:szCs w:val="72"/>
          <w:highlight w:val="none"/>
          <w:lang w:eastAsia="zh-CN"/>
        </w:rPr>
        <w:t>编制说明</w:t>
      </w: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26</w:t>
      </w:r>
      <w:r>
        <w:rPr>
          <w:rFonts w:hint="eastAsia"/>
          <w:color w:val="auto"/>
          <w:highlight w:val="none"/>
        </w:rPr>
        <w:t>日</w:t>
      </w:r>
    </w:p>
    <w:p>
      <w:pPr>
        <w:rPr>
          <w:color w:val="auto"/>
          <w:highlight w:val="none"/>
        </w:rPr>
      </w:pPr>
    </w:p>
    <w:sdt>
      <w:sdtPr>
        <w:rPr>
          <w:rFonts w:ascii="宋体" w:hAnsi="宋体" w:eastAsia="宋体" w:cs="Times New Roman"/>
          <w:kern w:val="2"/>
          <w:sz w:val="21"/>
          <w:szCs w:val="24"/>
          <w:lang w:val="en-US" w:eastAsia="zh-CN" w:bidi="ar-SA"/>
        </w:rPr>
        <w:id w:val="147458904"/>
        <w15:color w:val="DBDBDB"/>
        <w:docPartObj>
          <w:docPartGallery w:val="Table of Contents"/>
          <w:docPartUnique/>
        </w:docPartObj>
      </w:sdtPr>
      <w:sdtEndPr>
        <w:rPr>
          <w:rFonts w:ascii="仿宋" w:hAnsi="仿宋" w:eastAsia="仿宋" w:cs="Times New Roman"/>
          <w:b/>
          <w:color w:val="auto"/>
          <w:kern w:val="2"/>
          <w:sz w:val="24"/>
          <w:szCs w:val="24"/>
          <w:highlight w:val="none"/>
          <w:lang w:val="en-US" w:eastAsia="zh-CN" w:bidi="ar-SA"/>
        </w:rPr>
      </w:sdtEndPr>
      <w:sdtContent>
        <w:p>
          <w:pPr>
            <w:spacing w:before="0" w:beforeLines="0" w:after="0" w:afterLines="0" w:line="240" w:lineRule="auto"/>
            <w:ind w:left="0" w:leftChars="0" w:right="0" w:rightChars="0" w:firstLine="0" w:firstLineChars="0"/>
            <w:jc w:val="center"/>
            <w:rPr>
              <w:b/>
              <w:sz w:val="24"/>
              <w:szCs w:val="24"/>
            </w:rPr>
          </w:pPr>
          <w:r>
            <w:rPr>
              <w:rFonts w:ascii="仿宋" w:hAnsi="仿宋" w:eastAsia="仿宋"/>
              <w:color w:val="auto"/>
              <w:sz w:val="24"/>
              <w:szCs w:val="24"/>
              <w:highlight w:val="none"/>
            </w:rPr>
            <w:fldChar w:fldCharType="begin"/>
          </w:r>
          <w:r>
            <w:rPr>
              <w:rFonts w:ascii="仿宋" w:hAnsi="仿宋" w:eastAsia="仿宋"/>
              <w:color w:val="auto"/>
              <w:sz w:val="24"/>
              <w:szCs w:val="24"/>
              <w:highlight w:val="none"/>
            </w:rPr>
            <w:instrText xml:space="preserve">TOC \o "1-2" \h \u </w:instrText>
          </w:r>
          <w:r>
            <w:rPr>
              <w:rFonts w:ascii="仿宋" w:hAnsi="仿宋" w:eastAsia="仿宋"/>
              <w:color w:val="auto"/>
              <w:sz w:val="24"/>
              <w:szCs w:val="24"/>
              <w:highlight w:val="none"/>
            </w:rPr>
            <w:fldChar w:fldCharType="separate"/>
          </w:r>
        </w:p>
        <w:p>
          <w:pPr>
            <w:pStyle w:val="30"/>
            <w:tabs>
              <w:tab w:val="right" w:leader="dot" w:pos="8306"/>
            </w:tabs>
            <w:rPr>
              <w:b/>
              <w:sz w:val="24"/>
              <w:szCs w:val="24"/>
            </w:rPr>
          </w:pPr>
          <w:r>
            <w:rPr>
              <w:rFonts w:ascii="仿宋" w:hAnsi="仿宋" w:eastAsia="仿宋"/>
              <w:b/>
              <w:color w:val="auto"/>
              <w:sz w:val="24"/>
              <w:szCs w:val="24"/>
              <w:highlight w:val="none"/>
            </w:rPr>
            <w:fldChar w:fldCharType="begin"/>
          </w:r>
          <w:r>
            <w:rPr>
              <w:rFonts w:ascii="仿宋" w:hAnsi="仿宋" w:eastAsia="仿宋"/>
              <w:b/>
              <w:sz w:val="24"/>
              <w:szCs w:val="24"/>
              <w:highlight w:val="none"/>
            </w:rPr>
            <w:instrText xml:space="preserve"> HYPERLINK \l _Toc8916 </w:instrText>
          </w:r>
          <w:r>
            <w:rPr>
              <w:rFonts w:ascii="仿宋" w:hAnsi="仿宋" w:eastAsia="仿宋"/>
              <w:b/>
              <w:sz w:val="24"/>
              <w:szCs w:val="24"/>
              <w:highlight w:val="none"/>
            </w:rPr>
            <w:fldChar w:fldCharType="separate"/>
          </w:r>
          <w:r>
            <w:rPr>
              <w:rFonts w:hint="eastAsia" w:ascii="黑体" w:hAnsi="黑体" w:eastAsia="黑体"/>
              <w:b/>
              <w:sz w:val="24"/>
              <w:szCs w:val="24"/>
              <w:highlight w:val="none"/>
            </w:rPr>
            <w:t xml:space="preserve">第一部分 </w:t>
          </w:r>
          <w:r>
            <w:rPr>
              <w:rFonts w:hint="eastAsia" w:ascii="黑体" w:hAnsi="黑体" w:eastAsia="黑体"/>
              <w:b/>
              <w:sz w:val="24"/>
              <w:szCs w:val="24"/>
              <w:highlight w:val="none"/>
              <w:lang w:eastAsia="zh-CN"/>
            </w:rPr>
            <w:t>单位</w:t>
          </w:r>
          <w:r>
            <w:rPr>
              <w:rFonts w:hint="eastAsia" w:ascii="黑体" w:hAnsi="黑体" w:eastAsia="黑体"/>
              <w:b/>
              <w:bCs w:val="0"/>
              <w:sz w:val="24"/>
              <w:szCs w:val="24"/>
              <w:highlight w:val="none"/>
            </w:rPr>
            <w:t>概况</w:t>
          </w:r>
          <w:r>
            <w:rPr>
              <w:b/>
              <w:sz w:val="24"/>
              <w:szCs w:val="24"/>
            </w:rPr>
            <w:tab/>
          </w:r>
          <w:r>
            <w:rPr>
              <w:b/>
              <w:sz w:val="24"/>
              <w:szCs w:val="24"/>
            </w:rPr>
            <w:fldChar w:fldCharType="begin"/>
          </w:r>
          <w:r>
            <w:rPr>
              <w:b/>
              <w:sz w:val="24"/>
              <w:szCs w:val="24"/>
            </w:rPr>
            <w:instrText xml:space="preserve"> PAGEREF _Toc8916 \h </w:instrText>
          </w:r>
          <w:r>
            <w:rPr>
              <w:b/>
              <w:sz w:val="24"/>
              <w:szCs w:val="24"/>
            </w:rPr>
            <w:fldChar w:fldCharType="separate"/>
          </w:r>
          <w:r>
            <w:rPr>
              <w:b/>
              <w:sz w:val="24"/>
              <w:szCs w:val="24"/>
            </w:rPr>
            <w:t>3</w:t>
          </w:r>
          <w:r>
            <w:rPr>
              <w:b/>
              <w:sz w:val="24"/>
              <w:szCs w:val="24"/>
            </w:rPr>
            <w:fldChar w:fldCharType="end"/>
          </w:r>
          <w:r>
            <w:rPr>
              <w:rFonts w:ascii="仿宋" w:hAnsi="仿宋" w:eastAsia="仿宋"/>
              <w:b/>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_Toc29171 </w:instrText>
          </w:r>
          <w:r>
            <w:rPr>
              <w:rFonts w:ascii="仿宋" w:hAnsi="仿宋" w:eastAsia="仿宋"/>
              <w:sz w:val="24"/>
              <w:szCs w:val="24"/>
              <w:highlight w:val="none"/>
            </w:rPr>
            <w:fldChar w:fldCharType="separate"/>
          </w:r>
          <w:r>
            <w:rPr>
              <w:rFonts w:hint="eastAsia" w:ascii="黑体" w:hAnsi="黑体" w:eastAsia="黑体"/>
              <w:bCs w:val="0"/>
              <w:sz w:val="24"/>
              <w:szCs w:val="24"/>
              <w:highlight w:val="none"/>
              <w:lang w:eastAsia="zh-CN"/>
            </w:rPr>
            <w:t>一、</w:t>
          </w:r>
          <w:r>
            <w:rPr>
              <w:rFonts w:hint="eastAsia" w:ascii="黑体" w:hAnsi="黑体" w:eastAsia="黑体"/>
              <w:bCs w:val="0"/>
              <w:sz w:val="24"/>
              <w:szCs w:val="24"/>
              <w:highlight w:val="none"/>
            </w:rPr>
            <w:t>职能</w:t>
          </w:r>
          <w:r>
            <w:rPr>
              <w:rFonts w:hint="eastAsia" w:ascii="黑体" w:hAnsi="黑体" w:eastAsia="黑体"/>
              <w:bCs w:val="0"/>
              <w:sz w:val="24"/>
              <w:szCs w:val="24"/>
              <w:highlight w:val="none"/>
              <w:lang w:eastAsia="zh-CN"/>
            </w:rPr>
            <w:t>简介</w:t>
          </w:r>
          <w:r>
            <w:rPr>
              <w:sz w:val="24"/>
              <w:szCs w:val="24"/>
            </w:rPr>
            <w:tab/>
          </w:r>
          <w:r>
            <w:rPr>
              <w:sz w:val="24"/>
              <w:szCs w:val="24"/>
            </w:rPr>
            <w:fldChar w:fldCharType="begin"/>
          </w:r>
          <w:r>
            <w:rPr>
              <w:sz w:val="24"/>
              <w:szCs w:val="24"/>
            </w:rPr>
            <w:instrText xml:space="preserve"> PAGEREF _Toc29171 \h </w:instrText>
          </w:r>
          <w:r>
            <w:rPr>
              <w:sz w:val="24"/>
              <w:szCs w:val="24"/>
            </w:rPr>
            <w:fldChar w:fldCharType="separate"/>
          </w:r>
          <w:r>
            <w:rPr>
              <w:sz w:val="24"/>
              <w:szCs w:val="24"/>
            </w:rPr>
            <w:t>3</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_Toc16384 </w:instrText>
          </w:r>
          <w:r>
            <w:rPr>
              <w:rFonts w:ascii="仿宋" w:hAnsi="仿宋" w:eastAsia="仿宋"/>
              <w:sz w:val="24"/>
              <w:szCs w:val="24"/>
              <w:highlight w:val="none"/>
            </w:rPr>
            <w:fldChar w:fldCharType="separate"/>
          </w:r>
          <w:r>
            <w:rPr>
              <w:rFonts w:hint="eastAsia" w:ascii="黑体" w:hAnsi="黑体" w:eastAsia="黑体"/>
              <w:sz w:val="24"/>
              <w:szCs w:val="24"/>
              <w:highlight w:val="none"/>
              <w:lang w:val="en-US" w:eastAsia="zh-CN"/>
            </w:rPr>
            <w:t>二、2021年重点</w:t>
          </w:r>
          <w:r>
            <w:rPr>
              <w:rFonts w:hint="eastAsia" w:ascii="黑体" w:hAnsi="黑体" w:eastAsia="黑体"/>
              <w:sz w:val="24"/>
              <w:szCs w:val="24"/>
              <w:highlight w:val="none"/>
            </w:rPr>
            <w:t>工作</w:t>
          </w:r>
          <w:r>
            <w:rPr>
              <w:rFonts w:hint="eastAsia" w:ascii="黑体" w:hAnsi="黑体" w:eastAsia="黑体"/>
              <w:sz w:val="24"/>
              <w:szCs w:val="24"/>
              <w:highlight w:val="none"/>
              <w:lang w:eastAsia="zh-CN"/>
            </w:rPr>
            <w:t>完成情况</w:t>
          </w:r>
          <w:r>
            <w:rPr>
              <w:sz w:val="24"/>
              <w:szCs w:val="24"/>
            </w:rPr>
            <w:tab/>
          </w:r>
          <w:r>
            <w:rPr>
              <w:sz w:val="24"/>
              <w:szCs w:val="24"/>
            </w:rPr>
            <w:fldChar w:fldCharType="begin"/>
          </w:r>
          <w:r>
            <w:rPr>
              <w:sz w:val="24"/>
              <w:szCs w:val="24"/>
            </w:rPr>
            <w:instrText xml:space="preserve"> PAGEREF _Toc16384 \h </w:instrText>
          </w:r>
          <w:r>
            <w:rPr>
              <w:sz w:val="24"/>
              <w:szCs w:val="24"/>
            </w:rPr>
            <w:fldChar w:fldCharType="separate"/>
          </w:r>
          <w:r>
            <w:rPr>
              <w:sz w:val="24"/>
              <w:szCs w:val="24"/>
            </w:rPr>
            <w:t>3</w:t>
          </w:r>
          <w:r>
            <w:rPr>
              <w:sz w:val="24"/>
              <w:szCs w:val="24"/>
            </w:rPr>
            <w:fldChar w:fldCharType="end"/>
          </w:r>
          <w:r>
            <w:rPr>
              <w:rFonts w:ascii="仿宋" w:hAnsi="仿宋" w:eastAsia="仿宋"/>
              <w:color w:val="auto"/>
              <w:sz w:val="24"/>
              <w:szCs w:val="24"/>
              <w:highlight w:val="none"/>
            </w:rPr>
            <w:fldChar w:fldCharType="end"/>
          </w:r>
        </w:p>
        <w:p>
          <w:pPr>
            <w:pStyle w:val="30"/>
            <w:tabs>
              <w:tab w:val="right" w:leader="dot" w:pos="8306"/>
            </w:tabs>
            <w:rPr>
              <w:b/>
              <w:sz w:val="24"/>
              <w:szCs w:val="24"/>
            </w:rPr>
          </w:pPr>
          <w:r>
            <w:rPr>
              <w:rFonts w:ascii="仿宋" w:hAnsi="仿宋" w:eastAsia="仿宋"/>
              <w:b/>
              <w:color w:val="auto"/>
              <w:sz w:val="24"/>
              <w:szCs w:val="24"/>
              <w:highlight w:val="none"/>
            </w:rPr>
            <w:fldChar w:fldCharType="begin"/>
          </w:r>
          <w:r>
            <w:rPr>
              <w:rFonts w:ascii="仿宋" w:hAnsi="仿宋" w:eastAsia="仿宋"/>
              <w:b/>
              <w:sz w:val="24"/>
              <w:szCs w:val="24"/>
              <w:highlight w:val="none"/>
            </w:rPr>
            <w:instrText xml:space="preserve"> HYPERLINK \l _Toc30031 </w:instrText>
          </w:r>
          <w:r>
            <w:rPr>
              <w:rFonts w:ascii="仿宋" w:hAnsi="仿宋" w:eastAsia="仿宋"/>
              <w:b/>
              <w:sz w:val="24"/>
              <w:szCs w:val="24"/>
              <w:highlight w:val="none"/>
            </w:rPr>
            <w:fldChar w:fldCharType="separate"/>
          </w:r>
          <w:r>
            <w:rPr>
              <w:rFonts w:hint="eastAsia" w:ascii="黑体" w:hAnsi="黑体" w:eastAsia="黑体"/>
              <w:b/>
              <w:bCs/>
              <w:sz w:val="24"/>
              <w:szCs w:val="24"/>
              <w:highlight w:val="none"/>
            </w:rPr>
            <w:t xml:space="preserve">第二部分 </w:t>
          </w:r>
          <w:r>
            <w:rPr>
              <w:rFonts w:hint="eastAsia" w:ascii="黑体" w:hAnsi="黑体" w:eastAsia="黑体"/>
              <w:b/>
              <w:bCs/>
              <w:sz w:val="24"/>
              <w:szCs w:val="24"/>
              <w:highlight w:val="none"/>
              <w:lang w:val="en-US" w:eastAsia="zh-CN"/>
            </w:rPr>
            <w:t>2021年度</w:t>
          </w:r>
          <w:r>
            <w:rPr>
              <w:rFonts w:hint="eastAsia" w:ascii="黑体" w:hAnsi="黑体" w:eastAsia="黑体"/>
              <w:b/>
              <w:bCs/>
              <w:sz w:val="24"/>
              <w:szCs w:val="24"/>
              <w:highlight w:val="none"/>
              <w:lang w:eastAsia="zh-CN"/>
            </w:rPr>
            <w:t>单位</w:t>
          </w:r>
          <w:r>
            <w:rPr>
              <w:rFonts w:hint="eastAsia" w:ascii="黑体" w:hAnsi="黑体" w:eastAsia="黑体"/>
              <w:b/>
              <w:bCs/>
              <w:sz w:val="24"/>
              <w:szCs w:val="24"/>
              <w:highlight w:val="none"/>
            </w:rPr>
            <w:t>决算情况说明</w:t>
          </w:r>
          <w:r>
            <w:rPr>
              <w:b/>
              <w:sz w:val="24"/>
              <w:szCs w:val="24"/>
            </w:rPr>
            <w:tab/>
          </w:r>
          <w:r>
            <w:rPr>
              <w:b/>
              <w:sz w:val="24"/>
              <w:szCs w:val="24"/>
            </w:rPr>
            <w:fldChar w:fldCharType="begin"/>
          </w:r>
          <w:r>
            <w:rPr>
              <w:b/>
              <w:sz w:val="24"/>
              <w:szCs w:val="24"/>
            </w:rPr>
            <w:instrText xml:space="preserve"> PAGEREF _Toc30031 \h </w:instrText>
          </w:r>
          <w:r>
            <w:rPr>
              <w:b/>
              <w:sz w:val="24"/>
              <w:szCs w:val="24"/>
            </w:rPr>
            <w:fldChar w:fldCharType="separate"/>
          </w:r>
          <w:r>
            <w:rPr>
              <w:b/>
              <w:sz w:val="24"/>
              <w:szCs w:val="24"/>
            </w:rPr>
            <w:t>7</w:t>
          </w:r>
          <w:r>
            <w:rPr>
              <w:b/>
              <w:sz w:val="24"/>
              <w:szCs w:val="24"/>
            </w:rPr>
            <w:fldChar w:fldCharType="end"/>
          </w:r>
          <w:r>
            <w:rPr>
              <w:rFonts w:ascii="仿宋" w:hAnsi="仿宋" w:eastAsia="仿宋"/>
              <w:b/>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_Toc16880 </w:instrText>
          </w:r>
          <w:r>
            <w:rPr>
              <w:rFonts w:ascii="仿宋" w:hAnsi="仿宋" w:eastAsia="仿宋"/>
              <w:sz w:val="24"/>
              <w:szCs w:val="24"/>
              <w:highlight w:val="none"/>
            </w:rPr>
            <w:fldChar w:fldCharType="separate"/>
          </w:r>
          <w:r>
            <w:rPr>
              <w:rFonts w:hint="default" w:ascii="黑体" w:hAnsi="黑体" w:eastAsia="黑体"/>
              <w:sz w:val="24"/>
              <w:szCs w:val="24"/>
            </w:rPr>
            <w:t xml:space="preserve">一、 </w:t>
          </w:r>
          <w:r>
            <w:rPr>
              <w:rFonts w:hint="eastAsia" w:ascii="黑体" w:hAnsi="黑体" w:eastAsia="黑体"/>
              <w:sz w:val="24"/>
              <w:szCs w:val="24"/>
              <w:highlight w:val="none"/>
            </w:rPr>
            <w:t>收入支出决算总体情况说明</w:t>
          </w:r>
          <w:r>
            <w:rPr>
              <w:sz w:val="24"/>
              <w:szCs w:val="24"/>
            </w:rPr>
            <w:tab/>
          </w:r>
          <w:r>
            <w:rPr>
              <w:sz w:val="24"/>
              <w:szCs w:val="24"/>
            </w:rPr>
            <w:fldChar w:fldCharType="begin"/>
          </w:r>
          <w:r>
            <w:rPr>
              <w:sz w:val="24"/>
              <w:szCs w:val="24"/>
            </w:rPr>
            <w:instrText xml:space="preserve"> PAGEREF _Toc16880 \h </w:instrText>
          </w:r>
          <w:r>
            <w:rPr>
              <w:sz w:val="24"/>
              <w:szCs w:val="24"/>
            </w:rPr>
            <w:fldChar w:fldCharType="separate"/>
          </w:r>
          <w:r>
            <w:rPr>
              <w:sz w:val="24"/>
              <w:szCs w:val="24"/>
            </w:rPr>
            <w:t>7</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_Toc30097 </w:instrText>
          </w:r>
          <w:r>
            <w:rPr>
              <w:rFonts w:ascii="仿宋" w:hAnsi="仿宋" w:eastAsia="仿宋"/>
              <w:sz w:val="24"/>
              <w:szCs w:val="24"/>
              <w:highlight w:val="none"/>
            </w:rPr>
            <w:fldChar w:fldCharType="separate"/>
          </w:r>
          <w:r>
            <w:rPr>
              <w:rFonts w:hint="default" w:ascii="黑体" w:hAnsi="黑体" w:eastAsia="黑体"/>
              <w:sz w:val="24"/>
              <w:szCs w:val="24"/>
            </w:rPr>
            <w:t xml:space="preserve">二、 </w:t>
          </w:r>
          <w:r>
            <w:rPr>
              <w:rFonts w:hint="eastAsia" w:ascii="黑体" w:hAnsi="黑体" w:eastAsia="黑体"/>
              <w:sz w:val="24"/>
              <w:szCs w:val="24"/>
              <w:highlight w:val="none"/>
            </w:rPr>
            <w:t>收入决算情况说明</w:t>
          </w:r>
          <w:r>
            <w:rPr>
              <w:sz w:val="24"/>
              <w:szCs w:val="24"/>
            </w:rPr>
            <w:tab/>
          </w:r>
          <w:r>
            <w:rPr>
              <w:sz w:val="24"/>
              <w:szCs w:val="24"/>
            </w:rPr>
            <w:fldChar w:fldCharType="begin"/>
          </w:r>
          <w:r>
            <w:rPr>
              <w:sz w:val="24"/>
              <w:szCs w:val="24"/>
            </w:rPr>
            <w:instrText xml:space="preserve"> PAGEREF _Toc30097 \h </w:instrText>
          </w:r>
          <w:r>
            <w:rPr>
              <w:sz w:val="24"/>
              <w:szCs w:val="24"/>
            </w:rPr>
            <w:fldChar w:fldCharType="separate"/>
          </w:r>
          <w:r>
            <w:rPr>
              <w:sz w:val="24"/>
              <w:szCs w:val="24"/>
            </w:rPr>
            <w:t>7</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_Toc5366 </w:instrText>
          </w:r>
          <w:r>
            <w:rPr>
              <w:rFonts w:ascii="仿宋" w:hAnsi="仿宋" w:eastAsia="仿宋"/>
              <w:sz w:val="24"/>
              <w:szCs w:val="24"/>
              <w:highlight w:val="none"/>
            </w:rPr>
            <w:fldChar w:fldCharType="separate"/>
          </w:r>
          <w:r>
            <w:rPr>
              <w:rFonts w:hint="default" w:ascii="黑体" w:hAnsi="黑体" w:eastAsia="黑体"/>
              <w:sz w:val="24"/>
              <w:szCs w:val="24"/>
            </w:rPr>
            <w:t xml:space="preserve">三、 </w:t>
          </w:r>
          <w:r>
            <w:rPr>
              <w:rFonts w:hint="eastAsia" w:ascii="黑体" w:hAnsi="黑体" w:eastAsia="黑体"/>
              <w:sz w:val="24"/>
              <w:szCs w:val="24"/>
              <w:highlight w:val="none"/>
            </w:rPr>
            <w:t>支出决算情况说明</w:t>
          </w:r>
          <w:r>
            <w:rPr>
              <w:sz w:val="24"/>
              <w:szCs w:val="24"/>
            </w:rPr>
            <w:tab/>
          </w:r>
          <w:r>
            <w:rPr>
              <w:sz w:val="24"/>
              <w:szCs w:val="24"/>
            </w:rPr>
            <w:fldChar w:fldCharType="begin"/>
          </w:r>
          <w:r>
            <w:rPr>
              <w:sz w:val="24"/>
              <w:szCs w:val="24"/>
            </w:rPr>
            <w:instrText xml:space="preserve"> PAGEREF _Toc5366 \h </w:instrText>
          </w:r>
          <w:r>
            <w:rPr>
              <w:sz w:val="24"/>
              <w:szCs w:val="24"/>
            </w:rPr>
            <w:fldChar w:fldCharType="separate"/>
          </w:r>
          <w:r>
            <w:rPr>
              <w:sz w:val="24"/>
              <w:szCs w:val="24"/>
            </w:rPr>
            <w:t>8</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_Toc6152 </w:instrText>
          </w:r>
          <w:r>
            <w:rPr>
              <w:rFonts w:ascii="仿宋" w:hAnsi="仿宋" w:eastAsia="仿宋"/>
              <w:sz w:val="24"/>
              <w:szCs w:val="24"/>
              <w:highlight w:val="none"/>
            </w:rPr>
            <w:fldChar w:fldCharType="separate"/>
          </w:r>
          <w:r>
            <w:rPr>
              <w:rFonts w:hint="eastAsia" w:ascii="黑体" w:hAnsi="黑体" w:eastAsia="黑体"/>
              <w:sz w:val="24"/>
              <w:szCs w:val="24"/>
              <w:highlight w:val="none"/>
            </w:rPr>
            <w:t>四、财政拨款收入支出决算总体情况说明</w:t>
          </w:r>
          <w:r>
            <w:rPr>
              <w:sz w:val="24"/>
              <w:szCs w:val="24"/>
            </w:rPr>
            <w:tab/>
          </w:r>
          <w:r>
            <w:rPr>
              <w:sz w:val="24"/>
              <w:szCs w:val="24"/>
            </w:rPr>
            <w:fldChar w:fldCharType="begin"/>
          </w:r>
          <w:r>
            <w:rPr>
              <w:sz w:val="24"/>
              <w:szCs w:val="24"/>
            </w:rPr>
            <w:instrText xml:space="preserve"> PAGEREF _Toc6152 \h </w:instrText>
          </w:r>
          <w:r>
            <w:rPr>
              <w:sz w:val="24"/>
              <w:szCs w:val="24"/>
            </w:rPr>
            <w:fldChar w:fldCharType="separate"/>
          </w:r>
          <w:r>
            <w:rPr>
              <w:sz w:val="24"/>
              <w:szCs w:val="24"/>
            </w:rPr>
            <w:t>9</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_Toc5754 </w:instrText>
          </w:r>
          <w:r>
            <w:rPr>
              <w:rFonts w:ascii="仿宋" w:hAnsi="仿宋" w:eastAsia="仿宋"/>
              <w:sz w:val="24"/>
              <w:szCs w:val="24"/>
              <w:highlight w:val="none"/>
            </w:rPr>
            <w:fldChar w:fldCharType="separate"/>
          </w:r>
          <w:r>
            <w:rPr>
              <w:rFonts w:hint="eastAsia" w:ascii="黑体" w:hAnsi="黑体" w:eastAsia="黑体"/>
              <w:sz w:val="24"/>
              <w:szCs w:val="24"/>
              <w:highlight w:val="none"/>
            </w:rPr>
            <w:t>五、一般公共预算财政拨款支出决算情况说明</w:t>
          </w:r>
          <w:r>
            <w:rPr>
              <w:sz w:val="24"/>
              <w:szCs w:val="24"/>
            </w:rPr>
            <w:tab/>
          </w:r>
          <w:r>
            <w:rPr>
              <w:sz w:val="24"/>
              <w:szCs w:val="24"/>
            </w:rPr>
            <w:fldChar w:fldCharType="begin"/>
          </w:r>
          <w:r>
            <w:rPr>
              <w:sz w:val="24"/>
              <w:szCs w:val="24"/>
            </w:rPr>
            <w:instrText xml:space="preserve"> PAGEREF _Toc5754 \h </w:instrText>
          </w:r>
          <w:r>
            <w:rPr>
              <w:sz w:val="24"/>
              <w:szCs w:val="24"/>
            </w:rPr>
            <w:fldChar w:fldCharType="separate"/>
          </w:r>
          <w:r>
            <w:rPr>
              <w:sz w:val="24"/>
              <w:szCs w:val="24"/>
            </w:rPr>
            <w:t>9</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_Toc30655 </w:instrText>
          </w:r>
          <w:r>
            <w:rPr>
              <w:rFonts w:ascii="仿宋" w:hAnsi="仿宋" w:eastAsia="仿宋"/>
              <w:sz w:val="24"/>
              <w:szCs w:val="24"/>
              <w:highlight w:val="none"/>
            </w:rPr>
            <w:fldChar w:fldCharType="separate"/>
          </w:r>
          <w:r>
            <w:rPr>
              <w:rFonts w:hint="eastAsia" w:ascii="黑体" w:eastAsia="黑体"/>
              <w:sz w:val="24"/>
              <w:szCs w:val="24"/>
              <w:highlight w:val="none"/>
            </w:rPr>
            <w:t>六、</w:t>
          </w:r>
          <w:r>
            <w:rPr>
              <w:rFonts w:hint="eastAsia" w:ascii="黑体" w:hAnsi="黑体" w:eastAsia="黑体"/>
              <w:sz w:val="24"/>
              <w:szCs w:val="24"/>
              <w:highlight w:val="none"/>
            </w:rPr>
            <w:t>一般公共预算财政拨款基本支出决算情况说明</w:t>
          </w:r>
          <w:r>
            <w:rPr>
              <w:sz w:val="24"/>
              <w:szCs w:val="24"/>
            </w:rPr>
            <w:tab/>
          </w:r>
          <w:r>
            <w:rPr>
              <w:sz w:val="24"/>
              <w:szCs w:val="24"/>
            </w:rPr>
            <w:fldChar w:fldCharType="begin"/>
          </w:r>
          <w:r>
            <w:rPr>
              <w:sz w:val="24"/>
              <w:szCs w:val="24"/>
            </w:rPr>
            <w:instrText xml:space="preserve"> PAGEREF _Toc30655 \h </w:instrText>
          </w:r>
          <w:r>
            <w:rPr>
              <w:sz w:val="24"/>
              <w:szCs w:val="24"/>
            </w:rPr>
            <w:fldChar w:fldCharType="separate"/>
          </w:r>
          <w:r>
            <w:rPr>
              <w:sz w:val="24"/>
              <w:szCs w:val="24"/>
            </w:rPr>
            <w:t>12</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_Toc32085 </w:instrText>
          </w:r>
          <w:r>
            <w:rPr>
              <w:rFonts w:ascii="仿宋" w:hAnsi="仿宋" w:eastAsia="仿宋"/>
              <w:sz w:val="24"/>
              <w:szCs w:val="24"/>
              <w:highlight w:val="none"/>
            </w:rPr>
            <w:fldChar w:fldCharType="separate"/>
          </w:r>
          <w:r>
            <w:rPr>
              <w:rFonts w:hint="eastAsia" w:ascii="黑体" w:eastAsia="黑体"/>
              <w:sz w:val="24"/>
              <w:szCs w:val="24"/>
              <w:highlight w:val="none"/>
            </w:rPr>
            <w:t>七、</w:t>
          </w:r>
          <w:r>
            <w:rPr>
              <w:rFonts w:hint="eastAsia" w:ascii="黑体" w:hAnsi="黑体" w:eastAsia="黑体"/>
              <w:sz w:val="24"/>
              <w:szCs w:val="24"/>
              <w:highlight w:val="none"/>
            </w:rPr>
            <w:t>“三公”经费财政拨款支出决算情况说明</w:t>
          </w:r>
          <w:r>
            <w:rPr>
              <w:sz w:val="24"/>
              <w:szCs w:val="24"/>
            </w:rPr>
            <w:tab/>
          </w:r>
          <w:r>
            <w:rPr>
              <w:sz w:val="24"/>
              <w:szCs w:val="24"/>
            </w:rPr>
            <w:fldChar w:fldCharType="begin"/>
          </w:r>
          <w:r>
            <w:rPr>
              <w:sz w:val="24"/>
              <w:szCs w:val="24"/>
            </w:rPr>
            <w:instrText xml:space="preserve"> PAGEREF _Toc32085 \h </w:instrText>
          </w:r>
          <w:r>
            <w:rPr>
              <w:sz w:val="24"/>
              <w:szCs w:val="24"/>
            </w:rPr>
            <w:fldChar w:fldCharType="separate"/>
          </w:r>
          <w:r>
            <w:rPr>
              <w:sz w:val="24"/>
              <w:szCs w:val="24"/>
            </w:rPr>
            <w:t>13</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_Toc18639 </w:instrText>
          </w:r>
          <w:r>
            <w:rPr>
              <w:rFonts w:ascii="仿宋" w:hAnsi="仿宋" w:eastAsia="仿宋"/>
              <w:sz w:val="24"/>
              <w:szCs w:val="24"/>
              <w:highlight w:val="none"/>
            </w:rPr>
            <w:fldChar w:fldCharType="separate"/>
          </w:r>
          <w:r>
            <w:rPr>
              <w:rFonts w:hint="eastAsia" w:ascii="黑体" w:eastAsia="黑体"/>
              <w:sz w:val="24"/>
              <w:szCs w:val="24"/>
              <w:highlight w:val="none"/>
            </w:rPr>
            <w:t>八、</w:t>
          </w:r>
          <w:r>
            <w:rPr>
              <w:rFonts w:hint="eastAsia" w:ascii="黑体" w:hAnsi="黑体" w:eastAsia="黑体"/>
              <w:sz w:val="24"/>
              <w:szCs w:val="24"/>
              <w:highlight w:val="none"/>
            </w:rPr>
            <w:t>政府性基金预算支出决算情况说明</w:t>
          </w:r>
          <w:r>
            <w:rPr>
              <w:sz w:val="24"/>
              <w:szCs w:val="24"/>
            </w:rPr>
            <w:tab/>
          </w:r>
          <w:r>
            <w:rPr>
              <w:sz w:val="24"/>
              <w:szCs w:val="24"/>
            </w:rPr>
            <w:fldChar w:fldCharType="begin"/>
          </w:r>
          <w:r>
            <w:rPr>
              <w:sz w:val="24"/>
              <w:szCs w:val="24"/>
            </w:rPr>
            <w:instrText xml:space="preserve"> PAGEREF _Toc18639 \h </w:instrText>
          </w:r>
          <w:r>
            <w:rPr>
              <w:sz w:val="24"/>
              <w:szCs w:val="24"/>
            </w:rPr>
            <w:fldChar w:fldCharType="separate"/>
          </w:r>
          <w:r>
            <w:rPr>
              <w:sz w:val="24"/>
              <w:szCs w:val="24"/>
            </w:rPr>
            <w:t>14</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_Toc32218 </w:instrText>
          </w:r>
          <w:r>
            <w:rPr>
              <w:rFonts w:ascii="仿宋" w:hAnsi="仿宋" w:eastAsia="仿宋"/>
              <w:sz w:val="24"/>
              <w:szCs w:val="24"/>
              <w:highlight w:val="none"/>
            </w:rPr>
            <w:fldChar w:fldCharType="separate"/>
          </w:r>
          <w:r>
            <w:rPr>
              <w:rFonts w:hint="eastAsia" w:ascii="黑体" w:hAnsi="黑体" w:eastAsia="黑体"/>
              <w:sz w:val="24"/>
              <w:szCs w:val="24"/>
            </w:rPr>
            <w:t xml:space="preserve">九、 </w:t>
          </w:r>
          <w:r>
            <w:rPr>
              <w:rFonts w:hint="eastAsia" w:ascii="黑体" w:hAnsi="黑体" w:eastAsia="黑体"/>
              <w:sz w:val="24"/>
              <w:szCs w:val="24"/>
              <w:highlight w:val="none"/>
            </w:rPr>
            <w:t>国有资本经营预算支出决算情况说明</w:t>
          </w:r>
          <w:r>
            <w:rPr>
              <w:sz w:val="24"/>
              <w:szCs w:val="24"/>
            </w:rPr>
            <w:tab/>
          </w:r>
          <w:r>
            <w:rPr>
              <w:sz w:val="24"/>
              <w:szCs w:val="24"/>
            </w:rPr>
            <w:fldChar w:fldCharType="begin"/>
          </w:r>
          <w:r>
            <w:rPr>
              <w:sz w:val="24"/>
              <w:szCs w:val="24"/>
            </w:rPr>
            <w:instrText xml:space="preserve"> PAGEREF _Toc32218 \h </w:instrText>
          </w:r>
          <w:r>
            <w:rPr>
              <w:sz w:val="24"/>
              <w:szCs w:val="24"/>
            </w:rPr>
            <w:fldChar w:fldCharType="separate"/>
          </w:r>
          <w:r>
            <w:rPr>
              <w:sz w:val="24"/>
              <w:szCs w:val="24"/>
            </w:rPr>
            <w:t>15</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_Toc21442 </w:instrText>
          </w:r>
          <w:r>
            <w:rPr>
              <w:rFonts w:ascii="仿宋" w:hAnsi="仿宋" w:eastAsia="仿宋"/>
              <w:sz w:val="24"/>
              <w:szCs w:val="24"/>
              <w:highlight w:val="none"/>
            </w:rPr>
            <w:fldChar w:fldCharType="separate"/>
          </w:r>
          <w:r>
            <w:rPr>
              <w:rFonts w:hint="eastAsia" w:ascii="黑体" w:hAnsi="黑体" w:eastAsia="黑体"/>
              <w:sz w:val="24"/>
              <w:szCs w:val="24"/>
            </w:rPr>
            <w:t xml:space="preserve">十、 </w:t>
          </w:r>
          <w:r>
            <w:rPr>
              <w:rFonts w:hint="eastAsia" w:ascii="黑体" w:hAnsi="黑体" w:eastAsia="黑体"/>
              <w:sz w:val="24"/>
              <w:szCs w:val="24"/>
              <w:highlight w:val="none"/>
            </w:rPr>
            <w:t>其他重要事项的情况说明</w:t>
          </w:r>
          <w:r>
            <w:rPr>
              <w:sz w:val="24"/>
              <w:szCs w:val="24"/>
            </w:rPr>
            <w:tab/>
          </w:r>
          <w:r>
            <w:rPr>
              <w:sz w:val="24"/>
              <w:szCs w:val="24"/>
            </w:rPr>
            <w:fldChar w:fldCharType="begin"/>
          </w:r>
          <w:r>
            <w:rPr>
              <w:sz w:val="24"/>
              <w:szCs w:val="24"/>
            </w:rPr>
            <w:instrText xml:space="preserve"> PAGEREF _Toc21442 \h </w:instrText>
          </w:r>
          <w:r>
            <w:rPr>
              <w:sz w:val="24"/>
              <w:szCs w:val="24"/>
            </w:rPr>
            <w:fldChar w:fldCharType="separate"/>
          </w:r>
          <w:r>
            <w:rPr>
              <w:sz w:val="24"/>
              <w:szCs w:val="24"/>
            </w:rPr>
            <w:t>15</w:t>
          </w:r>
          <w:r>
            <w:rPr>
              <w:sz w:val="24"/>
              <w:szCs w:val="24"/>
            </w:rPr>
            <w:fldChar w:fldCharType="end"/>
          </w:r>
          <w:r>
            <w:rPr>
              <w:rFonts w:ascii="仿宋" w:hAnsi="仿宋" w:eastAsia="仿宋"/>
              <w:color w:val="auto"/>
              <w:sz w:val="24"/>
              <w:szCs w:val="24"/>
              <w:highlight w:val="none"/>
            </w:rPr>
            <w:fldChar w:fldCharType="end"/>
          </w:r>
        </w:p>
        <w:p>
          <w:pPr>
            <w:pStyle w:val="30"/>
            <w:tabs>
              <w:tab w:val="right" w:leader="dot" w:pos="8306"/>
            </w:tabs>
            <w:rPr>
              <w:b/>
              <w:sz w:val="24"/>
              <w:szCs w:val="24"/>
            </w:rPr>
          </w:pPr>
          <w:r>
            <w:rPr>
              <w:rFonts w:ascii="仿宋" w:hAnsi="仿宋" w:eastAsia="仿宋"/>
              <w:b/>
              <w:color w:val="auto"/>
              <w:sz w:val="24"/>
              <w:szCs w:val="24"/>
              <w:highlight w:val="none"/>
            </w:rPr>
            <w:fldChar w:fldCharType="begin"/>
          </w:r>
          <w:r>
            <w:rPr>
              <w:rFonts w:ascii="仿宋" w:hAnsi="仿宋" w:eastAsia="仿宋"/>
              <w:b/>
              <w:sz w:val="24"/>
              <w:szCs w:val="24"/>
              <w:highlight w:val="none"/>
            </w:rPr>
            <w:instrText xml:space="preserve"> HYPERLINK \l _Toc162 </w:instrText>
          </w:r>
          <w:r>
            <w:rPr>
              <w:rFonts w:ascii="仿宋" w:hAnsi="仿宋" w:eastAsia="仿宋"/>
              <w:b/>
              <w:sz w:val="24"/>
              <w:szCs w:val="24"/>
              <w:highlight w:val="none"/>
            </w:rPr>
            <w:fldChar w:fldCharType="separate"/>
          </w:r>
          <w:r>
            <w:rPr>
              <w:rFonts w:hint="eastAsia" w:ascii="黑体" w:hAnsi="黑体" w:eastAsia="黑体" w:cs="黑体"/>
              <w:b/>
              <w:sz w:val="24"/>
              <w:szCs w:val="24"/>
            </w:rPr>
            <w:t xml:space="preserve">第三部分 </w:t>
          </w:r>
          <w:r>
            <w:rPr>
              <w:rFonts w:hint="eastAsia" w:ascii="黑体" w:hAnsi="黑体" w:eastAsia="黑体"/>
              <w:b/>
              <w:sz w:val="24"/>
              <w:szCs w:val="24"/>
              <w:highlight w:val="none"/>
            </w:rPr>
            <w:t>名词解释</w:t>
          </w:r>
          <w:r>
            <w:rPr>
              <w:b/>
              <w:sz w:val="24"/>
              <w:szCs w:val="24"/>
            </w:rPr>
            <w:tab/>
          </w:r>
          <w:r>
            <w:rPr>
              <w:b/>
              <w:sz w:val="24"/>
              <w:szCs w:val="24"/>
            </w:rPr>
            <w:fldChar w:fldCharType="begin"/>
          </w:r>
          <w:r>
            <w:rPr>
              <w:b/>
              <w:sz w:val="24"/>
              <w:szCs w:val="24"/>
            </w:rPr>
            <w:instrText xml:space="preserve"> PAGEREF _Toc162 \h </w:instrText>
          </w:r>
          <w:r>
            <w:rPr>
              <w:b/>
              <w:sz w:val="24"/>
              <w:szCs w:val="24"/>
            </w:rPr>
            <w:fldChar w:fldCharType="separate"/>
          </w:r>
          <w:r>
            <w:rPr>
              <w:b/>
              <w:sz w:val="24"/>
              <w:szCs w:val="24"/>
            </w:rPr>
            <w:t>16</w:t>
          </w:r>
          <w:r>
            <w:rPr>
              <w:b/>
              <w:sz w:val="24"/>
              <w:szCs w:val="24"/>
            </w:rPr>
            <w:fldChar w:fldCharType="end"/>
          </w:r>
          <w:r>
            <w:rPr>
              <w:rFonts w:ascii="仿宋" w:hAnsi="仿宋" w:eastAsia="仿宋"/>
              <w:b/>
              <w:color w:val="auto"/>
              <w:sz w:val="24"/>
              <w:szCs w:val="24"/>
              <w:highlight w:val="none"/>
            </w:rPr>
            <w:fldChar w:fldCharType="end"/>
          </w:r>
        </w:p>
        <w:p>
          <w:pPr>
            <w:pStyle w:val="30"/>
            <w:tabs>
              <w:tab w:val="right" w:leader="dot" w:pos="8306"/>
            </w:tabs>
            <w:rPr>
              <w:b/>
              <w:sz w:val="24"/>
              <w:szCs w:val="24"/>
            </w:rPr>
          </w:pPr>
          <w:r>
            <w:rPr>
              <w:rFonts w:ascii="仿宋" w:hAnsi="仿宋" w:eastAsia="仿宋"/>
              <w:b/>
              <w:color w:val="auto"/>
              <w:sz w:val="24"/>
              <w:szCs w:val="24"/>
              <w:highlight w:val="none"/>
            </w:rPr>
            <w:fldChar w:fldCharType="begin"/>
          </w:r>
          <w:r>
            <w:rPr>
              <w:rFonts w:ascii="仿宋" w:hAnsi="仿宋" w:eastAsia="仿宋"/>
              <w:b/>
              <w:sz w:val="24"/>
              <w:szCs w:val="24"/>
              <w:highlight w:val="none"/>
            </w:rPr>
            <w:instrText xml:space="preserve"> HYPERLINK \l _Toc1320 </w:instrText>
          </w:r>
          <w:r>
            <w:rPr>
              <w:rFonts w:ascii="仿宋" w:hAnsi="仿宋" w:eastAsia="仿宋"/>
              <w:b/>
              <w:sz w:val="24"/>
              <w:szCs w:val="24"/>
              <w:highlight w:val="none"/>
            </w:rPr>
            <w:fldChar w:fldCharType="separate"/>
          </w:r>
          <w:r>
            <w:rPr>
              <w:rFonts w:hint="eastAsia" w:ascii="黑体" w:hAnsi="黑体" w:eastAsia="黑体"/>
              <w:b/>
              <w:sz w:val="24"/>
              <w:szCs w:val="24"/>
              <w:highlight w:val="none"/>
            </w:rPr>
            <w:t>第四部分 附件</w:t>
          </w:r>
          <w:r>
            <w:rPr>
              <w:b/>
              <w:sz w:val="24"/>
              <w:szCs w:val="24"/>
            </w:rPr>
            <w:tab/>
          </w:r>
          <w:r>
            <w:rPr>
              <w:b/>
              <w:sz w:val="24"/>
              <w:szCs w:val="24"/>
            </w:rPr>
            <w:fldChar w:fldCharType="begin"/>
          </w:r>
          <w:r>
            <w:rPr>
              <w:b/>
              <w:sz w:val="24"/>
              <w:szCs w:val="24"/>
            </w:rPr>
            <w:instrText xml:space="preserve"> PAGEREF _Toc1320 \h </w:instrText>
          </w:r>
          <w:r>
            <w:rPr>
              <w:b/>
              <w:sz w:val="24"/>
              <w:szCs w:val="24"/>
            </w:rPr>
            <w:fldChar w:fldCharType="separate"/>
          </w:r>
          <w:r>
            <w:rPr>
              <w:b/>
              <w:sz w:val="24"/>
              <w:szCs w:val="24"/>
            </w:rPr>
            <w:t>19</w:t>
          </w:r>
          <w:r>
            <w:rPr>
              <w:b/>
              <w:sz w:val="24"/>
              <w:szCs w:val="24"/>
            </w:rPr>
            <w:fldChar w:fldCharType="end"/>
          </w:r>
          <w:r>
            <w:rPr>
              <w:rFonts w:ascii="仿宋" w:hAnsi="仿宋" w:eastAsia="仿宋"/>
              <w:b/>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_Toc20822 </w:instrText>
          </w:r>
          <w:r>
            <w:rPr>
              <w:rFonts w:ascii="仿宋" w:hAnsi="仿宋" w:eastAsia="仿宋"/>
              <w:sz w:val="24"/>
              <w:szCs w:val="24"/>
              <w:highlight w:val="none"/>
            </w:rPr>
            <w:fldChar w:fldCharType="separate"/>
          </w:r>
          <w:r>
            <w:rPr>
              <w:rFonts w:hint="eastAsia" w:ascii="黑体" w:hAnsi="黑体" w:eastAsia="黑体" w:cs="黑体"/>
              <w:sz w:val="24"/>
              <w:szCs w:val="24"/>
              <w:highlight w:val="none"/>
            </w:rPr>
            <w:t>附件</w:t>
          </w:r>
          <w:r>
            <w:rPr>
              <w:sz w:val="24"/>
              <w:szCs w:val="24"/>
            </w:rPr>
            <w:tab/>
          </w:r>
          <w:r>
            <w:rPr>
              <w:sz w:val="24"/>
              <w:szCs w:val="24"/>
            </w:rPr>
            <w:fldChar w:fldCharType="begin"/>
          </w:r>
          <w:r>
            <w:rPr>
              <w:sz w:val="24"/>
              <w:szCs w:val="24"/>
            </w:rPr>
            <w:instrText xml:space="preserve"> PAGEREF _Toc20822 \h </w:instrText>
          </w:r>
          <w:r>
            <w:rPr>
              <w:sz w:val="24"/>
              <w:szCs w:val="24"/>
            </w:rPr>
            <w:fldChar w:fldCharType="separate"/>
          </w:r>
          <w:r>
            <w:rPr>
              <w:sz w:val="24"/>
              <w:szCs w:val="24"/>
            </w:rPr>
            <w:t>19</w:t>
          </w:r>
          <w:r>
            <w:rPr>
              <w:sz w:val="24"/>
              <w:szCs w:val="24"/>
            </w:rPr>
            <w:fldChar w:fldCharType="end"/>
          </w:r>
          <w:r>
            <w:rPr>
              <w:rFonts w:ascii="仿宋" w:hAnsi="仿宋" w:eastAsia="仿宋"/>
              <w:color w:val="auto"/>
              <w:sz w:val="24"/>
              <w:szCs w:val="24"/>
              <w:highlight w:val="none"/>
            </w:rPr>
            <w:fldChar w:fldCharType="end"/>
          </w:r>
        </w:p>
        <w:p>
          <w:pPr>
            <w:pStyle w:val="30"/>
            <w:tabs>
              <w:tab w:val="right" w:leader="dot" w:pos="8306"/>
            </w:tabs>
            <w:rPr>
              <w:b/>
              <w:sz w:val="24"/>
              <w:szCs w:val="24"/>
            </w:rPr>
          </w:pPr>
          <w:r>
            <w:rPr>
              <w:rFonts w:ascii="仿宋" w:hAnsi="仿宋" w:eastAsia="仿宋"/>
              <w:b/>
              <w:color w:val="auto"/>
              <w:sz w:val="24"/>
              <w:szCs w:val="24"/>
              <w:highlight w:val="none"/>
            </w:rPr>
            <w:fldChar w:fldCharType="begin"/>
          </w:r>
          <w:r>
            <w:rPr>
              <w:rFonts w:ascii="仿宋" w:hAnsi="仿宋" w:eastAsia="仿宋"/>
              <w:b/>
              <w:sz w:val="24"/>
              <w:szCs w:val="24"/>
              <w:highlight w:val="none"/>
            </w:rPr>
            <w:instrText xml:space="preserve"> HYPERLINK \l _Toc11770 </w:instrText>
          </w:r>
          <w:r>
            <w:rPr>
              <w:rFonts w:ascii="仿宋" w:hAnsi="仿宋" w:eastAsia="仿宋"/>
              <w:b/>
              <w:sz w:val="24"/>
              <w:szCs w:val="24"/>
              <w:highlight w:val="none"/>
            </w:rPr>
            <w:fldChar w:fldCharType="separate"/>
          </w:r>
          <w:r>
            <w:rPr>
              <w:rFonts w:hint="eastAsia" w:ascii="黑体" w:hAnsi="黑体" w:eastAsia="黑体"/>
              <w:b/>
              <w:sz w:val="24"/>
              <w:szCs w:val="24"/>
              <w:highlight w:val="none"/>
            </w:rPr>
            <w:t>第五部分 附表</w:t>
          </w:r>
          <w:r>
            <w:rPr>
              <w:b/>
              <w:sz w:val="24"/>
              <w:szCs w:val="24"/>
            </w:rPr>
            <w:tab/>
          </w:r>
          <w:r>
            <w:rPr>
              <w:b/>
              <w:sz w:val="24"/>
              <w:szCs w:val="24"/>
            </w:rPr>
            <w:fldChar w:fldCharType="begin"/>
          </w:r>
          <w:r>
            <w:rPr>
              <w:b/>
              <w:sz w:val="24"/>
              <w:szCs w:val="24"/>
            </w:rPr>
            <w:instrText xml:space="preserve"> PAGEREF _Toc11770 \h </w:instrText>
          </w:r>
          <w:r>
            <w:rPr>
              <w:b/>
              <w:sz w:val="24"/>
              <w:szCs w:val="24"/>
            </w:rPr>
            <w:fldChar w:fldCharType="separate"/>
          </w:r>
          <w:r>
            <w:rPr>
              <w:b/>
              <w:sz w:val="24"/>
              <w:szCs w:val="24"/>
            </w:rPr>
            <w:t>20</w:t>
          </w:r>
          <w:r>
            <w:rPr>
              <w:b/>
              <w:sz w:val="24"/>
              <w:szCs w:val="24"/>
            </w:rPr>
            <w:fldChar w:fldCharType="end"/>
          </w:r>
          <w:r>
            <w:rPr>
              <w:rFonts w:ascii="仿宋" w:hAnsi="仿宋" w:eastAsia="仿宋"/>
              <w:b/>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_Toc10549 </w:instrText>
          </w:r>
          <w:r>
            <w:rPr>
              <w:rFonts w:ascii="仿宋" w:hAnsi="仿宋" w:eastAsia="仿宋"/>
              <w:sz w:val="24"/>
              <w:szCs w:val="24"/>
              <w:highlight w:val="none"/>
            </w:rPr>
            <w:fldChar w:fldCharType="separate"/>
          </w:r>
          <w:r>
            <w:rPr>
              <w:rFonts w:hint="eastAsia" w:ascii="仿宋" w:hAnsi="仿宋" w:eastAsia="仿宋"/>
              <w:sz w:val="24"/>
              <w:szCs w:val="24"/>
              <w:highlight w:val="none"/>
            </w:rPr>
            <w:t>一、收</w:t>
          </w:r>
          <w:r>
            <w:rPr>
              <w:rFonts w:hint="eastAsia" w:ascii="仿宋" w:hAnsi="仿宋" w:eastAsia="仿宋"/>
              <w:bCs w:val="0"/>
              <w:sz w:val="24"/>
              <w:szCs w:val="24"/>
              <w:highlight w:val="none"/>
            </w:rPr>
            <w:t>入支出决算总表</w:t>
          </w:r>
          <w:r>
            <w:rPr>
              <w:sz w:val="24"/>
              <w:szCs w:val="24"/>
            </w:rPr>
            <w:tab/>
          </w:r>
          <w:r>
            <w:rPr>
              <w:sz w:val="24"/>
              <w:szCs w:val="24"/>
            </w:rPr>
            <w:fldChar w:fldCharType="begin"/>
          </w:r>
          <w:r>
            <w:rPr>
              <w:sz w:val="24"/>
              <w:szCs w:val="24"/>
            </w:rPr>
            <w:instrText xml:space="preserve"> PAGEREF _Toc10549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_Toc17917 </w:instrText>
          </w:r>
          <w:r>
            <w:rPr>
              <w:rFonts w:ascii="仿宋" w:hAnsi="仿宋" w:eastAsia="仿宋"/>
              <w:sz w:val="24"/>
              <w:szCs w:val="24"/>
              <w:highlight w:val="none"/>
            </w:rPr>
            <w:fldChar w:fldCharType="separate"/>
          </w:r>
          <w:r>
            <w:rPr>
              <w:rFonts w:hint="eastAsia" w:ascii="仿宋" w:hAnsi="仿宋" w:eastAsia="仿宋"/>
              <w:sz w:val="24"/>
              <w:szCs w:val="24"/>
              <w:highlight w:val="none"/>
            </w:rPr>
            <w:t>二、收</w:t>
          </w:r>
          <w:r>
            <w:rPr>
              <w:rFonts w:hint="eastAsia" w:ascii="仿宋" w:hAnsi="仿宋" w:eastAsia="仿宋"/>
              <w:bCs w:val="0"/>
              <w:sz w:val="24"/>
              <w:szCs w:val="24"/>
              <w:highlight w:val="none"/>
            </w:rPr>
            <w:t>入决算表</w:t>
          </w:r>
          <w:r>
            <w:rPr>
              <w:sz w:val="24"/>
              <w:szCs w:val="24"/>
            </w:rPr>
            <w:tab/>
          </w:r>
          <w:r>
            <w:rPr>
              <w:sz w:val="24"/>
              <w:szCs w:val="24"/>
            </w:rPr>
            <w:fldChar w:fldCharType="begin"/>
          </w:r>
          <w:r>
            <w:rPr>
              <w:sz w:val="24"/>
              <w:szCs w:val="24"/>
            </w:rPr>
            <w:instrText xml:space="preserve"> PAGEREF _Toc17917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_Toc15978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三、</w:t>
          </w:r>
          <w:r>
            <w:rPr>
              <w:rFonts w:hint="eastAsia" w:ascii="仿宋" w:hAnsi="仿宋" w:eastAsia="仿宋"/>
              <w:sz w:val="24"/>
              <w:szCs w:val="24"/>
              <w:highlight w:val="none"/>
            </w:rPr>
            <w:t>支</w:t>
          </w:r>
          <w:r>
            <w:rPr>
              <w:rFonts w:hint="eastAsia" w:ascii="仿宋" w:hAnsi="仿宋" w:eastAsia="仿宋"/>
              <w:bCs w:val="0"/>
              <w:sz w:val="24"/>
              <w:szCs w:val="24"/>
              <w:highlight w:val="none"/>
            </w:rPr>
            <w:t>出决算表</w:t>
          </w:r>
          <w:r>
            <w:rPr>
              <w:sz w:val="24"/>
              <w:szCs w:val="24"/>
            </w:rPr>
            <w:tab/>
          </w:r>
          <w:r>
            <w:rPr>
              <w:sz w:val="24"/>
              <w:szCs w:val="24"/>
            </w:rPr>
            <w:fldChar w:fldCharType="begin"/>
          </w:r>
          <w:r>
            <w:rPr>
              <w:sz w:val="24"/>
              <w:szCs w:val="24"/>
            </w:rPr>
            <w:instrText xml:space="preserve"> PAGEREF _Toc15978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_Toc14916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四、</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政拨款收入支出决算总表</w:t>
          </w:r>
          <w:r>
            <w:rPr>
              <w:sz w:val="24"/>
              <w:szCs w:val="24"/>
            </w:rPr>
            <w:tab/>
          </w:r>
          <w:r>
            <w:rPr>
              <w:sz w:val="24"/>
              <w:szCs w:val="24"/>
            </w:rPr>
            <w:fldChar w:fldCharType="begin"/>
          </w:r>
          <w:r>
            <w:rPr>
              <w:sz w:val="24"/>
              <w:szCs w:val="24"/>
            </w:rPr>
            <w:instrText xml:space="preserve"> PAGEREF _Toc14916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_Toc25353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五、</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政拨款支出决算明细表</w:t>
          </w:r>
          <w:r>
            <w:rPr>
              <w:sz w:val="24"/>
              <w:szCs w:val="24"/>
            </w:rPr>
            <w:tab/>
          </w:r>
          <w:r>
            <w:rPr>
              <w:sz w:val="24"/>
              <w:szCs w:val="24"/>
            </w:rPr>
            <w:fldChar w:fldCharType="begin"/>
          </w:r>
          <w:r>
            <w:rPr>
              <w:sz w:val="24"/>
              <w:szCs w:val="24"/>
            </w:rPr>
            <w:instrText xml:space="preserve"> PAGEREF _Toc25353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_Toc28849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六、</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般公共预算财政拨款支出决算表</w:t>
          </w:r>
          <w:r>
            <w:rPr>
              <w:sz w:val="24"/>
              <w:szCs w:val="24"/>
            </w:rPr>
            <w:tab/>
          </w:r>
          <w:r>
            <w:rPr>
              <w:sz w:val="24"/>
              <w:szCs w:val="24"/>
            </w:rPr>
            <w:fldChar w:fldCharType="begin"/>
          </w:r>
          <w:r>
            <w:rPr>
              <w:sz w:val="24"/>
              <w:szCs w:val="24"/>
            </w:rPr>
            <w:instrText xml:space="preserve"> PAGEREF _Toc28849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_Toc22784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七、</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般公共预算财政拨款支出决算明细表</w:t>
          </w:r>
          <w:r>
            <w:rPr>
              <w:sz w:val="24"/>
              <w:szCs w:val="24"/>
            </w:rPr>
            <w:tab/>
          </w:r>
          <w:r>
            <w:rPr>
              <w:sz w:val="24"/>
              <w:szCs w:val="24"/>
            </w:rPr>
            <w:fldChar w:fldCharType="begin"/>
          </w:r>
          <w:r>
            <w:rPr>
              <w:sz w:val="24"/>
              <w:szCs w:val="24"/>
            </w:rPr>
            <w:instrText xml:space="preserve"> PAGEREF _Toc22784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_Toc12462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八、</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般公共预算财政拨款基本支出决算表</w:t>
          </w:r>
          <w:r>
            <w:rPr>
              <w:sz w:val="24"/>
              <w:szCs w:val="24"/>
            </w:rPr>
            <w:tab/>
          </w:r>
          <w:r>
            <w:rPr>
              <w:sz w:val="24"/>
              <w:szCs w:val="24"/>
            </w:rPr>
            <w:fldChar w:fldCharType="begin"/>
          </w:r>
          <w:r>
            <w:rPr>
              <w:sz w:val="24"/>
              <w:szCs w:val="24"/>
            </w:rPr>
            <w:instrText xml:space="preserve"> PAGEREF _Toc12462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_Toc27263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九、</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般公共预算财政拨款项目支出决算表</w:t>
          </w:r>
          <w:r>
            <w:rPr>
              <w:sz w:val="24"/>
              <w:szCs w:val="24"/>
            </w:rPr>
            <w:tab/>
          </w:r>
          <w:r>
            <w:rPr>
              <w:sz w:val="24"/>
              <w:szCs w:val="24"/>
            </w:rPr>
            <w:fldChar w:fldCharType="begin"/>
          </w:r>
          <w:r>
            <w:rPr>
              <w:sz w:val="24"/>
              <w:szCs w:val="24"/>
            </w:rPr>
            <w:instrText xml:space="preserve"> PAGEREF _Toc27263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_Toc25201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十、</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般公共预算财政拨款“三公”经费支出决算表</w:t>
          </w:r>
          <w:r>
            <w:rPr>
              <w:sz w:val="24"/>
              <w:szCs w:val="24"/>
            </w:rPr>
            <w:tab/>
          </w:r>
          <w:r>
            <w:rPr>
              <w:sz w:val="24"/>
              <w:szCs w:val="24"/>
            </w:rPr>
            <w:fldChar w:fldCharType="begin"/>
          </w:r>
          <w:r>
            <w:rPr>
              <w:sz w:val="24"/>
              <w:szCs w:val="24"/>
            </w:rPr>
            <w:instrText xml:space="preserve"> PAGEREF _Toc25201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_Toc4765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十一、</w:t>
          </w:r>
          <w:r>
            <w:rPr>
              <w:rFonts w:hint="eastAsia" w:ascii="仿宋" w:hAnsi="仿宋" w:eastAsia="仿宋"/>
              <w:sz w:val="24"/>
              <w:szCs w:val="24"/>
              <w:highlight w:val="none"/>
            </w:rPr>
            <w:t>政</w:t>
          </w:r>
          <w:r>
            <w:rPr>
              <w:rFonts w:hint="eastAsia" w:ascii="仿宋" w:hAnsi="仿宋" w:eastAsia="仿宋"/>
              <w:bCs w:val="0"/>
              <w:sz w:val="24"/>
              <w:szCs w:val="24"/>
              <w:highlight w:val="none"/>
            </w:rPr>
            <w:t>府性基金预算财政拨款收入支出决算表</w:t>
          </w:r>
          <w:r>
            <w:rPr>
              <w:sz w:val="24"/>
              <w:szCs w:val="24"/>
            </w:rPr>
            <w:tab/>
          </w:r>
          <w:r>
            <w:rPr>
              <w:sz w:val="24"/>
              <w:szCs w:val="24"/>
            </w:rPr>
            <w:fldChar w:fldCharType="begin"/>
          </w:r>
          <w:r>
            <w:rPr>
              <w:sz w:val="24"/>
              <w:szCs w:val="24"/>
            </w:rPr>
            <w:instrText xml:space="preserve"> PAGEREF _Toc4765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_Toc24961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十二、</w:t>
          </w:r>
          <w:r>
            <w:rPr>
              <w:rFonts w:hint="eastAsia" w:ascii="仿宋" w:hAnsi="仿宋" w:eastAsia="仿宋"/>
              <w:sz w:val="24"/>
              <w:szCs w:val="24"/>
              <w:highlight w:val="none"/>
            </w:rPr>
            <w:t>政</w:t>
          </w:r>
          <w:r>
            <w:rPr>
              <w:rFonts w:hint="eastAsia" w:ascii="仿宋" w:hAnsi="仿宋" w:eastAsia="仿宋"/>
              <w:bCs w:val="0"/>
              <w:sz w:val="24"/>
              <w:szCs w:val="24"/>
              <w:highlight w:val="none"/>
            </w:rPr>
            <w:t>府性基金预算财政拨款“三公”经费支出决算表</w:t>
          </w:r>
          <w:r>
            <w:rPr>
              <w:sz w:val="24"/>
              <w:szCs w:val="24"/>
            </w:rPr>
            <w:tab/>
          </w:r>
          <w:r>
            <w:rPr>
              <w:sz w:val="24"/>
              <w:szCs w:val="24"/>
            </w:rPr>
            <w:fldChar w:fldCharType="begin"/>
          </w:r>
          <w:r>
            <w:rPr>
              <w:sz w:val="24"/>
              <w:szCs w:val="24"/>
            </w:rPr>
            <w:instrText xml:space="preserve"> PAGEREF _Toc24961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_Toc8272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rPr>
            <w:t>十三、</w:t>
          </w:r>
          <w:r>
            <w:rPr>
              <w:rFonts w:hint="eastAsia" w:ascii="仿宋" w:hAnsi="仿宋" w:eastAsia="仿宋"/>
              <w:sz w:val="24"/>
              <w:szCs w:val="24"/>
              <w:highlight w:val="none"/>
            </w:rPr>
            <w:t>国</w:t>
          </w:r>
          <w:r>
            <w:rPr>
              <w:rFonts w:hint="eastAsia" w:ascii="仿宋" w:hAnsi="仿宋" w:eastAsia="仿宋"/>
              <w:bCs w:val="0"/>
              <w:sz w:val="24"/>
              <w:szCs w:val="24"/>
              <w:highlight w:val="none"/>
            </w:rPr>
            <w:t>有资本经营预算</w:t>
          </w:r>
          <w:r>
            <w:rPr>
              <w:rFonts w:hint="eastAsia" w:ascii="仿宋" w:hAnsi="仿宋" w:eastAsia="仿宋"/>
              <w:bCs w:val="0"/>
              <w:sz w:val="24"/>
              <w:szCs w:val="24"/>
              <w:highlight w:val="none"/>
              <w:lang w:eastAsia="zh-CN"/>
            </w:rPr>
            <w:t>财政拨款收入</w:t>
          </w:r>
          <w:r>
            <w:rPr>
              <w:rFonts w:hint="eastAsia" w:ascii="仿宋" w:hAnsi="仿宋" w:eastAsia="仿宋"/>
              <w:bCs w:val="0"/>
              <w:sz w:val="24"/>
              <w:szCs w:val="24"/>
              <w:highlight w:val="none"/>
            </w:rPr>
            <w:t>支出决算表</w:t>
          </w:r>
          <w:r>
            <w:rPr>
              <w:sz w:val="24"/>
              <w:szCs w:val="24"/>
            </w:rPr>
            <w:tab/>
          </w:r>
          <w:r>
            <w:rPr>
              <w:sz w:val="24"/>
              <w:szCs w:val="24"/>
            </w:rPr>
            <w:fldChar w:fldCharType="begin"/>
          </w:r>
          <w:r>
            <w:rPr>
              <w:sz w:val="24"/>
              <w:szCs w:val="24"/>
            </w:rPr>
            <w:instrText xml:space="preserve"> PAGEREF _Toc8272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pStyle w:val="31"/>
            <w:tabs>
              <w:tab w:val="right" w:leader="dot" w:pos="8306"/>
            </w:tabs>
            <w:rPr>
              <w:sz w:val="24"/>
              <w:szCs w:val="24"/>
            </w:rPr>
          </w:pPr>
          <w:r>
            <w:rPr>
              <w:rFonts w:ascii="仿宋" w:hAnsi="仿宋" w:eastAsia="仿宋"/>
              <w:color w:val="auto"/>
              <w:sz w:val="24"/>
              <w:szCs w:val="24"/>
              <w:highlight w:val="none"/>
            </w:rPr>
            <w:fldChar w:fldCharType="begin"/>
          </w:r>
          <w:r>
            <w:rPr>
              <w:rFonts w:ascii="仿宋" w:hAnsi="仿宋" w:eastAsia="仿宋"/>
              <w:sz w:val="24"/>
              <w:szCs w:val="24"/>
              <w:highlight w:val="none"/>
            </w:rPr>
            <w:instrText xml:space="preserve"> HYPERLINK \l _Toc17503 </w:instrText>
          </w:r>
          <w:r>
            <w:rPr>
              <w:rFonts w:ascii="仿宋" w:hAnsi="仿宋" w:eastAsia="仿宋"/>
              <w:sz w:val="24"/>
              <w:szCs w:val="24"/>
              <w:highlight w:val="none"/>
            </w:rPr>
            <w:fldChar w:fldCharType="separate"/>
          </w:r>
          <w:r>
            <w:rPr>
              <w:rFonts w:hint="eastAsia" w:ascii="仿宋" w:hAnsi="仿宋" w:eastAsia="仿宋"/>
              <w:bCs w:val="0"/>
              <w:sz w:val="24"/>
              <w:szCs w:val="24"/>
              <w:highlight w:val="none"/>
              <w:lang w:eastAsia="zh-CN"/>
            </w:rPr>
            <w:t>十四、国有资本经营预算财政拨款支出决算表</w:t>
          </w:r>
          <w:r>
            <w:rPr>
              <w:sz w:val="24"/>
              <w:szCs w:val="24"/>
            </w:rPr>
            <w:tab/>
          </w:r>
          <w:r>
            <w:rPr>
              <w:sz w:val="24"/>
              <w:szCs w:val="24"/>
            </w:rPr>
            <w:fldChar w:fldCharType="begin"/>
          </w:r>
          <w:r>
            <w:rPr>
              <w:sz w:val="24"/>
              <w:szCs w:val="24"/>
            </w:rPr>
            <w:instrText xml:space="preserve"> PAGEREF _Toc17503 \h </w:instrText>
          </w:r>
          <w:r>
            <w:rPr>
              <w:sz w:val="24"/>
              <w:szCs w:val="24"/>
            </w:rPr>
            <w:fldChar w:fldCharType="separate"/>
          </w:r>
          <w:r>
            <w:rPr>
              <w:sz w:val="24"/>
              <w:szCs w:val="24"/>
            </w:rPr>
            <w:t>20</w:t>
          </w:r>
          <w:r>
            <w:rPr>
              <w:sz w:val="24"/>
              <w:szCs w:val="24"/>
            </w:rPr>
            <w:fldChar w:fldCharType="end"/>
          </w:r>
          <w:r>
            <w:rPr>
              <w:rFonts w:ascii="仿宋" w:hAnsi="仿宋" w:eastAsia="仿宋"/>
              <w:color w:val="auto"/>
              <w:sz w:val="24"/>
              <w:szCs w:val="24"/>
              <w:highlight w:val="none"/>
            </w:rPr>
            <w:fldChar w:fldCharType="end"/>
          </w:r>
        </w:p>
        <w:p>
          <w:pPr>
            <w:widowControl/>
            <w:adjustRightInd w:val="0"/>
            <w:snapToGrid w:val="0"/>
            <w:spacing w:line="440" w:lineRule="exact"/>
            <w:ind w:firstLine="1321" w:firstLineChars="550"/>
            <w:jc w:val="left"/>
            <w:rPr>
              <w:rFonts w:ascii="仿宋" w:hAnsi="仿宋" w:eastAsia="仿宋"/>
              <w:color w:val="auto"/>
              <w:sz w:val="24"/>
              <w:szCs w:val="24"/>
              <w:highlight w:val="none"/>
            </w:rPr>
          </w:pPr>
          <w:r>
            <w:rPr>
              <w:rFonts w:ascii="仿宋" w:hAnsi="仿宋" w:eastAsia="仿宋"/>
              <w:b/>
              <w:color w:val="auto"/>
              <w:sz w:val="24"/>
              <w:szCs w:val="24"/>
              <w:highlight w:val="none"/>
            </w:rPr>
            <w:fldChar w:fldCharType="end"/>
          </w:r>
        </w:p>
      </w:sdtContent>
    </w:sdt>
    <w:p>
      <w:pPr>
        <w:widowControl/>
        <w:spacing w:line="440" w:lineRule="exact"/>
        <w:jc w:val="left"/>
        <w:rPr>
          <w:rFonts w:ascii="仿宋" w:hAnsi="仿宋" w:eastAsia="仿宋"/>
          <w:bCs/>
          <w:color w:val="auto"/>
          <w:kern w:val="44"/>
          <w:sz w:val="24"/>
          <w:highlight w:val="none"/>
        </w:rPr>
      </w:pPr>
      <w:bookmarkStart w:id="14" w:name="_Toc15396599"/>
      <w:bookmarkStart w:id="15" w:name="_Toc15377196"/>
      <w:r>
        <w:rPr>
          <w:rFonts w:ascii="仿宋" w:hAnsi="仿宋" w:eastAsia="仿宋"/>
          <w:b/>
          <w:color w:val="auto"/>
          <w:sz w:val="24"/>
          <w:highlight w:val="none"/>
        </w:rPr>
        <w:br w:type="page"/>
      </w:r>
    </w:p>
    <w:p>
      <w:pPr>
        <w:pStyle w:val="3"/>
        <w:jc w:val="center"/>
        <w:rPr>
          <w:rStyle w:val="24"/>
          <w:rFonts w:ascii="黑体" w:hAnsi="黑体" w:eastAsia="黑体"/>
          <w:b/>
          <w:bCs w:val="0"/>
          <w:color w:val="auto"/>
          <w:highlight w:val="none"/>
        </w:rPr>
      </w:pPr>
      <w:bookmarkStart w:id="16" w:name="_Toc8916"/>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4"/>
      <w:bookmarkEnd w:id="15"/>
      <w:bookmarkEnd w:id="16"/>
    </w:p>
    <w:p>
      <w:pPr>
        <w:widowControl/>
        <w:jc w:val="left"/>
        <w:rPr>
          <w:rFonts w:ascii="黑体" w:eastAsia="黑体"/>
          <w:color w:val="auto"/>
          <w:sz w:val="32"/>
          <w:szCs w:val="32"/>
          <w:highlight w:val="none"/>
        </w:rPr>
      </w:pPr>
    </w:p>
    <w:p>
      <w:pPr>
        <w:pStyle w:val="4"/>
        <w:numPr>
          <w:ilvl w:val="0"/>
          <w:numId w:val="0"/>
        </w:numPr>
        <w:rPr>
          <w:rStyle w:val="25"/>
          <w:rFonts w:hint="eastAsia" w:ascii="黑体" w:hAnsi="黑体" w:eastAsia="黑体"/>
          <w:b w:val="0"/>
          <w:bCs w:val="0"/>
          <w:color w:val="auto"/>
          <w:highlight w:val="none"/>
          <w:lang w:eastAsia="zh-CN"/>
        </w:rPr>
      </w:pPr>
      <w:bookmarkStart w:id="17" w:name="_Toc29171"/>
      <w:bookmarkStart w:id="18" w:name="_Toc15396600"/>
      <w:bookmarkStart w:id="19" w:name="_Toc15377197"/>
      <w:r>
        <w:rPr>
          <w:rStyle w:val="25"/>
          <w:rFonts w:hint="eastAsia" w:ascii="黑体" w:hAnsi="黑体" w:eastAsia="黑体"/>
          <w:b w:val="0"/>
          <w:bCs w:val="0"/>
          <w:color w:val="auto"/>
          <w:highlight w:val="none"/>
          <w:lang w:eastAsia="zh-CN"/>
        </w:rPr>
        <w:t>一、</w:t>
      </w:r>
      <w:r>
        <w:rPr>
          <w:rStyle w:val="25"/>
          <w:rFonts w:hint="eastAsia" w:ascii="黑体" w:hAnsi="黑体" w:eastAsia="黑体"/>
          <w:b w:val="0"/>
          <w:bCs w:val="0"/>
          <w:color w:val="auto"/>
          <w:highlight w:val="none"/>
        </w:rPr>
        <w:t>职能</w:t>
      </w:r>
      <w:r>
        <w:rPr>
          <w:rStyle w:val="25"/>
          <w:rFonts w:hint="eastAsia" w:ascii="黑体" w:hAnsi="黑体" w:eastAsia="黑体"/>
          <w:b w:val="0"/>
          <w:bCs w:val="0"/>
          <w:color w:val="auto"/>
          <w:highlight w:val="none"/>
          <w:lang w:eastAsia="zh-CN"/>
        </w:rPr>
        <w:t>简介</w:t>
      </w:r>
      <w:bookmarkEnd w:id="17"/>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峨边彝族自治县新林镇中心卫生院是财政补助事业单位，属于峨边卫生系统管理的的公益一类事业单位。其主要职责：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w:t>
      </w:r>
    </w:p>
    <w:p>
      <w:pPr>
        <w:pStyle w:val="4"/>
        <w:numPr>
          <w:ilvl w:val="0"/>
          <w:numId w:val="0"/>
        </w:numPr>
        <w:rPr>
          <w:rFonts w:hint="eastAsia" w:ascii="黑体" w:hAnsi="黑体" w:eastAsia="黑体"/>
          <w:b w:val="0"/>
          <w:color w:val="auto"/>
          <w:highlight w:val="none"/>
        </w:rPr>
      </w:pPr>
      <w:bookmarkStart w:id="20" w:name="_Toc16384"/>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8"/>
      <w:bookmarkEnd w:id="19"/>
      <w:r>
        <w:rPr>
          <w:rFonts w:hint="eastAsia" w:ascii="黑体" w:hAnsi="黑体" w:eastAsia="黑体"/>
          <w:b w:val="0"/>
          <w:color w:val="auto"/>
          <w:highlight w:val="none"/>
          <w:lang w:eastAsia="zh-CN"/>
        </w:rPr>
        <w:t>完成情况</w:t>
      </w:r>
      <w:bookmarkEnd w:id="20"/>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2021年，我院在县委县政府的正确领导下、在县卫健局的正确指引下、在新林镇党委政府的关心与支持下，较好的完成了本年度工作。我院攻坚克难、科学谋划、求真务实、加班加点，以脱贫攻坚为主突破口，基本医疗为保障，取得了良好的社会效益。现将全年工作总结如下：</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我们把全面完成好国家基本、重大公共卫生服务项目，尤其是儿童预防接种、艾滋病筛查、专染病防控、妇幼卫生、卫生应急等工作作为首要任务来抓。</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1.健康教育工作。本年度我院开展了12次健康教育知识讲座，利用各个宣传日开展了9次健康咨询。 更新宣传栏次数6次。</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2.老年人健康管理工作。登记管理65岁及以上老年1854人。其中本年度共体检499人，并按要求录入居民电子健康档案系统。  </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开展高血压、2型糖尿病等慢性病的随访管理、康复指导工作，掌握我辖区高血压、2型糖尿病等慢性病发病、死亡和现患情况。登记管理高血压患者为499人。糖尿病患者管理82人，均按要求录入居民电子健康档案系统。    </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4.依据《传染病防治法》《传染病信息报告管理规范》以及传染病报告与处理规范要求，建立健全了传染病报告管理制度。采取多种形式对我辖区居民进行传染病防治知识的宣传教育，提高了社区居民传染病防治知识的知晓率。    </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5.0-6岁儿童健康管理工作。对于辖区内的新生儿，进行至少2次访视，并为辖区内婴幼儿建立儿童保健手册，开展儿童健康管理。借助打预防针之余对3、6、8、12、18、24、30、36月龄时的儿童进行随访等健康指导。</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6.孕产妇健康管理工作。为孕产妇建立保健手册。对孕产妇进行孕期保健服务，其中包括一般的体格检查、孕期营养、心理等健康指导。对辖区内产妇分娩3-7天内进行1次产后访视，了解产后恢复情况并对产后的常见问题进行指导，也做好了产后42天得健康检查。  </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7.预防接种管理。我院专门成立防保科，并有专人负责，为辖区内的0-6岁儿童建立预防接种证和预防接种卡等儿童预防接种档案。定期对辖区内儿童的预防接种卡进行核查和整理。为适龄儿童按规定全程接种一类疫苗，包括乙肝疫苗、卡介苗、脊髓灰质疫苗、百白破疫苗、白破疫苗、麻风疫苗、乙脑疫苗等。定期开展查漏补种工作。  </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8.重性精神疾病患者管理。我院再管患者共63人，均已建立档案，并随访督导服药。</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9.肺结核管理；在管患者共21人，均已建立档案，并每月对患者进行随访督导服药。</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10.加强卫生应急能力建设：继续搞好突发公共卫生事件的预防与控制，健全应急工作机制，完善工作程序，加大培训演练力度，做到有备无患，忙而不乱；</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11.做好传染病等重大疾病防控：有效控制突发急性传染病的发生蔓延，加大对艾滋病、禽流感等重点传染病的防控力度；做好国家免疫规划常规免疫和消除麻疹工作，加强疫苗管理，落实表、簿、帐、卡、册的管理，保持无脊灰状态；发现乙类、丙类传染病及检测病例1 例，年内未发现甲类传染病；</w:t>
      </w:r>
    </w:p>
    <w:p>
      <w:pPr>
        <w:widowControl/>
        <w:ind w:left="0" w:lef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12.为全乡居民建立规范化电子健康档案16013人，建档率达100%；</w:t>
      </w:r>
    </w:p>
    <w:p>
      <w:pPr>
        <w:widowControl/>
        <w:ind w:left="0" w:leftChars="0" w:firstLine="640" w:firstLineChars="200"/>
        <w:jc w:val="left"/>
        <w:rPr>
          <w:rFonts w:ascii="仿宋" w:hAnsi="仿宋" w:eastAsia="仿宋"/>
          <w:color w:val="auto"/>
          <w:kern w:val="0"/>
          <w:sz w:val="32"/>
          <w:szCs w:val="32"/>
          <w:highlight w:val="none"/>
        </w:rPr>
      </w:pPr>
      <w:r>
        <w:rPr>
          <w:rFonts w:hint="eastAsia" w:ascii="仿宋" w:hAnsi="仿宋" w:eastAsia="仿宋"/>
          <w:color w:val="auto"/>
          <w:sz w:val="32"/>
          <w:szCs w:val="32"/>
          <w:highlight w:val="none"/>
        </w:rPr>
        <w:t>13.加强了卫生监督检查力度，积极开展公共场所巡查，配合县卫生监督所打击非法行医。</w:t>
      </w:r>
      <w:r>
        <w:rPr>
          <w:rFonts w:ascii="仿宋" w:hAnsi="仿宋" w:eastAsia="仿宋"/>
          <w:color w:val="auto"/>
          <w:sz w:val="32"/>
          <w:szCs w:val="32"/>
          <w:highlight w:val="none"/>
        </w:rPr>
        <w:br w:type="page"/>
      </w:r>
    </w:p>
    <w:p>
      <w:pPr>
        <w:pStyle w:val="3"/>
        <w:ind w:right="440"/>
        <w:jc w:val="center"/>
        <w:rPr>
          <w:rStyle w:val="24"/>
          <w:rFonts w:ascii="黑体" w:hAnsi="黑体" w:eastAsia="黑体"/>
          <w:b w:val="0"/>
          <w:bCs/>
          <w:color w:val="auto"/>
          <w:highlight w:val="none"/>
        </w:rPr>
      </w:pPr>
      <w:bookmarkStart w:id="21" w:name="_Toc15377204"/>
      <w:bookmarkStart w:id="22" w:name="_Toc15396602"/>
      <w:bookmarkStart w:id="23" w:name="_Toc30031"/>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21"/>
      <w:bookmarkEnd w:id="22"/>
      <w:bookmarkEnd w:id="23"/>
    </w:p>
    <w:p>
      <w:pPr>
        <w:rPr>
          <w:color w:val="auto"/>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4" w:name="_Toc15377205"/>
      <w:bookmarkStart w:id="25" w:name="_Toc16880"/>
      <w:bookmarkStart w:id="26" w:name="_Toc15396603"/>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24"/>
      <w:bookmarkEnd w:id="25"/>
      <w:bookmarkEnd w:id="26"/>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年度收、支总计365.9</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154.57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73.14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卫生院合并，预算收支较上年有较大增长。</w:t>
      </w:r>
    </w:p>
    <w:p>
      <w:pPr>
        <w:pStyle w:val="2"/>
        <w:jc w:val="center"/>
        <w:rPr>
          <w:rFonts w:hint="default"/>
          <w:lang w:val="en-US" w:eastAsia="zh-CN"/>
        </w:rPr>
      </w:pPr>
      <w:r>
        <w:drawing>
          <wp:inline distT="0" distB="0" distL="114300" distR="114300">
            <wp:extent cx="4562475" cy="2905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7" w:name="_Toc15396604"/>
      <w:bookmarkStart w:id="28" w:name="_Toc30097"/>
      <w:bookmarkStart w:id="29" w:name="_Toc15377206"/>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7"/>
      <w:bookmarkEnd w:id="28"/>
      <w:bookmarkEnd w:id="29"/>
    </w:p>
    <w:p>
      <w:pPr>
        <w:spacing w:line="600" w:lineRule="exact"/>
        <w:ind w:firstLine="640" w:firstLineChars="200"/>
        <w:outlineLvl w:val="1"/>
        <w:rPr>
          <w:rFonts w:ascii="仿宋" w:hAnsi="仿宋" w:eastAsia="仿宋"/>
          <w:color w:val="auto"/>
          <w:sz w:val="32"/>
          <w:szCs w:val="32"/>
          <w:highlight w:val="none"/>
        </w:rPr>
      </w:pPr>
      <w:bookmarkStart w:id="30" w:name="_Toc12428"/>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年本年收入合计359.9</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万元，其中：一般公共预算财政拨款收入286.01万元，占</w:t>
      </w:r>
      <w:r>
        <w:rPr>
          <w:rFonts w:hint="eastAsia" w:ascii="仿宋" w:hAnsi="仿宋" w:eastAsia="仿宋"/>
          <w:color w:val="auto"/>
          <w:sz w:val="32"/>
          <w:szCs w:val="32"/>
          <w:highlight w:val="none"/>
          <w:lang w:val="en-US" w:eastAsia="zh-CN"/>
        </w:rPr>
        <w:t>79.47</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72.45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20.13</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1.44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0.40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0"/>
    </w:p>
    <w:p>
      <w:pPr>
        <w:spacing w:line="240" w:lineRule="auto"/>
        <w:ind w:firstLine="0" w:firstLineChars="0"/>
        <w:jc w:val="center"/>
        <w:outlineLvl w:val="9"/>
        <w:rPr>
          <w:rFonts w:ascii="仿宋" w:hAnsi="仿宋" w:eastAsia="仿宋"/>
          <w:color w:val="auto"/>
          <w:sz w:val="32"/>
          <w:szCs w:val="32"/>
          <w:highlight w:val="none"/>
        </w:rPr>
      </w:pPr>
      <w:r>
        <w:drawing>
          <wp:inline distT="0" distB="0" distL="114300" distR="114300">
            <wp:extent cx="4562475" cy="2914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562475" cy="2914650"/>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31" w:name="_Toc5366"/>
      <w:bookmarkStart w:id="32" w:name="_Toc15377207"/>
      <w:bookmarkStart w:id="33" w:name="_Toc15396605"/>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31"/>
      <w:bookmarkEnd w:id="32"/>
      <w:bookmarkEnd w:id="33"/>
    </w:p>
    <w:p>
      <w:pPr>
        <w:spacing w:line="600" w:lineRule="exact"/>
        <w:ind w:firstLine="640" w:firstLineChars="200"/>
        <w:outlineLvl w:val="1"/>
        <w:rPr>
          <w:rFonts w:ascii="仿宋" w:hAnsi="仿宋" w:eastAsia="仿宋"/>
          <w:color w:val="auto"/>
          <w:sz w:val="32"/>
          <w:szCs w:val="32"/>
          <w:highlight w:val="none"/>
        </w:rPr>
      </w:pPr>
      <w:bookmarkStart w:id="34" w:name="_Toc26176"/>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年本年支出合计365.9</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万元，其中：基本支出365.90万元，占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4"/>
    </w:p>
    <w:p>
      <w:pPr>
        <w:spacing w:line="240" w:lineRule="auto"/>
        <w:ind w:firstLine="0"/>
        <w:jc w:val="center"/>
        <w:rPr>
          <w:rFonts w:ascii="仿宋" w:hAnsi="仿宋" w:eastAsia="仿宋"/>
          <w:color w:val="auto"/>
          <w:sz w:val="32"/>
          <w:szCs w:val="32"/>
          <w:highlight w:val="none"/>
          <w:shd w:val="pct10" w:color="auto" w:fill="FFFFFF"/>
        </w:rPr>
      </w:pPr>
      <w:r>
        <w:drawing>
          <wp:inline distT="0" distB="0" distL="114300" distR="114300">
            <wp:extent cx="4562475" cy="29051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35" w:name="_Toc15396606"/>
      <w:bookmarkStart w:id="36" w:name="_Toc15377208"/>
      <w:bookmarkStart w:id="37" w:name="_Toc6152"/>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35"/>
      <w:bookmarkEnd w:id="36"/>
      <w:bookmarkEnd w:id="37"/>
    </w:p>
    <w:p>
      <w:pPr>
        <w:spacing w:line="600" w:lineRule="exact"/>
        <w:ind w:firstLine="640"/>
        <w:rPr>
          <w:rFonts w:hint="default" w:ascii="仿宋" w:hAnsi="仿宋" w:eastAsia="仿宋"/>
          <w:b/>
          <w:color w:val="auto"/>
          <w:sz w:val="32"/>
          <w:szCs w:val="32"/>
          <w:highlight w:val="none"/>
          <w:lang w:val="en-US"/>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年财政拨款收、支总计286.01万元。与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100.48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54.16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卫生院合并，财政预算收支均有较大增长。</w:t>
      </w:r>
    </w:p>
    <w:p>
      <w:pPr>
        <w:spacing w:line="240" w:lineRule="auto"/>
        <w:jc w:val="center"/>
        <w:rPr>
          <w:rFonts w:ascii="仿宋" w:hAnsi="仿宋" w:eastAsia="仿宋"/>
          <w:color w:val="auto"/>
          <w:sz w:val="32"/>
          <w:szCs w:val="32"/>
          <w:highlight w:val="none"/>
        </w:rPr>
      </w:pPr>
      <w:r>
        <w:drawing>
          <wp:inline distT="0" distB="0" distL="114300" distR="114300">
            <wp:extent cx="4562475" cy="2905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38" w:name="_Toc15377209"/>
      <w:bookmarkStart w:id="39" w:name="_Toc15396607"/>
      <w:bookmarkStart w:id="40" w:name="_Toc5754"/>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38"/>
      <w:bookmarkEnd w:id="39"/>
      <w:bookmarkEnd w:id="40"/>
    </w:p>
    <w:p>
      <w:pPr>
        <w:spacing w:line="600" w:lineRule="exact"/>
        <w:ind w:firstLine="640" w:firstLineChars="200"/>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年一般公共预算财政拨款支出286.01万元，占本年支出合计的</w:t>
      </w:r>
      <w:r>
        <w:rPr>
          <w:rFonts w:hint="eastAsia" w:ascii="仿宋" w:hAnsi="仿宋" w:eastAsia="仿宋"/>
          <w:color w:val="auto"/>
          <w:sz w:val="32"/>
          <w:szCs w:val="32"/>
          <w:highlight w:val="none"/>
          <w:lang w:val="en-US" w:eastAsia="zh-CN"/>
        </w:rPr>
        <w:t>78.17</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100.48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54.16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。主要变动原因是卫生院合并，财政预算</w:t>
      </w:r>
      <w:r>
        <w:rPr>
          <w:rFonts w:hint="eastAsia" w:ascii="仿宋" w:hAnsi="仿宋" w:eastAsia="仿宋"/>
          <w:color w:val="auto"/>
          <w:sz w:val="32"/>
          <w:szCs w:val="32"/>
          <w:highlight w:val="none"/>
          <w:lang w:val="en-US" w:eastAsia="zh-CN"/>
        </w:rPr>
        <w:t>支出</w:t>
      </w:r>
      <w:r>
        <w:rPr>
          <w:rFonts w:hint="eastAsia" w:ascii="仿宋" w:hAnsi="仿宋" w:eastAsia="仿宋"/>
          <w:color w:val="auto"/>
          <w:sz w:val="32"/>
          <w:szCs w:val="32"/>
          <w:highlight w:val="none"/>
        </w:rPr>
        <w:t>均有较大增长。</w:t>
      </w:r>
    </w:p>
    <w:p>
      <w:pPr>
        <w:spacing w:line="240" w:lineRule="auto"/>
        <w:ind w:firstLine="0" w:firstLineChars="0"/>
        <w:jc w:val="center"/>
        <w:rPr>
          <w:rFonts w:ascii="仿宋" w:hAnsi="仿宋" w:eastAsia="仿宋"/>
          <w:color w:val="auto"/>
          <w:sz w:val="32"/>
          <w:szCs w:val="32"/>
          <w:highlight w:val="none"/>
        </w:rPr>
      </w:pPr>
      <w:r>
        <w:drawing>
          <wp:inline distT="0" distB="0" distL="114300" distR="114300">
            <wp:extent cx="4562475" cy="2905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562475" cy="29051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0" w:firstLineChars="200"/>
        <w:outlineLvl w:val="2"/>
        <w:rPr>
          <w:rFonts w:ascii="仿宋" w:hAnsi="仿宋" w:eastAsia="仿宋"/>
          <w:b/>
          <w:color w:val="auto"/>
          <w:sz w:val="32"/>
          <w:szCs w:val="32"/>
          <w:highlight w:val="none"/>
        </w:rPr>
      </w:pPr>
      <w:bookmarkStart w:id="42" w:name="_Toc15377211"/>
      <w:r>
        <w:rPr>
          <w:rFonts w:hint="eastAsia" w:ascii="仿宋" w:hAnsi="仿宋" w:eastAsia="仿宋"/>
          <w:b/>
          <w:color w:val="auto"/>
          <w:sz w:val="32"/>
          <w:szCs w:val="32"/>
          <w:highlight w:val="none"/>
        </w:rPr>
        <w:t>（二）一般公共预算财政拨款支出决算结构情况</w:t>
      </w:r>
      <w:bookmarkEnd w:id="42"/>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年一般公共预算财政拨款支出286.01万元，主要用于以下方面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支出35.52万元，占</w:t>
      </w:r>
      <w:r>
        <w:rPr>
          <w:rFonts w:hint="eastAsia" w:ascii="仿宋" w:hAnsi="仿宋" w:eastAsia="仿宋"/>
          <w:color w:val="auto"/>
          <w:sz w:val="32"/>
          <w:szCs w:val="32"/>
          <w:highlight w:val="none"/>
          <w:lang w:val="en-US" w:eastAsia="zh-CN"/>
        </w:rPr>
        <w:t>12.42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227.91万元，占</w:t>
      </w:r>
      <w:r>
        <w:rPr>
          <w:rFonts w:hint="eastAsia" w:ascii="仿宋" w:hAnsi="仿宋" w:eastAsia="仿宋"/>
          <w:color w:val="auto"/>
          <w:sz w:val="32"/>
          <w:szCs w:val="32"/>
          <w:highlight w:val="none"/>
          <w:lang w:val="en-US" w:eastAsia="zh-CN"/>
        </w:rPr>
        <w:t>79.69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22.58万元，占</w:t>
      </w:r>
      <w:r>
        <w:rPr>
          <w:rFonts w:hint="eastAsia" w:ascii="仿宋" w:hAnsi="仿宋" w:eastAsia="仿宋"/>
          <w:color w:val="auto"/>
          <w:sz w:val="32"/>
          <w:szCs w:val="32"/>
          <w:highlight w:val="none"/>
          <w:lang w:val="en-US" w:eastAsia="zh-CN"/>
        </w:rPr>
        <w:t>7.89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240" w:lineRule="auto"/>
        <w:ind w:firstLine="0"/>
        <w:jc w:val="center"/>
        <w:rPr>
          <w:rFonts w:ascii="仿宋" w:hAnsi="仿宋" w:eastAsia="仿宋"/>
          <w:color w:val="auto"/>
          <w:sz w:val="32"/>
          <w:szCs w:val="32"/>
          <w:highlight w:val="none"/>
        </w:rPr>
      </w:pPr>
      <w:r>
        <w:drawing>
          <wp:inline distT="0" distB="0" distL="114300" distR="114300">
            <wp:extent cx="4552950" cy="29146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552950" cy="2914650"/>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0" w:firstLineChars="200"/>
        <w:outlineLvl w:val="2"/>
        <w:rPr>
          <w:rFonts w:ascii="仿宋" w:hAnsi="仿宋" w:eastAsia="仿宋"/>
          <w:b/>
          <w:color w:val="auto"/>
          <w:sz w:val="32"/>
          <w:szCs w:val="32"/>
          <w:highlight w:val="none"/>
        </w:rPr>
      </w:pPr>
      <w:bookmarkStart w:id="43" w:name="_Toc15377212"/>
      <w:r>
        <w:rPr>
          <w:rFonts w:hint="eastAsia" w:ascii="仿宋" w:hAnsi="仿宋" w:eastAsia="仿宋"/>
          <w:b/>
          <w:color w:val="auto"/>
          <w:sz w:val="32"/>
          <w:szCs w:val="32"/>
          <w:highlight w:val="none"/>
        </w:rPr>
        <w:t>（三）一般公共预算财政拨款支出决算具体情况</w:t>
      </w:r>
      <w:bookmarkEnd w:id="43"/>
    </w:p>
    <w:p>
      <w:pPr>
        <w:spacing w:line="600" w:lineRule="exact"/>
        <w:ind w:firstLine="640" w:firstLineChars="200"/>
        <w:outlineLvl w:val="1"/>
        <w:rPr>
          <w:rFonts w:ascii="仿宋" w:hAnsi="仿宋" w:eastAsia="仿宋"/>
          <w:color w:val="auto"/>
          <w:sz w:val="32"/>
          <w:szCs w:val="32"/>
          <w:highlight w:val="none"/>
        </w:rPr>
      </w:pPr>
      <w:bookmarkStart w:id="44" w:name="_Toc9295"/>
      <w:bookmarkStart w:id="45" w:name="_Toc15377444"/>
      <w:bookmarkStart w:id="46" w:name="_Toc15377213"/>
      <w:bookmarkStart w:id="47"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286.01万元</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44"/>
      <w:bookmarkEnd w:id="45"/>
      <w:bookmarkEnd w:id="46"/>
      <w:bookmarkEnd w:id="47"/>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1.社会保障和就业（类）行政事业单位养老支出（款）机关事业单位基本养老保险缴费支出（项）: 支出决算为21.2</w:t>
      </w:r>
      <w:r>
        <w:rPr>
          <w:rStyle w:val="14"/>
          <w:rFonts w:hint="eastAsia" w:ascii="仿宋" w:hAnsi="仿宋" w:eastAsia="仿宋"/>
          <w:bCs/>
          <w:color w:val="auto"/>
          <w:sz w:val="32"/>
          <w:szCs w:val="32"/>
          <w:highlight w:val="none"/>
          <w:lang w:val="en-US" w:eastAsia="zh-CN"/>
        </w:rPr>
        <w:t>0</w:t>
      </w:r>
      <w:r>
        <w:rPr>
          <w:rStyle w:val="14"/>
          <w:rFonts w:hint="eastAsia" w:ascii="仿宋" w:hAnsi="仿宋" w:eastAsia="仿宋"/>
          <w:bCs/>
          <w:color w:val="auto"/>
          <w:sz w:val="32"/>
          <w:szCs w:val="32"/>
          <w:highlight w:val="none"/>
        </w:rPr>
        <w:t>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rPr>
        <w:t>2.社会保障和就业（类）行政事业单位养老支出（款）机关事业单位职业年金缴费支出（项）: 支出决算为9.86万元，完成预算100%。</w:t>
      </w:r>
    </w:p>
    <w:p>
      <w:pPr>
        <w:spacing w:line="600" w:lineRule="exact"/>
        <w:ind w:firstLine="640" w:firstLineChars="200"/>
        <w:rPr>
          <w:rFonts w:hint="eastAsia"/>
        </w:rPr>
      </w:pPr>
      <w:r>
        <w:rPr>
          <w:rStyle w:val="14"/>
          <w:rFonts w:hint="eastAsia" w:ascii="仿宋" w:hAnsi="仿宋" w:eastAsia="仿宋"/>
          <w:bCs/>
          <w:color w:val="auto"/>
          <w:sz w:val="32"/>
          <w:szCs w:val="32"/>
          <w:highlight w:val="none"/>
        </w:rPr>
        <w:t>3.社会保障和就业（类）其他社会保障和就业支出（款）其他社会保障和就业支出（项）: 支出决算为4.46万元，完成预算100%。</w:t>
      </w:r>
    </w:p>
    <w:p>
      <w:pPr>
        <w:spacing w:line="600" w:lineRule="exact"/>
        <w:ind w:firstLine="640" w:firstLineChars="200"/>
        <w:rPr>
          <w:rFonts w:hint="eastAsia"/>
        </w:rPr>
      </w:pPr>
      <w:r>
        <w:rPr>
          <w:rStyle w:val="14"/>
          <w:rFonts w:hint="eastAsia" w:ascii="仿宋" w:hAnsi="仿宋" w:eastAsia="仿宋"/>
          <w:bCs/>
          <w:color w:val="auto"/>
          <w:sz w:val="32"/>
          <w:szCs w:val="32"/>
          <w:highlight w:val="none"/>
          <w:lang w:val="en-US" w:eastAsia="zh-CN"/>
        </w:rPr>
        <w:t>4</w:t>
      </w:r>
      <w:r>
        <w:rPr>
          <w:rStyle w:val="14"/>
          <w:rFonts w:hint="eastAsia" w:ascii="仿宋" w:hAnsi="仿宋" w:eastAsia="仿宋"/>
          <w:bCs/>
          <w:color w:val="auto"/>
          <w:sz w:val="32"/>
          <w:szCs w:val="32"/>
          <w:highlight w:val="none"/>
        </w:rPr>
        <w:t>.卫生健康（类）卫生健康管理事务（款）其他卫生健康管理事务支出（项）:支出决算为</w:t>
      </w:r>
      <w:r>
        <w:rPr>
          <w:rStyle w:val="14"/>
          <w:rFonts w:hint="eastAsia" w:ascii="仿宋" w:hAnsi="仿宋" w:eastAsia="仿宋"/>
          <w:bCs/>
          <w:color w:val="auto"/>
          <w:sz w:val="32"/>
          <w:szCs w:val="32"/>
          <w:highlight w:val="none"/>
          <w:lang w:val="en-US" w:eastAsia="zh-CN"/>
        </w:rPr>
        <w:t>2.07</w:t>
      </w:r>
      <w:r>
        <w:rPr>
          <w:rStyle w:val="14"/>
          <w:rFonts w:hint="eastAsia" w:ascii="仿宋" w:hAnsi="仿宋" w:eastAsia="仿宋"/>
          <w:bCs/>
          <w:color w:val="auto"/>
          <w:sz w:val="32"/>
          <w:szCs w:val="32"/>
          <w:highlight w:val="none"/>
        </w:rPr>
        <w:t>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lang w:val="en-US" w:eastAsia="zh-CN"/>
        </w:rPr>
        <w:t>5</w:t>
      </w:r>
      <w:r>
        <w:rPr>
          <w:rStyle w:val="14"/>
          <w:rFonts w:hint="eastAsia" w:ascii="仿宋" w:hAnsi="仿宋" w:eastAsia="仿宋"/>
          <w:bCs/>
          <w:color w:val="auto"/>
          <w:sz w:val="32"/>
          <w:szCs w:val="32"/>
          <w:highlight w:val="none"/>
        </w:rPr>
        <w:t>.卫生健康（类）基层医疗卫生机构（款）乡镇卫生院（项）:支出决算为</w:t>
      </w:r>
      <w:r>
        <w:rPr>
          <w:rStyle w:val="14"/>
          <w:rFonts w:hint="eastAsia" w:ascii="仿宋" w:hAnsi="仿宋" w:eastAsia="仿宋"/>
          <w:bCs/>
          <w:color w:val="auto"/>
          <w:sz w:val="32"/>
          <w:szCs w:val="32"/>
          <w:highlight w:val="none"/>
          <w:lang w:val="en-US" w:eastAsia="zh-CN"/>
        </w:rPr>
        <w:t>208.38</w:t>
      </w:r>
      <w:r>
        <w:rPr>
          <w:rStyle w:val="14"/>
          <w:rFonts w:hint="eastAsia" w:ascii="仿宋" w:hAnsi="仿宋" w:eastAsia="仿宋"/>
          <w:bCs/>
          <w:color w:val="auto"/>
          <w:sz w:val="32"/>
          <w:szCs w:val="32"/>
          <w:highlight w:val="none"/>
        </w:rPr>
        <w:t>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lang w:val="en-US" w:eastAsia="zh-CN"/>
        </w:rPr>
        <w:t>6</w:t>
      </w:r>
      <w:r>
        <w:rPr>
          <w:rStyle w:val="14"/>
          <w:rFonts w:hint="eastAsia" w:ascii="仿宋" w:hAnsi="仿宋" w:eastAsia="仿宋"/>
          <w:bCs/>
          <w:color w:val="auto"/>
          <w:sz w:val="32"/>
          <w:szCs w:val="32"/>
          <w:highlight w:val="none"/>
        </w:rPr>
        <w:t>.卫生健康（类）基层医疗卫生机构（款）其他基层医疗卫生机构支出（项）:支出决算为</w:t>
      </w:r>
      <w:r>
        <w:rPr>
          <w:rStyle w:val="14"/>
          <w:rFonts w:hint="eastAsia" w:ascii="仿宋" w:hAnsi="仿宋" w:eastAsia="仿宋"/>
          <w:bCs/>
          <w:color w:val="auto"/>
          <w:sz w:val="32"/>
          <w:szCs w:val="32"/>
          <w:highlight w:val="none"/>
          <w:lang w:val="en-US" w:eastAsia="zh-CN"/>
        </w:rPr>
        <w:t>7.91</w:t>
      </w:r>
      <w:r>
        <w:rPr>
          <w:rStyle w:val="14"/>
          <w:rFonts w:hint="eastAsia" w:ascii="仿宋" w:hAnsi="仿宋" w:eastAsia="仿宋"/>
          <w:bCs/>
          <w:color w:val="auto"/>
          <w:sz w:val="32"/>
          <w:szCs w:val="32"/>
          <w:highlight w:val="none"/>
        </w:rPr>
        <w:t>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lang w:val="en-US" w:eastAsia="zh-CN"/>
        </w:rPr>
        <w:t>7</w:t>
      </w:r>
      <w:r>
        <w:rPr>
          <w:rStyle w:val="14"/>
          <w:rFonts w:hint="eastAsia" w:ascii="仿宋" w:hAnsi="仿宋" w:eastAsia="仿宋"/>
          <w:bCs/>
          <w:color w:val="auto"/>
          <w:sz w:val="32"/>
          <w:szCs w:val="32"/>
          <w:highlight w:val="none"/>
        </w:rPr>
        <w:t>.卫生健康（类）行政事业单位医疗（款）事业单位医疗（项）:支出决算为</w:t>
      </w:r>
      <w:r>
        <w:rPr>
          <w:rStyle w:val="14"/>
          <w:rFonts w:hint="eastAsia" w:ascii="仿宋" w:hAnsi="仿宋" w:eastAsia="仿宋"/>
          <w:bCs/>
          <w:color w:val="auto"/>
          <w:sz w:val="32"/>
          <w:szCs w:val="32"/>
          <w:highlight w:val="none"/>
          <w:lang w:val="en-US" w:eastAsia="zh-CN"/>
        </w:rPr>
        <w:t>8.17</w:t>
      </w:r>
      <w:r>
        <w:rPr>
          <w:rStyle w:val="14"/>
          <w:rFonts w:hint="eastAsia" w:ascii="仿宋" w:hAnsi="仿宋" w:eastAsia="仿宋"/>
          <w:bCs/>
          <w:color w:val="auto"/>
          <w:sz w:val="32"/>
          <w:szCs w:val="32"/>
          <w:highlight w:val="none"/>
        </w:rPr>
        <w:t>万元，完成预算100%。</w:t>
      </w:r>
    </w:p>
    <w:p>
      <w:pPr>
        <w:spacing w:line="600" w:lineRule="exact"/>
        <w:ind w:firstLine="640" w:firstLineChars="200"/>
        <w:rPr>
          <w:rStyle w:val="14"/>
          <w:rFonts w:hint="eastAsia" w:ascii="仿宋" w:hAnsi="仿宋" w:eastAsia="仿宋"/>
          <w:bCs/>
          <w:color w:val="auto"/>
          <w:sz w:val="32"/>
          <w:szCs w:val="32"/>
          <w:highlight w:val="none"/>
        </w:rPr>
      </w:pPr>
      <w:r>
        <w:rPr>
          <w:rStyle w:val="14"/>
          <w:rFonts w:hint="eastAsia" w:ascii="仿宋" w:hAnsi="仿宋" w:eastAsia="仿宋"/>
          <w:bCs/>
          <w:color w:val="auto"/>
          <w:sz w:val="32"/>
          <w:szCs w:val="32"/>
          <w:highlight w:val="none"/>
          <w:lang w:val="en-US" w:eastAsia="zh-CN"/>
        </w:rPr>
        <w:t>8</w:t>
      </w:r>
      <w:r>
        <w:rPr>
          <w:rStyle w:val="14"/>
          <w:rFonts w:hint="eastAsia" w:ascii="仿宋" w:hAnsi="仿宋" w:eastAsia="仿宋"/>
          <w:bCs/>
          <w:color w:val="auto"/>
          <w:sz w:val="32"/>
          <w:szCs w:val="32"/>
          <w:highlight w:val="none"/>
        </w:rPr>
        <w:t>.卫生健康（类）行政事业单位医疗（款）公务员医疗补助（项）:支出决算为1.38万元，完成预算100%。</w:t>
      </w:r>
    </w:p>
    <w:p>
      <w:pPr>
        <w:spacing w:line="600" w:lineRule="exact"/>
        <w:ind w:firstLine="640"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9</w:t>
      </w:r>
      <w:r>
        <w:rPr>
          <w:rStyle w:val="14"/>
          <w:rFonts w:hint="eastAsia" w:ascii="仿宋" w:hAnsi="仿宋" w:eastAsia="仿宋"/>
          <w:bCs/>
          <w:color w:val="auto"/>
          <w:sz w:val="32"/>
          <w:szCs w:val="32"/>
          <w:highlight w:val="none"/>
        </w:rPr>
        <w:t>.住房保障支出（类）住房改革支出（款）住房公积金（项）:支出决算为</w:t>
      </w:r>
      <w:r>
        <w:rPr>
          <w:rStyle w:val="14"/>
          <w:rFonts w:hint="eastAsia" w:ascii="仿宋" w:hAnsi="仿宋" w:eastAsia="仿宋"/>
          <w:bCs/>
          <w:color w:val="auto"/>
          <w:sz w:val="32"/>
          <w:szCs w:val="32"/>
          <w:highlight w:val="none"/>
          <w:lang w:val="en-US" w:eastAsia="zh-CN"/>
        </w:rPr>
        <w:t>22.58</w:t>
      </w:r>
      <w:r>
        <w:rPr>
          <w:rStyle w:val="14"/>
          <w:rFonts w:hint="eastAsia" w:ascii="仿宋" w:hAnsi="仿宋" w:eastAsia="仿宋"/>
          <w:bCs/>
          <w:color w:val="auto"/>
          <w:sz w:val="32"/>
          <w:szCs w:val="32"/>
          <w:highlight w:val="none"/>
        </w:rPr>
        <w:t>万元，完成预算100%。</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25"/>
          <w:color w:val="auto"/>
          <w:highlight w:val="none"/>
        </w:rPr>
      </w:pPr>
      <w:bookmarkStart w:id="48" w:name="_Toc15377214"/>
      <w:bookmarkStart w:id="49" w:name="_Toc15396608"/>
      <w:bookmarkStart w:id="50" w:name="_Toc30655"/>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48"/>
      <w:bookmarkEnd w:id="49"/>
      <w:bookmarkEnd w:id="50"/>
      <w:r>
        <w:rPr>
          <w:rStyle w:val="2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年一般公共预算财政拨款基本支出286.01万元，其中：</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人员经费277.02万元，主要包括：基本工资、津贴补贴、伙食补助费、绩效工资、机关事业单位基本养老保险缴费、职业年金缴费、职工基本医疗保险缴费</w:t>
      </w:r>
      <w:r>
        <w:rPr>
          <w:rFonts w:hint="eastAsia" w:ascii="仿宋" w:hAnsi="仿宋" w:eastAsia="仿宋"/>
          <w:color w:val="auto"/>
          <w:sz w:val="32"/>
          <w:szCs w:val="32"/>
          <w:highlight w:val="none"/>
          <w:lang w:eastAsia="zh-CN"/>
        </w:rPr>
        <w:t>、公务员医疗补助缴费、</w:t>
      </w:r>
      <w:r>
        <w:rPr>
          <w:rFonts w:hint="eastAsia" w:ascii="仿宋" w:hAnsi="仿宋" w:eastAsia="仿宋"/>
          <w:color w:val="auto"/>
          <w:sz w:val="32"/>
          <w:szCs w:val="32"/>
          <w:highlight w:val="none"/>
        </w:rPr>
        <w:t>其他社会保障缴费、住房公积金、其他工资福利支出、生活补助等。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公用经费8.99万元，主要包括：公务接待费、工会经费、福利费等。</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25"/>
          <w:rFonts w:ascii="黑体" w:hAnsi="黑体" w:eastAsia="黑体"/>
          <w:b w:val="0"/>
          <w:color w:val="auto"/>
          <w:highlight w:val="none"/>
        </w:rPr>
      </w:pPr>
      <w:bookmarkStart w:id="51" w:name="_Toc15396609"/>
      <w:bookmarkStart w:id="52" w:name="_Toc32085"/>
      <w:bookmarkStart w:id="53" w:name="_Toc15377215"/>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51"/>
      <w:bookmarkEnd w:id="52"/>
      <w:bookmarkEnd w:id="53"/>
    </w:p>
    <w:p>
      <w:pPr>
        <w:spacing w:line="600" w:lineRule="exact"/>
        <w:ind w:firstLine="640"/>
        <w:outlineLvl w:val="2"/>
        <w:rPr>
          <w:rFonts w:ascii="仿宋" w:hAnsi="仿宋" w:eastAsia="仿宋"/>
          <w:b/>
          <w:color w:val="auto"/>
          <w:sz w:val="32"/>
          <w:szCs w:val="32"/>
          <w:highlight w:val="none"/>
        </w:rPr>
      </w:pPr>
      <w:bookmarkStart w:id="54" w:name="_Toc15377216"/>
      <w:r>
        <w:rPr>
          <w:rFonts w:hint="eastAsia" w:ascii="仿宋" w:hAnsi="仿宋" w:eastAsia="仿宋"/>
          <w:b/>
          <w:color w:val="auto"/>
          <w:sz w:val="32"/>
          <w:szCs w:val="32"/>
          <w:highlight w:val="none"/>
        </w:rPr>
        <w:t>（一）“三公”经费财政拨款支出决算总体情况说明</w:t>
      </w:r>
      <w:bookmarkEnd w:id="54"/>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0.24</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，决算数与预算数持平的主要原因是</w:t>
      </w:r>
      <w:r>
        <w:rPr>
          <w:rFonts w:hint="eastAsia" w:ascii="仿宋" w:hAnsi="仿宋" w:eastAsia="仿宋"/>
          <w:color w:val="auto"/>
          <w:sz w:val="32"/>
          <w:szCs w:val="32"/>
          <w:highlight w:val="none"/>
          <w:lang w:val="en-US" w:eastAsia="zh-CN"/>
        </w:rPr>
        <w:t>合理安排三公经费</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55" w:name="_Toc15377217"/>
      <w:r>
        <w:rPr>
          <w:rFonts w:hint="eastAsia" w:ascii="仿宋" w:hAnsi="仿宋" w:eastAsia="仿宋"/>
          <w:b/>
          <w:color w:val="auto"/>
          <w:sz w:val="32"/>
          <w:szCs w:val="32"/>
          <w:highlight w:val="none"/>
        </w:rPr>
        <w:t>（二）“三公”经费财政拨款支出决算具体情况说明</w:t>
      </w:r>
      <w:bookmarkEnd w:id="55"/>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0.24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jc w:val="center"/>
      </w:pPr>
      <w:r>
        <w:drawing>
          <wp:inline distT="0" distB="0" distL="114300" distR="114300">
            <wp:extent cx="4552950" cy="2905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4552950" cy="2905125"/>
                    </a:xfrm>
                    <a:prstGeom prst="rect">
                      <a:avLst/>
                    </a:prstGeom>
                    <a:noFill/>
                    <a:ln>
                      <a:noFill/>
                    </a:ln>
                  </pic:spPr>
                </pic:pic>
              </a:graphicData>
            </a:graphic>
          </wp:inline>
        </w:drawing>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开展业务工作</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0.24</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0.24</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2020年因疫情原因，全年无公务接待费支出</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万元，主要用于开展业务活动开支的交通费、住宿费、用餐费等)。国内公务接待</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35</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0.24</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，具体内容包括：接受上级部门疫情防控督导检查等</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9"/>
        <w:rPr>
          <w:rFonts w:ascii="黑体" w:eastAsia="黑体"/>
          <w:color w:val="auto"/>
          <w:sz w:val="32"/>
          <w:szCs w:val="32"/>
          <w:highlight w:val="none"/>
        </w:rPr>
      </w:pPr>
      <w:bookmarkStart w:id="56" w:name="_Toc15377218"/>
      <w:bookmarkStart w:id="57" w:name="_Toc15396610"/>
    </w:p>
    <w:p>
      <w:pPr>
        <w:spacing w:line="600" w:lineRule="exact"/>
        <w:ind w:firstLine="640"/>
        <w:outlineLvl w:val="1"/>
        <w:rPr>
          <w:rStyle w:val="25"/>
          <w:rFonts w:ascii="黑体" w:hAnsi="黑体" w:eastAsia="黑体"/>
          <w:color w:val="auto"/>
          <w:highlight w:val="none"/>
        </w:rPr>
      </w:pPr>
      <w:bookmarkStart w:id="58" w:name="_Toc18639"/>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56"/>
      <w:bookmarkEnd w:id="57"/>
      <w:bookmarkEnd w:id="58"/>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2"/>
        </w:numPr>
        <w:spacing w:line="600" w:lineRule="exact"/>
        <w:ind w:firstLine="640"/>
        <w:outlineLvl w:val="1"/>
        <w:rPr>
          <w:rStyle w:val="25"/>
          <w:rFonts w:ascii="黑体" w:hAnsi="黑体" w:eastAsia="黑体"/>
          <w:b w:val="0"/>
          <w:color w:val="auto"/>
          <w:highlight w:val="none"/>
        </w:rPr>
      </w:pPr>
      <w:bookmarkStart w:id="59" w:name="_Toc15377219"/>
      <w:bookmarkStart w:id="60" w:name="_Toc15396611"/>
      <w:bookmarkStart w:id="61" w:name="_Toc32218"/>
      <w:r>
        <w:rPr>
          <w:rStyle w:val="25"/>
          <w:rFonts w:hint="eastAsia" w:ascii="黑体" w:hAnsi="黑体" w:eastAsia="黑体"/>
          <w:b w:val="0"/>
          <w:color w:val="auto"/>
          <w:highlight w:val="none"/>
        </w:rPr>
        <w:t>国有资本经营预算支出决算情况说明</w:t>
      </w:r>
      <w:bookmarkEnd w:id="59"/>
      <w:bookmarkEnd w:id="60"/>
      <w:bookmarkEnd w:id="6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2"/>
        </w:numPr>
        <w:spacing w:line="600" w:lineRule="exact"/>
        <w:ind w:firstLine="640"/>
        <w:outlineLvl w:val="1"/>
        <w:rPr>
          <w:rStyle w:val="25"/>
          <w:rFonts w:hint="eastAsia" w:ascii="黑体" w:hAnsi="黑体" w:eastAsia="黑体"/>
          <w:b w:val="0"/>
          <w:color w:val="auto"/>
          <w:highlight w:val="none"/>
        </w:rPr>
      </w:pPr>
      <w:bookmarkStart w:id="62" w:name="_Toc15396612"/>
      <w:bookmarkStart w:id="63" w:name="_Toc21442"/>
      <w:bookmarkStart w:id="64" w:name="_Toc15377221"/>
      <w:r>
        <w:rPr>
          <w:rStyle w:val="25"/>
          <w:rFonts w:hint="eastAsia" w:ascii="黑体" w:hAnsi="黑体" w:eastAsia="黑体"/>
          <w:b w:val="0"/>
          <w:color w:val="auto"/>
          <w:highlight w:val="none"/>
        </w:rPr>
        <w:t>其他重要事项的情况说明</w:t>
      </w:r>
      <w:bookmarkEnd w:id="62"/>
      <w:bookmarkEnd w:id="63"/>
      <w:bookmarkEnd w:id="64"/>
    </w:p>
    <w:p>
      <w:pPr>
        <w:spacing w:line="600" w:lineRule="exact"/>
        <w:ind w:firstLine="640" w:firstLineChars="200"/>
        <w:outlineLvl w:val="2"/>
        <w:rPr>
          <w:rFonts w:ascii="仿宋" w:hAnsi="仿宋" w:eastAsia="仿宋"/>
          <w:color w:val="auto"/>
          <w:sz w:val="32"/>
          <w:szCs w:val="32"/>
          <w:highlight w:val="none"/>
        </w:rPr>
      </w:pPr>
      <w:bookmarkStart w:id="65" w:name="_Toc15377222"/>
      <w:r>
        <w:rPr>
          <w:rFonts w:hint="eastAsia" w:ascii="仿宋" w:hAnsi="仿宋" w:eastAsia="仿宋"/>
          <w:b/>
          <w:color w:val="auto"/>
          <w:sz w:val="32"/>
          <w:szCs w:val="32"/>
          <w:highlight w:val="none"/>
        </w:rPr>
        <w:t>（一）机关运行经费支出情况</w:t>
      </w:r>
      <w:bookmarkEnd w:id="65"/>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年，峨边彝族自治县新林镇中心卫生院机关运行经费支出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与2020年决算数持平</w:t>
      </w:r>
      <w:r>
        <w:rPr>
          <w:rFonts w:hint="eastAsia" w:ascii="仿宋_GB2312" w:eastAsia="仿宋_GB2312"/>
          <w:color w:val="auto"/>
          <w:sz w:val="32"/>
          <w:szCs w:val="32"/>
          <w:highlight w:val="none"/>
        </w:rPr>
        <w:t>。</w:t>
      </w:r>
    </w:p>
    <w:p>
      <w:pP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66" w:name="_Toc15377223"/>
      <w:r>
        <w:rPr>
          <w:rFonts w:hint="eastAsia" w:ascii="仿宋" w:hAnsi="仿宋" w:eastAsia="仿宋"/>
          <w:b/>
          <w:color w:val="auto"/>
          <w:sz w:val="32"/>
          <w:szCs w:val="32"/>
          <w:highlight w:val="none"/>
        </w:rPr>
        <w:t>（二）政府采购支出情况</w:t>
      </w:r>
      <w:bookmarkEnd w:id="6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年，峨边彝族自治县新林镇中心卫生院政府采购支出总额</w:t>
      </w:r>
      <w:r>
        <w:rPr>
          <w:rFonts w:hint="eastAsia" w:ascii="仿宋_GB2312" w:eastAsia="仿宋_GB2312"/>
          <w:color w:val="auto"/>
          <w:sz w:val="32"/>
          <w:szCs w:val="32"/>
          <w:highlight w:val="none"/>
          <w:lang w:val="en-US" w:eastAsia="zh-CN"/>
        </w:rPr>
        <w:t>1.35</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1.35</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开展医疗业务工作</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67" w:name="_Toc15377224"/>
      <w:r>
        <w:rPr>
          <w:rFonts w:hint="eastAsia" w:ascii="仿宋" w:hAnsi="仿宋" w:eastAsia="仿宋"/>
          <w:b/>
          <w:color w:val="auto"/>
          <w:sz w:val="32"/>
          <w:szCs w:val="32"/>
          <w:highlight w:val="none"/>
        </w:rPr>
        <w:t>（三）国有资产占有使用情况</w:t>
      </w:r>
      <w:bookmarkEnd w:id="67"/>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日，峨边彝族自治县新林镇中心卫生院共有车辆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0"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根据预算绩效管理要求，本单位在2021年度预算编制阶段，无项目支出预算，因此未开展项目绩效评价工作。</w:t>
      </w:r>
    </w:p>
    <w:p>
      <w:pPr>
        <w:autoSpaceDE w:val="0"/>
        <w:autoSpaceDN w:val="0"/>
        <w:adjustRightInd w:val="0"/>
        <w:spacing w:line="600" w:lineRule="exact"/>
        <w:ind w:firstLine="640" w:firstLineChars="200"/>
        <w:jc w:val="both"/>
        <w:rPr>
          <w:rFonts w:ascii="仿宋" w:hAnsi="仿宋" w:eastAsia="仿宋"/>
          <w:b/>
          <w:bCs w:val="0"/>
          <w:color w:val="auto"/>
          <w:sz w:val="32"/>
          <w:szCs w:val="32"/>
          <w:highlight w:val="none"/>
        </w:rPr>
      </w:pPr>
    </w:p>
    <w:p>
      <w:pPr>
        <w:numPr>
          <w:ilvl w:val="0"/>
          <w:numId w:val="3"/>
        </w:numPr>
        <w:spacing w:line="600" w:lineRule="exact"/>
        <w:ind w:firstLine="660" w:firstLineChars="150"/>
        <w:jc w:val="center"/>
        <w:outlineLvl w:val="0"/>
        <w:rPr>
          <w:rStyle w:val="24"/>
          <w:rFonts w:ascii="黑体" w:hAnsi="黑体" w:eastAsia="黑体"/>
          <w:b w:val="0"/>
          <w:color w:val="auto"/>
          <w:highlight w:val="none"/>
        </w:rPr>
      </w:pPr>
      <w:bookmarkStart w:id="68" w:name="_Toc15377225"/>
      <w:bookmarkStart w:id="69" w:name="_Toc15396613"/>
      <w:bookmarkStart w:id="70" w:name="_Toc162"/>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68"/>
      <w:bookmarkEnd w:id="69"/>
      <w:bookmarkEnd w:id="70"/>
    </w:p>
    <w:p>
      <w:pPr>
        <w:spacing w:line="600" w:lineRule="exact"/>
        <w:jc w:val="left"/>
        <w:rPr>
          <w:rFonts w:ascii="宋体"/>
          <w:b/>
          <w:color w:val="auto"/>
          <w:sz w:val="44"/>
          <w:szCs w:val="44"/>
          <w:highlight w:val="none"/>
        </w:rPr>
      </w:pP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ascii="仿宋_GB2312" w:hAnsi="Calibri" w:eastAsia="仿宋_GB2312" w:cs="仿宋"/>
          <w:color w:val="000000"/>
          <w:sz w:val="32"/>
          <w:szCs w:val="32"/>
          <w:lang w:val="en-US" w:eastAsia="zh-CN" w:bidi="ar-SA"/>
        </w:rPr>
        <w:t>1.</w:t>
      </w:r>
      <w:r>
        <w:rPr>
          <w:rFonts w:hint="eastAsia" w:ascii="仿宋_GB2312" w:hAnsi="Calibri" w:eastAsia="仿宋_GB2312" w:cs="仿宋"/>
          <w:color w:val="000000"/>
          <w:sz w:val="32"/>
          <w:szCs w:val="32"/>
          <w:lang w:val="en-US" w:eastAsia="zh-CN" w:bidi="ar-SA"/>
        </w:rPr>
        <w:t>财政拨款收入：指单位从同级财政部门取得的财政预算资金。</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ascii="仿宋_GB2312" w:hAnsi="Calibri" w:eastAsia="仿宋_GB2312" w:cs="仿宋"/>
          <w:color w:val="000000"/>
          <w:sz w:val="32"/>
          <w:szCs w:val="32"/>
          <w:lang w:val="en-US" w:eastAsia="zh-CN" w:bidi="ar-SA"/>
        </w:rPr>
        <w:t>2.</w:t>
      </w:r>
      <w:r>
        <w:rPr>
          <w:rFonts w:hint="eastAsia" w:ascii="仿宋_GB2312" w:hAnsi="Calibri" w:eastAsia="仿宋_GB2312" w:cs="仿宋"/>
          <w:color w:val="000000"/>
          <w:sz w:val="32"/>
          <w:szCs w:val="32"/>
          <w:lang w:val="en-US" w:eastAsia="zh-CN" w:bidi="ar-SA"/>
        </w:rPr>
        <w:t>事业收入：指事业单位开展专业业务活动及辅助活动取得的收入。如卫生院医疗收入等。</w:t>
      </w:r>
      <w:r>
        <w:rPr>
          <w:rFonts w:ascii="仿宋_GB2312" w:hAnsi="Calibri" w:eastAsia="仿宋_GB2312" w:cs="仿宋"/>
          <w:color w:val="000000"/>
          <w:sz w:val="32"/>
          <w:szCs w:val="32"/>
          <w:lang w:val="en-US" w:eastAsia="zh-CN" w:bidi="ar-SA"/>
        </w:rPr>
        <w:t xml:space="preserve"> </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3</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hAnsi="Calibri" w:eastAsia="仿宋_GB2312" w:cs="仿宋"/>
          <w:color w:val="000000"/>
          <w:sz w:val="32"/>
          <w:szCs w:val="32"/>
          <w:lang w:val="en-US" w:eastAsia="zh-CN" w:bidi="ar-SA"/>
        </w:rPr>
        <w:t xml:space="preserve"> </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4</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年初结转和结余：指以前年度尚未完成、结转到本年按有关规定继续使用的资金。</w:t>
      </w:r>
      <w:r>
        <w:rPr>
          <w:rFonts w:ascii="仿宋_GB2312" w:hAnsi="Calibri" w:eastAsia="仿宋_GB2312" w:cs="仿宋"/>
          <w:color w:val="000000"/>
          <w:sz w:val="32"/>
          <w:szCs w:val="32"/>
          <w:lang w:val="en-US" w:eastAsia="zh-CN" w:bidi="ar-SA"/>
        </w:rPr>
        <w:t xml:space="preserve"> </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5</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结余分配：指事业单位按照事业单位会计制度的规定从非财政补助结余中分配的事业基金和职工福利基金等。</w:t>
      </w:r>
    </w:p>
    <w:p>
      <w:pPr>
        <w:widowControl w:val="0"/>
        <w:autoSpaceDE w:val="0"/>
        <w:autoSpaceDN w:val="0"/>
        <w:adjustRightInd w:val="0"/>
        <w:spacing w:line="560" w:lineRule="exact"/>
        <w:ind w:firstLine="640" w:firstLineChars="200"/>
        <w:rPr>
          <w:rFonts w:ascii="仿宋_GB2312" w:hAnsi="Calibri" w:eastAsia="仿宋_GB2312" w:cs="仿宋"/>
          <w:color w:val="000000"/>
          <w:sz w:val="32"/>
          <w:szCs w:val="32"/>
          <w:lang w:val="en-US" w:eastAsia="zh-CN" w:bidi="ar-SA"/>
        </w:rPr>
      </w:pPr>
      <w:r>
        <w:rPr>
          <w:rFonts w:hint="eastAsia" w:ascii="仿宋_GB2312" w:hAnsi="Calibri" w:eastAsia="仿宋_GB2312" w:cs="仿宋"/>
          <w:color w:val="000000"/>
          <w:sz w:val="32"/>
          <w:szCs w:val="32"/>
          <w:lang w:val="en-US" w:eastAsia="zh-CN" w:bidi="ar-SA"/>
        </w:rPr>
        <w:t>6、年末结转和结余：指单位按有关规定结转到下年或以后年度继续使用的资金。</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7</w:t>
      </w:r>
      <w:r>
        <w:rPr>
          <w:rFonts w:hint="eastAsia" w:ascii="仿宋_GB2312" w:eastAsia="仿宋_GB2312" w:cs="Times New Roman"/>
          <w:color w:val="000000"/>
          <w:sz w:val="32"/>
          <w:szCs w:val="32"/>
        </w:rPr>
        <w:t>.社会保障和就业支出（类）行政事业单位</w:t>
      </w:r>
      <w:r>
        <w:rPr>
          <w:rFonts w:hint="eastAsia" w:ascii="仿宋_GB2312" w:eastAsia="仿宋_GB2312" w:cs="Times New Roman"/>
          <w:color w:val="000000"/>
          <w:sz w:val="32"/>
          <w:szCs w:val="32"/>
          <w:lang w:eastAsia="zh-CN"/>
        </w:rPr>
        <w:t>养老支出</w:t>
      </w:r>
      <w:r>
        <w:rPr>
          <w:rFonts w:hint="eastAsia" w:ascii="仿宋_GB2312" w:eastAsia="仿宋_GB2312" w:cs="Times New Roman"/>
          <w:color w:val="000000"/>
          <w:sz w:val="32"/>
          <w:szCs w:val="32"/>
        </w:rPr>
        <w:t>（款） 机关事业单位基本养老保险缴费支出（项）：指反映机关事业单位实施养老保险制度由单位缴纳的基本养老保险费支出。</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8</w:t>
      </w:r>
      <w:r>
        <w:rPr>
          <w:rFonts w:hint="eastAsia" w:ascii="仿宋_GB2312" w:eastAsia="仿宋_GB2312" w:cs="Times New Roman"/>
          <w:color w:val="000000"/>
          <w:sz w:val="32"/>
          <w:szCs w:val="32"/>
        </w:rPr>
        <w:t>.社会保障和就业支出（类）行政事业单位</w:t>
      </w:r>
      <w:r>
        <w:rPr>
          <w:rFonts w:hint="eastAsia" w:ascii="仿宋_GB2312" w:eastAsia="仿宋_GB2312" w:cs="Times New Roman"/>
          <w:color w:val="000000"/>
          <w:sz w:val="32"/>
          <w:szCs w:val="32"/>
          <w:lang w:eastAsia="zh-CN"/>
        </w:rPr>
        <w:t>养老支出</w:t>
      </w:r>
      <w:r>
        <w:rPr>
          <w:rFonts w:hint="eastAsia" w:ascii="仿宋_GB2312" w:eastAsia="仿宋_GB2312" w:cs="Times New Roman"/>
          <w:color w:val="000000"/>
          <w:sz w:val="32"/>
          <w:szCs w:val="32"/>
        </w:rPr>
        <w:t>（款）机关事业单位职业年金缴费支出（项）：指反映机关事业单位实施养老保险制度由单位实际缴纳的职业年金支出。</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9</w:t>
      </w:r>
      <w:r>
        <w:rPr>
          <w:rFonts w:hint="eastAsia" w:ascii="仿宋_GB2312" w:eastAsia="仿宋_GB2312" w:cs="Times New Roman"/>
          <w:color w:val="000000"/>
          <w:sz w:val="32"/>
          <w:szCs w:val="32"/>
        </w:rPr>
        <w:t>.社会保障和就业支出（类）其他社会保障和就业支出（款）其他社会保障和就业支出（项）：指反映</w:t>
      </w:r>
      <w:r>
        <w:rPr>
          <w:rFonts w:hint="eastAsia" w:ascii="仿宋_GB2312" w:eastAsia="仿宋_GB2312" w:cs="Times New Roman"/>
          <w:color w:val="000000"/>
          <w:sz w:val="32"/>
          <w:szCs w:val="32"/>
          <w:lang w:val="en-US" w:eastAsia="zh-CN"/>
        </w:rPr>
        <w:t>除上述项目以外用于社会保障和就业方面的支出</w:t>
      </w:r>
      <w:r>
        <w:rPr>
          <w:rFonts w:hint="eastAsia" w:ascii="仿宋_GB2312" w:eastAsia="仿宋_GB2312" w:cs="Times New Roman"/>
          <w:color w:val="000000"/>
          <w:sz w:val="32"/>
          <w:szCs w:val="32"/>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10</w:t>
      </w:r>
      <w:r>
        <w:rPr>
          <w:rFonts w:hint="eastAsia" w:ascii="仿宋_GB2312" w:eastAsia="仿宋_GB2312" w:cs="Times New Roman"/>
          <w:color w:val="000000"/>
          <w:sz w:val="32"/>
          <w:szCs w:val="32"/>
        </w:rPr>
        <w:t>.卫生健康支出（类）卫生健康管理事务（款）其他卫生健康管理事务支出（项）：指反映</w:t>
      </w:r>
      <w:r>
        <w:rPr>
          <w:rFonts w:hint="eastAsia" w:ascii="仿宋_GB2312" w:eastAsia="仿宋_GB2312" w:cs="Times New Roman"/>
          <w:color w:val="000000"/>
          <w:sz w:val="32"/>
          <w:szCs w:val="32"/>
          <w:lang w:val="en-US" w:eastAsia="zh-CN"/>
        </w:rPr>
        <w:t>除上述项目外其他用健康卫生管理事务方面的支出</w:t>
      </w:r>
      <w:r>
        <w:rPr>
          <w:rFonts w:hint="eastAsia" w:ascii="仿宋_GB2312" w:eastAsia="仿宋_GB2312" w:cs="Times New Roman"/>
          <w:color w:val="000000"/>
          <w:sz w:val="32"/>
          <w:szCs w:val="32"/>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11</w:t>
      </w:r>
      <w:r>
        <w:rPr>
          <w:rFonts w:hint="eastAsia" w:ascii="仿宋_GB2312" w:eastAsia="仿宋_GB2312" w:cs="Times New Roman"/>
          <w:color w:val="000000"/>
          <w:sz w:val="32"/>
          <w:szCs w:val="32"/>
        </w:rPr>
        <w:t>.卫生健康支出（类）基层医疗卫生机构（款）乡镇卫生院（项）：指反映</w:t>
      </w:r>
      <w:r>
        <w:rPr>
          <w:rFonts w:hint="eastAsia" w:ascii="仿宋_GB2312" w:eastAsia="仿宋_GB2312" w:cs="Times New Roman"/>
          <w:color w:val="000000"/>
          <w:sz w:val="32"/>
          <w:szCs w:val="32"/>
          <w:lang w:val="en-US" w:eastAsia="zh-CN"/>
        </w:rPr>
        <w:t>乡镇卫生院的支出</w:t>
      </w:r>
      <w:r>
        <w:rPr>
          <w:rFonts w:hint="eastAsia" w:ascii="仿宋_GB2312" w:eastAsia="仿宋_GB2312" w:cs="Times New Roman"/>
          <w:color w:val="000000"/>
          <w:sz w:val="32"/>
          <w:szCs w:val="32"/>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12</w:t>
      </w:r>
      <w:r>
        <w:rPr>
          <w:rFonts w:hint="eastAsia" w:ascii="仿宋_GB2312" w:eastAsia="仿宋_GB2312" w:cs="Times New Roman"/>
          <w:color w:val="000000"/>
          <w:sz w:val="32"/>
          <w:szCs w:val="32"/>
        </w:rPr>
        <w:t>.卫生健康支出（类）行政事业单位医疗（款）事业单位医疗（项）：指反映财政部门安排的事业单位基本医疗保险缴费经费，未参加医疗保险的事业单位的公费医疗经费，按国家规定享受离休人员待遇的医疗经费。</w:t>
      </w:r>
    </w:p>
    <w:p>
      <w:pPr>
        <w:pStyle w:val="22"/>
        <w:spacing w:line="560" w:lineRule="exact"/>
        <w:ind w:firstLine="640" w:firstLineChars="200"/>
        <w:rPr>
          <w:rFonts w:hint="eastAsia"/>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.卫生健康支出（类）行政事业单位医疗（款）</w:t>
      </w:r>
      <w:r>
        <w:rPr>
          <w:rFonts w:hint="eastAsia" w:ascii="仿宋_GB2312" w:eastAsia="仿宋_GB2312"/>
          <w:color w:val="auto"/>
          <w:sz w:val="32"/>
          <w:szCs w:val="32"/>
          <w:highlight w:val="none"/>
          <w:lang w:val="en-US" w:eastAsia="zh-CN"/>
        </w:rPr>
        <w:t>公务员医疗补助</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反映财政部门安排的公务员医疗补助经费</w:t>
      </w:r>
      <w:r>
        <w:rPr>
          <w:rFonts w:hint="eastAsia" w:ascii="仿宋_GB2312" w:eastAsia="仿宋_GB2312"/>
          <w:color w:val="auto"/>
          <w:sz w:val="32"/>
          <w:szCs w:val="32"/>
          <w:highlight w:val="none"/>
        </w:rPr>
        <w:t>。</w:t>
      </w:r>
    </w:p>
    <w:p>
      <w:pPr>
        <w:ind w:firstLine="640" w:firstLineChars="200"/>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14</w:t>
      </w:r>
      <w:r>
        <w:rPr>
          <w:rFonts w:hint="eastAsia" w:ascii="仿宋_GB2312" w:eastAsia="仿宋_GB2312" w:cs="Times New Roman"/>
          <w:color w:val="000000"/>
          <w:sz w:val="32"/>
          <w:szCs w:val="32"/>
        </w:rPr>
        <w:t>.住房保障支出（类）住房改革支出（款）住房公积金（项）：指反映行政事业单位按人力资源和社会保障部、财政部规定的基本工资和津贴补贴以及规定比例为职工缴纳的住房公积金。</w:t>
      </w:r>
    </w:p>
    <w:p>
      <w:pPr>
        <w:ind w:firstLine="640" w:firstLineChars="200"/>
        <w:rPr>
          <w:rFonts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15</w:t>
      </w:r>
      <w:r>
        <w:rPr>
          <w:rFonts w:ascii="仿宋_GB2312" w:eastAsia="仿宋_GB2312" w:cs="Times New Roman"/>
          <w:color w:val="000000"/>
          <w:sz w:val="32"/>
          <w:szCs w:val="32"/>
        </w:rPr>
        <w:t>.</w:t>
      </w:r>
      <w:r>
        <w:rPr>
          <w:rFonts w:hint="eastAsia" w:ascii="仿宋_GB2312" w:eastAsia="仿宋_GB2312" w:cs="Times New Roman"/>
          <w:color w:val="000000"/>
          <w:sz w:val="32"/>
          <w:szCs w:val="32"/>
        </w:rPr>
        <w:t>基本支出：指为保障机构正常运转、完成日常工作任务而发生的人员支出和公用支出。</w:t>
      </w:r>
    </w:p>
    <w:p>
      <w:pPr>
        <w:ind w:firstLine="640" w:firstLineChars="200"/>
        <w:rPr>
          <w:rFonts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16</w:t>
      </w:r>
      <w:r>
        <w:rPr>
          <w:rFonts w:ascii="仿宋_GB2312" w:eastAsia="仿宋_GB2312" w:cs="Times New Roman"/>
          <w:color w:val="000000"/>
          <w:sz w:val="32"/>
          <w:szCs w:val="32"/>
        </w:rPr>
        <w:t>.</w:t>
      </w:r>
      <w:r>
        <w:rPr>
          <w:rFonts w:hint="eastAsia" w:ascii="仿宋_GB2312" w:eastAsia="仿宋_GB2312" w:cs="Times New Roman"/>
          <w:color w:val="000000"/>
          <w:sz w:val="32"/>
          <w:szCs w:val="32"/>
        </w:rPr>
        <w:t>项目支出：指在基本支出之外为完成特定行政任务和事业发展目标所发生的支出。</w:t>
      </w:r>
      <w:r>
        <w:rPr>
          <w:rFonts w:ascii="仿宋_GB2312" w:eastAsia="仿宋_GB2312" w:cs="Times New Roman"/>
          <w:color w:val="000000"/>
          <w:sz w:val="32"/>
          <w:szCs w:val="32"/>
        </w:rPr>
        <w:t xml:space="preserve"> </w:t>
      </w:r>
    </w:p>
    <w:p>
      <w:pPr>
        <w:pStyle w:val="22"/>
        <w:spacing w:line="560" w:lineRule="exact"/>
        <w:ind w:firstLine="640" w:firstLineChars="200"/>
        <w:rPr>
          <w:rFonts w:ascii="仿宋_GB2312" w:eastAsia="仿宋_GB2312" w:cs="黑体"/>
          <w:color w:val="auto"/>
          <w:sz w:val="32"/>
          <w:szCs w:val="32"/>
          <w:highlight w:val="none"/>
        </w:rPr>
      </w:pPr>
      <w:r>
        <w:rPr>
          <w:rFonts w:hint="eastAsia" w:ascii="仿宋_GB2312" w:hAnsi="Calibri" w:eastAsia="仿宋_GB2312" w:cs="仿宋"/>
          <w:color w:val="000000"/>
          <w:sz w:val="32"/>
          <w:szCs w:val="32"/>
          <w:lang w:val="en-US" w:eastAsia="zh-CN" w:bidi="ar-SA"/>
        </w:rPr>
        <w:t>17</w:t>
      </w:r>
      <w:r>
        <w:rPr>
          <w:rFonts w:ascii="仿宋_GB2312" w:hAnsi="Calibri" w:eastAsia="仿宋_GB2312" w:cs="仿宋"/>
          <w:color w:val="000000"/>
          <w:sz w:val="32"/>
          <w:szCs w:val="32"/>
          <w:lang w:val="en-US" w:eastAsia="zh-CN" w:bidi="ar-SA"/>
        </w:rPr>
        <w:t>.</w:t>
      </w:r>
      <w:r>
        <w:rPr>
          <w:rFonts w:hint="eastAsia" w:ascii="仿宋_GB2312" w:hAnsi="Calibri" w:eastAsia="仿宋_GB2312" w:cs="仿宋"/>
          <w:color w:val="000000"/>
          <w:sz w:val="32"/>
          <w:szCs w:val="32"/>
          <w:lang w:val="en-US" w:eastAsia="zh-CN"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4"/>
          <w:rFonts w:ascii="黑体" w:hAnsi="黑体" w:eastAsia="黑体"/>
          <w:b w:val="0"/>
          <w:color w:val="auto"/>
          <w:highlight w:val="none"/>
        </w:rPr>
      </w:pPr>
      <w:bookmarkStart w:id="71" w:name="_Toc15377226"/>
      <w:r>
        <w:rPr>
          <w:rFonts w:ascii="宋体"/>
          <w:b/>
          <w:color w:val="auto"/>
          <w:sz w:val="44"/>
          <w:szCs w:val="44"/>
          <w:highlight w:val="none"/>
        </w:rPr>
        <w:br w:type="page"/>
      </w:r>
      <w:bookmarkStart w:id="72" w:name="_Toc1320"/>
      <w:bookmarkStart w:id="73" w:name="_Toc15396614"/>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72"/>
      <w:bookmarkEnd w:id="73"/>
    </w:p>
    <w:p>
      <w:pPr>
        <w:keepNext w:val="0"/>
        <w:keepLines w:val="0"/>
        <w:pageBreakBefore w:val="0"/>
        <w:kinsoku/>
        <w:wordWrap/>
        <w:overflowPunct/>
        <w:topLinePunct w:val="0"/>
        <w:autoSpaceDE/>
        <w:autoSpaceDN/>
        <w:bidi w:val="0"/>
        <w:spacing w:line="572" w:lineRule="exact"/>
        <w:jc w:val="left"/>
        <w:textAlignment w:val="auto"/>
        <w:outlineLvl w:val="1"/>
        <w:rPr>
          <w:rFonts w:hint="eastAsia" w:ascii="黑体" w:hAnsi="黑体" w:eastAsia="黑体" w:cs="黑体"/>
          <w:color w:val="auto"/>
          <w:sz w:val="32"/>
          <w:szCs w:val="32"/>
          <w:highlight w:val="none"/>
        </w:rPr>
      </w:pPr>
      <w:bookmarkStart w:id="74" w:name="_Toc20822"/>
      <w:r>
        <w:rPr>
          <w:rFonts w:hint="eastAsia" w:ascii="黑体" w:hAnsi="黑体" w:eastAsia="黑体" w:cs="黑体"/>
          <w:color w:val="auto"/>
          <w:sz w:val="32"/>
          <w:szCs w:val="32"/>
          <w:highlight w:val="none"/>
        </w:rPr>
        <w:t>附件</w:t>
      </w:r>
      <w:bookmarkEnd w:id="74"/>
    </w:p>
    <w:p>
      <w:pPr>
        <w:pStyle w:val="2"/>
      </w:pPr>
    </w:p>
    <w:p>
      <w:pPr>
        <w:pStyle w:val="2"/>
        <w:ind w:left="0" w:leftChars="0" w:firstLine="639" w:firstLineChars="213"/>
        <w:rPr>
          <w:rFonts w:hint="eastAsia"/>
          <w:lang w:val="en-US" w:eastAsia="zh-CN"/>
        </w:rPr>
      </w:pPr>
      <w:bookmarkStart w:id="75" w:name="_Toc15396618"/>
      <w:r>
        <w:rPr>
          <w:rFonts w:hint="eastAsia"/>
          <w:lang w:val="en-US" w:eastAsia="zh-CN"/>
        </w:rPr>
        <w:t>根据预算绩效管理要求，本单位在2021年度预算编制阶段，无项目支出预算，因此未开展项目绩效评价工作。</w:t>
      </w:r>
    </w:p>
    <w:p>
      <w:pPr>
        <w:spacing w:line="600" w:lineRule="exact"/>
        <w:jc w:val="center"/>
        <w:outlineLvl w:val="9"/>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76" w:name="_Toc11770"/>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71"/>
      <w:bookmarkEnd w:id="75"/>
      <w:bookmarkEnd w:id="76"/>
      <w:bookmarkStart w:id="77" w:name="_Toc15396619"/>
    </w:p>
    <w:p>
      <w:pPr>
        <w:pStyle w:val="4"/>
        <w:rPr>
          <w:rFonts w:ascii="仿宋" w:hAnsi="仿宋" w:eastAsia="仿宋"/>
          <w:color w:val="auto"/>
          <w:highlight w:val="none"/>
        </w:rPr>
      </w:pPr>
      <w:bookmarkStart w:id="78" w:name="_Toc10549"/>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77"/>
      <w:bookmarkEnd w:id="78"/>
    </w:p>
    <w:p>
      <w:pPr>
        <w:pStyle w:val="4"/>
        <w:rPr>
          <w:rFonts w:ascii="仿宋" w:hAnsi="仿宋" w:eastAsia="仿宋"/>
          <w:color w:val="auto"/>
          <w:highlight w:val="none"/>
        </w:rPr>
      </w:pPr>
      <w:bookmarkStart w:id="79" w:name="_Toc17917"/>
      <w:bookmarkStart w:id="80" w:name="_Toc1539662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79"/>
      <w:bookmarkEnd w:id="80"/>
    </w:p>
    <w:p>
      <w:pPr>
        <w:pStyle w:val="4"/>
        <w:rPr>
          <w:rFonts w:ascii="仿宋" w:hAnsi="仿宋" w:eastAsia="仿宋"/>
          <w:color w:val="auto"/>
          <w:highlight w:val="none"/>
        </w:rPr>
      </w:pPr>
      <w:bookmarkStart w:id="81" w:name="_Toc15978"/>
      <w:bookmarkStart w:id="82"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81"/>
      <w:bookmarkEnd w:id="82"/>
    </w:p>
    <w:p>
      <w:pPr>
        <w:pStyle w:val="4"/>
        <w:rPr>
          <w:rFonts w:ascii="仿宋" w:hAnsi="仿宋" w:eastAsia="仿宋"/>
          <w:b w:val="0"/>
          <w:color w:val="auto"/>
          <w:highlight w:val="none"/>
        </w:rPr>
      </w:pPr>
      <w:bookmarkStart w:id="83" w:name="_Toc14916"/>
      <w:bookmarkStart w:id="84"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83"/>
      <w:bookmarkEnd w:id="84"/>
    </w:p>
    <w:p>
      <w:pPr>
        <w:pStyle w:val="4"/>
        <w:rPr>
          <w:rStyle w:val="25"/>
          <w:rFonts w:ascii="仿宋" w:hAnsi="仿宋" w:eastAsia="仿宋"/>
          <w:b w:val="0"/>
          <w:bCs w:val="0"/>
          <w:color w:val="auto"/>
          <w:highlight w:val="none"/>
        </w:rPr>
      </w:pPr>
      <w:bookmarkStart w:id="85" w:name="_Toc25353"/>
      <w:bookmarkStart w:id="86" w:name="_Toc15396623"/>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85"/>
      <w:bookmarkEnd w:id="86"/>
      <w:bookmarkStart w:id="87" w:name="_Toc15396624"/>
    </w:p>
    <w:p>
      <w:pPr>
        <w:pStyle w:val="4"/>
        <w:rPr>
          <w:rFonts w:ascii="仿宋" w:hAnsi="仿宋" w:eastAsia="仿宋"/>
          <w:color w:val="auto"/>
          <w:highlight w:val="none"/>
        </w:rPr>
      </w:pPr>
      <w:bookmarkStart w:id="88" w:name="_Toc28849"/>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87"/>
      <w:bookmarkEnd w:id="88"/>
    </w:p>
    <w:p>
      <w:pPr>
        <w:pStyle w:val="4"/>
        <w:rPr>
          <w:rFonts w:ascii="仿宋" w:hAnsi="仿宋" w:eastAsia="仿宋"/>
          <w:color w:val="auto"/>
          <w:highlight w:val="none"/>
        </w:rPr>
      </w:pPr>
      <w:bookmarkStart w:id="89" w:name="_Toc22784"/>
      <w:bookmarkStart w:id="90" w:name="_Toc15396625"/>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89"/>
      <w:bookmarkEnd w:id="90"/>
    </w:p>
    <w:p>
      <w:pPr>
        <w:pStyle w:val="4"/>
        <w:rPr>
          <w:rFonts w:ascii="仿宋" w:hAnsi="仿宋" w:eastAsia="仿宋"/>
          <w:color w:val="auto"/>
          <w:highlight w:val="none"/>
        </w:rPr>
      </w:pPr>
      <w:bookmarkStart w:id="91" w:name="_Toc15396626"/>
      <w:bookmarkStart w:id="92" w:name="_Toc12462"/>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91"/>
      <w:bookmarkEnd w:id="92"/>
    </w:p>
    <w:p>
      <w:pPr>
        <w:pStyle w:val="4"/>
        <w:rPr>
          <w:rFonts w:ascii="仿宋" w:hAnsi="仿宋" w:eastAsia="仿宋"/>
          <w:color w:val="auto"/>
          <w:highlight w:val="none"/>
        </w:rPr>
      </w:pPr>
      <w:bookmarkStart w:id="93" w:name="_Toc27263"/>
      <w:bookmarkStart w:id="94"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93"/>
      <w:bookmarkEnd w:id="94"/>
    </w:p>
    <w:p>
      <w:pPr>
        <w:pStyle w:val="4"/>
        <w:rPr>
          <w:rFonts w:ascii="仿宋" w:hAnsi="仿宋" w:eastAsia="仿宋"/>
          <w:color w:val="auto"/>
          <w:highlight w:val="none"/>
        </w:rPr>
      </w:pPr>
      <w:bookmarkStart w:id="95" w:name="_Toc25201"/>
      <w:bookmarkStart w:id="96" w:name="_Toc15396628"/>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般公共预算财政拨款“三公”经费支出决算表</w:t>
      </w:r>
      <w:bookmarkEnd w:id="95"/>
      <w:bookmarkEnd w:id="96"/>
    </w:p>
    <w:p>
      <w:pPr>
        <w:pStyle w:val="4"/>
        <w:rPr>
          <w:rFonts w:ascii="仿宋" w:hAnsi="仿宋" w:eastAsia="仿宋"/>
          <w:color w:val="auto"/>
          <w:highlight w:val="none"/>
        </w:rPr>
      </w:pPr>
      <w:bookmarkStart w:id="97" w:name="_Toc15396629"/>
      <w:bookmarkStart w:id="98" w:name="_Toc4765"/>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97"/>
      <w:bookmarkEnd w:id="98"/>
    </w:p>
    <w:p>
      <w:pPr>
        <w:pStyle w:val="4"/>
        <w:rPr>
          <w:rFonts w:ascii="仿宋" w:hAnsi="仿宋" w:eastAsia="仿宋"/>
          <w:color w:val="auto"/>
          <w:highlight w:val="none"/>
        </w:rPr>
      </w:pPr>
      <w:bookmarkStart w:id="99" w:name="_Toc15396630"/>
      <w:bookmarkStart w:id="100" w:name="_Toc24961"/>
      <w:r>
        <w:rPr>
          <w:rStyle w:val="25"/>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府性基金预算财政拨款“三公”经费支出决算表</w:t>
      </w:r>
      <w:bookmarkEnd w:id="99"/>
      <w:bookmarkEnd w:id="100"/>
    </w:p>
    <w:p>
      <w:pPr>
        <w:pStyle w:val="4"/>
        <w:rPr>
          <w:rStyle w:val="25"/>
          <w:rFonts w:hint="eastAsia" w:ascii="仿宋" w:hAnsi="仿宋" w:eastAsia="仿宋"/>
          <w:b w:val="0"/>
          <w:bCs w:val="0"/>
          <w:color w:val="auto"/>
          <w:highlight w:val="none"/>
        </w:rPr>
      </w:pPr>
      <w:bookmarkStart w:id="101" w:name="_Toc15396631"/>
      <w:bookmarkStart w:id="102" w:name="_Toc8272"/>
      <w:r>
        <w:rPr>
          <w:rStyle w:val="25"/>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101"/>
      <w:bookmarkEnd w:id="102"/>
    </w:p>
    <w:p>
      <w:pPr>
        <w:rPr>
          <w:rFonts w:hint="eastAsia" w:eastAsia="仿宋"/>
          <w:color w:val="auto"/>
          <w:highlight w:val="none"/>
          <w:lang w:eastAsia="zh-CN"/>
        </w:rPr>
      </w:pPr>
      <w:bookmarkStart w:id="103" w:name="_Toc17503"/>
      <w:r>
        <w:rPr>
          <w:rStyle w:val="25"/>
          <w:rFonts w:hint="eastAsia" w:ascii="仿宋" w:hAnsi="仿宋" w:eastAsia="仿宋"/>
          <w:b w:val="0"/>
          <w:bCs w:val="0"/>
          <w:color w:val="auto"/>
          <w:highlight w:val="none"/>
          <w:lang w:eastAsia="zh-CN"/>
        </w:rPr>
        <w:t>十四、国有资本经营预算财政拨款支出决算表</w:t>
      </w:r>
      <w:bookmarkEnd w:id="10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altName w:val="Arial Unicode MS"/>
    <w:panose1 w:val="02010609030101010101"/>
    <w:charset w:val="86"/>
    <w:family w:val="modern"/>
    <w:pitch w:val="default"/>
    <w:sig w:usb0="00000000" w:usb1="0000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Mzk3NjQzZWY4NDY5MTNjYjgyN2ZhMDY5M2FhMD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E6E8C"/>
    <w:rsid w:val="024455DF"/>
    <w:rsid w:val="05245EC4"/>
    <w:rsid w:val="06F53FCA"/>
    <w:rsid w:val="07BD6C79"/>
    <w:rsid w:val="0A2032A3"/>
    <w:rsid w:val="0B8A37D8"/>
    <w:rsid w:val="0C271E80"/>
    <w:rsid w:val="101F18D4"/>
    <w:rsid w:val="10C055FF"/>
    <w:rsid w:val="118107EC"/>
    <w:rsid w:val="11DD6519"/>
    <w:rsid w:val="14DC6E28"/>
    <w:rsid w:val="16BB723D"/>
    <w:rsid w:val="18015F3F"/>
    <w:rsid w:val="1B6C1DAC"/>
    <w:rsid w:val="1BE8440E"/>
    <w:rsid w:val="1D155CEE"/>
    <w:rsid w:val="1D486BF8"/>
    <w:rsid w:val="20F57F95"/>
    <w:rsid w:val="2376056A"/>
    <w:rsid w:val="240371BF"/>
    <w:rsid w:val="25C741E6"/>
    <w:rsid w:val="27842671"/>
    <w:rsid w:val="29FD04D3"/>
    <w:rsid w:val="2ABE7A3E"/>
    <w:rsid w:val="2EFA178C"/>
    <w:rsid w:val="30B46D73"/>
    <w:rsid w:val="319F7F4E"/>
    <w:rsid w:val="39AE70AB"/>
    <w:rsid w:val="3C0C0783"/>
    <w:rsid w:val="3F9F3A96"/>
    <w:rsid w:val="48145057"/>
    <w:rsid w:val="493C27E9"/>
    <w:rsid w:val="496F39ED"/>
    <w:rsid w:val="49FF41D3"/>
    <w:rsid w:val="4BE068DB"/>
    <w:rsid w:val="4BF6002B"/>
    <w:rsid w:val="4ECE2238"/>
    <w:rsid w:val="4FB77EA2"/>
    <w:rsid w:val="51DB4B86"/>
    <w:rsid w:val="55333C3E"/>
    <w:rsid w:val="57817115"/>
    <w:rsid w:val="592E180D"/>
    <w:rsid w:val="5B0E00D7"/>
    <w:rsid w:val="60757DEA"/>
    <w:rsid w:val="6389059D"/>
    <w:rsid w:val="64CA39A1"/>
    <w:rsid w:val="6C4A05C8"/>
    <w:rsid w:val="72734D90"/>
    <w:rsid w:val="78BE7981"/>
    <w:rsid w:val="79E7B28D"/>
    <w:rsid w:val="7F303211"/>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paragraph" w:customStyle="1" w:styleId="31">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5848</Words>
  <Characters>6313</Characters>
  <Lines>61</Lines>
  <Paragraphs>17</Paragraphs>
  <TotalTime>6</TotalTime>
  <ScaleCrop>false</ScaleCrop>
  <LinksUpToDate>false</LinksUpToDate>
  <CharactersWithSpaces>6441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独活</cp:lastModifiedBy>
  <cp:lastPrinted>2022-08-06T02:23:00Z</cp:lastPrinted>
  <dcterms:modified xsi:type="dcterms:W3CDTF">2022-10-27T02:10:19Z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F89641643011438197875C3409568E5B</vt:lpwstr>
  </property>
</Properties>
</file>