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3C2D5">
      <w:pPr>
        <w:spacing w:beforeLines="0" w:afterLines="0" w:line="360" w:lineRule="auto"/>
        <w:jc w:val="center"/>
        <w:rPr>
          <w:rFonts w:hint="eastAsia" w:ascii="微软雅黑" w:hAnsi="微软雅黑" w:eastAsia="微软雅黑"/>
          <w:kern w:val="2"/>
          <w:sz w:val="72"/>
          <w:szCs w:val="24"/>
          <w:lang w:val="zh-CN"/>
        </w:rPr>
      </w:pPr>
    </w:p>
    <w:p w14:paraId="73781B72">
      <w:pPr>
        <w:spacing w:beforeLines="0" w:afterLines="0" w:line="360" w:lineRule="auto"/>
        <w:jc w:val="center"/>
        <w:rPr>
          <w:rFonts w:hint="eastAsia" w:ascii="微软雅黑" w:hAnsi="微软雅黑" w:eastAsia="微软雅黑"/>
          <w:kern w:val="2"/>
          <w:sz w:val="72"/>
          <w:szCs w:val="24"/>
          <w:lang w:val="zh-CN"/>
        </w:rPr>
      </w:pPr>
    </w:p>
    <w:p w14:paraId="771881DC">
      <w:pPr>
        <w:spacing w:beforeLines="0" w:afterLines="0" w:line="360" w:lineRule="auto"/>
        <w:jc w:val="center"/>
        <w:rPr>
          <w:rFonts w:hint="eastAsia" w:ascii="微软雅黑" w:hAnsi="微软雅黑" w:eastAsia="微软雅黑"/>
          <w:kern w:val="2"/>
          <w:sz w:val="72"/>
          <w:szCs w:val="24"/>
          <w:lang w:val="zh-CN"/>
        </w:rPr>
      </w:pPr>
      <w:r>
        <w:rPr>
          <w:rFonts w:hint="eastAsia" w:ascii="微软雅黑" w:hAnsi="微软雅黑" w:eastAsia="微软雅黑"/>
          <w:kern w:val="2"/>
          <w:sz w:val="72"/>
          <w:szCs w:val="24"/>
          <w:lang w:val="zh-CN"/>
        </w:rPr>
        <w:t>202</w:t>
      </w:r>
      <w:r>
        <w:rPr>
          <w:rFonts w:hint="eastAsia" w:ascii="微软雅黑" w:hAnsi="微软雅黑" w:eastAsia="微软雅黑"/>
          <w:kern w:val="2"/>
          <w:sz w:val="72"/>
          <w:szCs w:val="24"/>
          <w:lang w:val="en-US" w:eastAsia="zh-CN"/>
        </w:rPr>
        <w:t>3</w:t>
      </w:r>
      <w:r>
        <w:rPr>
          <w:rFonts w:hint="eastAsia" w:ascii="微软雅黑" w:hAnsi="微软雅黑" w:eastAsia="微软雅黑"/>
          <w:kern w:val="2"/>
          <w:sz w:val="72"/>
          <w:szCs w:val="24"/>
          <w:lang w:val="zh-CN"/>
        </w:rPr>
        <w:t>年度</w:t>
      </w:r>
    </w:p>
    <w:p w14:paraId="30B81827">
      <w:pPr>
        <w:spacing w:beforeLines="0" w:afterLines="0" w:line="360" w:lineRule="auto"/>
        <w:jc w:val="center"/>
        <w:rPr>
          <w:rFonts w:hint="eastAsia" w:ascii="微软雅黑" w:hAnsi="微软雅黑" w:eastAsia="微软雅黑"/>
          <w:kern w:val="2"/>
          <w:sz w:val="72"/>
          <w:szCs w:val="24"/>
          <w:lang w:val="zh-CN"/>
        </w:rPr>
      </w:pPr>
      <w:r>
        <w:rPr>
          <w:rFonts w:hint="eastAsia" w:ascii="微软雅黑" w:hAnsi="微软雅黑" w:eastAsia="微软雅黑"/>
          <w:kern w:val="2"/>
          <w:sz w:val="72"/>
          <w:szCs w:val="24"/>
          <w:lang w:val="zh-CN"/>
        </w:rPr>
        <w:t>峨边彝族自治县县街小学</w:t>
      </w:r>
    </w:p>
    <w:p w14:paraId="23DDAA6D">
      <w:pPr>
        <w:spacing w:beforeLines="0" w:afterLines="0" w:line="360" w:lineRule="auto"/>
        <w:jc w:val="center"/>
        <w:rPr>
          <w:rFonts w:hint="eastAsia" w:ascii="微软雅黑" w:hAnsi="微软雅黑" w:eastAsia="微软雅黑"/>
          <w:kern w:val="2"/>
          <w:sz w:val="72"/>
          <w:szCs w:val="24"/>
          <w:lang w:val="zh-CN"/>
        </w:rPr>
      </w:pPr>
      <w:r>
        <w:rPr>
          <w:rFonts w:hint="eastAsia" w:ascii="微软雅黑" w:hAnsi="微软雅黑" w:eastAsia="微软雅黑"/>
          <w:kern w:val="2"/>
          <w:sz w:val="72"/>
          <w:szCs w:val="24"/>
          <w:lang w:val="zh-CN"/>
        </w:rPr>
        <w:t>单位决算编制说明</w:t>
      </w:r>
    </w:p>
    <w:p w14:paraId="3CF268D4">
      <w:pPr>
        <w:keepNext/>
        <w:keepLines/>
        <w:tabs>
          <w:tab w:val="right" w:leader="dot" w:pos="8296"/>
        </w:tabs>
        <w:spacing w:beforeLines="0" w:afterLines="0" w:line="576" w:lineRule="exact"/>
        <w:rPr>
          <w:rFonts w:hint="eastAsia" w:ascii="黑体" w:hAnsi="黑体" w:eastAsia="黑体"/>
          <w:b/>
          <w:color w:val="FF0000"/>
          <w:kern w:val="2"/>
          <w:sz w:val="48"/>
          <w:szCs w:val="24"/>
          <w:lang w:val="zh-CN"/>
        </w:rPr>
      </w:pPr>
    </w:p>
    <w:p w14:paraId="716AF49E">
      <w:pPr>
        <w:keepNext/>
        <w:keepLines/>
        <w:tabs>
          <w:tab w:val="right" w:leader="dot" w:pos="8296"/>
        </w:tabs>
        <w:spacing w:beforeLines="0" w:afterLines="0" w:line="576" w:lineRule="exact"/>
        <w:rPr>
          <w:rFonts w:hint="eastAsia" w:ascii="黑体" w:hAnsi="黑体" w:eastAsia="黑体"/>
          <w:b/>
          <w:color w:val="FF0000"/>
          <w:kern w:val="2"/>
          <w:sz w:val="48"/>
          <w:szCs w:val="24"/>
          <w:lang w:val="zh-CN"/>
        </w:rPr>
      </w:pPr>
    </w:p>
    <w:p w14:paraId="57FF8B4B">
      <w:pPr>
        <w:keepNext/>
        <w:keepLines/>
        <w:tabs>
          <w:tab w:val="right" w:leader="dot" w:pos="8296"/>
        </w:tabs>
        <w:spacing w:beforeLines="0" w:afterLines="0" w:line="576" w:lineRule="exact"/>
        <w:rPr>
          <w:rFonts w:hint="eastAsia" w:ascii="黑体" w:hAnsi="黑体" w:eastAsia="黑体"/>
          <w:b/>
          <w:color w:val="FF0000"/>
          <w:kern w:val="2"/>
          <w:sz w:val="48"/>
          <w:szCs w:val="24"/>
          <w:lang w:val="zh-CN"/>
        </w:rPr>
      </w:pPr>
    </w:p>
    <w:p w14:paraId="43267BEB">
      <w:pPr>
        <w:keepNext/>
        <w:keepLines/>
        <w:tabs>
          <w:tab w:val="right" w:leader="dot" w:pos="8296"/>
        </w:tabs>
        <w:spacing w:beforeLines="0" w:afterLines="0" w:line="576" w:lineRule="exact"/>
        <w:rPr>
          <w:rFonts w:hint="eastAsia" w:ascii="黑体" w:hAnsi="黑体" w:eastAsia="黑体"/>
          <w:b/>
          <w:color w:val="FF0000"/>
          <w:kern w:val="2"/>
          <w:sz w:val="48"/>
          <w:szCs w:val="24"/>
          <w:lang w:val="zh-CN"/>
        </w:rPr>
      </w:pPr>
    </w:p>
    <w:p w14:paraId="46063331">
      <w:pPr>
        <w:keepNext/>
        <w:keepLines/>
        <w:tabs>
          <w:tab w:val="right" w:leader="dot" w:pos="8296"/>
        </w:tabs>
        <w:spacing w:beforeLines="0" w:afterLines="0" w:line="576" w:lineRule="exact"/>
        <w:rPr>
          <w:rFonts w:hint="eastAsia" w:ascii="黑体" w:hAnsi="黑体" w:eastAsia="黑体"/>
          <w:b/>
          <w:color w:val="FF0000"/>
          <w:kern w:val="2"/>
          <w:sz w:val="48"/>
          <w:szCs w:val="24"/>
          <w:lang w:val="zh-CN"/>
        </w:rPr>
      </w:pPr>
    </w:p>
    <w:p w14:paraId="24B88AE8">
      <w:pPr>
        <w:keepNext/>
        <w:keepLines/>
        <w:tabs>
          <w:tab w:val="right" w:leader="dot" w:pos="8296"/>
        </w:tabs>
        <w:spacing w:beforeLines="0" w:afterLines="0" w:line="576" w:lineRule="exact"/>
        <w:rPr>
          <w:rFonts w:hint="eastAsia" w:ascii="黑体" w:hAnsi="黑体" w:eastAsia="黑体"/>
          <w:b/>
          <w:color w:val="FF0000"/>
          <w:kern w:val="2"/>
          <w:sz w:val="48"/>
          <w:szCs w:val="24"/>
          <w:lang w:val="zh-CN"/>
        </w:rPr>
      </w:pPr>
    </w:p>
    <w:p w14:paraId="7780E5B3">
      <w:pPr>
        <w:keepNext/>
        <w:keepLines/>
        <w:tabs>
          <w:tab w:val="right" w:leader="dot" w:pos="8296"/>
        </w:tabs>
        <w:spacing w:beforeLines="0" w:afterLines="0" w:line="576" w:lineRule="exact"/>
        <w:rPr>
          <w:rFonts w:hint="eastAsia" w:ascii="黑体" w:hAnsi="黑体" w:eastAsia="黑体"/>
          <w:b/>
          <w:color w:val="FF0000"/>
          <w:kern w:val="2"/>
          <w:sz w:val="48"/>
          <w:szCs w:val="24"/>
          <w:lang w:val="zh-CN"/>
        </w:rPr>
      </w:pPr>
    </w:p>
    <w:p w14:paraId="4E5A4A0D">
      <w:pPr>
        <w:spacing w:beforeLines="0" w:afterLines="0"/>
        <w:jc w:val="both"/>
        <w:rPr>
          <w:rFonts w:hint="eastAsia" w:ascii="黑体" w:hAnsi="黑体" w:eastAsia="黑体"/>
          <w:color w:val="auto"/>
          <w:kern w:val="2"/>
          <w:sz w:val="48"/>
          <w:szCs w:val="24"/>
          <w:lang w:val="zh-CN"/>
        </w:rPr>
      </w:pPr>
    </w:p>
    <w:p w14:paraId="3BCF3971">
      <w:pPr>
        <w:spacing w:beforeLines="0" w:afterLines="0"/>
        <w:jc w:val="both"/>
        <w:rPr>
          <w:rFonts w:hint="eastAsia" w:ascii="黑体" w:hAnsi="黑体" w:eastAsia="黑体"/>
          <w:color w:val="auto"/>
          <w:kern w:val="2"/>
          <w:sz w:val="48"/>
          <w:szCs w:val="24"/>
          <w:lang w:val="zh-CN"/>
        </w:rPr>
      </w:pPr>
    </w:p>
    <w:p w14:paraId="417ED5BC">
      <w:pPr>
        <w:spacing w:beforeLines="0" w:afterLines="0"/>
        <w:jc w:val="both"/>
        <w:rPr>
          <w:rFonts w:hint="eastAsia" w:ascii="黑体" w:hAnsi="黑体" w:eastAsia="黑体"/>
          <w:color w:val="auto"/>
          <w:kern w:val="2"/>
          <w:sz w:val="48"/>
          <w:szCs w:val="24"/>
          <w:lang w:val="zh-CN"/>
        </w:rPr>
      </w:pPr>
    </w:p>
    <w:p w14:paraId="3B095F12">
      <w:pPr>
        <w:spacing w:beforeLines="0" w:afterLines="0"/>
        <w:jc w:val="both"/>
        <w:rPr>
          <w:rFonts w:hint="eastAsia" w:ascii="黑体" w:hAnsi="黑体" w:eastAsia="黑体"/>
          <w:color w:val="auto"/>
          <w:kern w:val="2"/>
          <w:sz w:val="48"/>
          <w:szCs w:val="24"/>
          <w:lang w:val="zh-CN"/>
        </w:rPr>
      </w:pPr>
    </w:p>
    <w:p w14:paraId="74382543">
      <w:pPr>
        <w:spacing w:beforeLines="0" w:afterLines="0"/>
        <w:jc w:val="center"/>
        <w:rPr>
          <w:rFonts w:hint="eastAsia" w:ascii="黑体" w:hAnsi="黑体" w:eastAsia="黑体"/>
          <w:color w:val="auto"/>
          <w:kern w:val="2"/>
          <w:sz w:val="48"/>
          <w:szCs w:val="24"/>
          <w:lang w:val="zh-CN"/>
        </w:rPr>
      </w:pPr>
      <w:r>
        <w:rPr>
          <w:rFonts w:hint="eastAsia" w:ascii="黑体" w:hAnsi="黑体" w:eastAsia="黑体"/>
          <w:color w:val="auto"/>
          <w:kern w:val="2"/>
          <w:sz w:val="48"/>
          <w:szCs w:val="24"/>
          <w:lang w:val="zh-CN"/>
        </w:rPr>
        <w:t>目录</w:t>
      </w:r>
    </w:p>
    <w:p w14:paraId="36DFF69D">
      <w:pPr>
        <w:tabs>
          <w:tab w:val="right" w:leader="dot" w:pos="8296"/>
        </w:tabs>
        <w:spacing w:before="93" w:beforeLines="0" w:afterLines="0"/>
        <w:jc w:val="center"/>
        <w:rPr>
          <w:rFonts w:hint="eastAsia" w:ascii="仿宋" w:hAnsi="仿宋" w:eastAsia="仿宋"/>
          <w:color w:val="auto"/>
          <w:kern w:val="2"/>
          <w:sz w:val="28"/>
          <w:szCs w:val="24"/>
          <w:lang w:val="zh-CN"/>
        </w:rPr>
      </w:pPr>
      <w:r>
        <w:rPr>
          <w:rFonts w:hint="eastAsia" w:ascii="仿宋" w:hAnsi="仿宋" w:eastAsia="仿宋"/>
          <w:color w:val="auto"/>
          <w:kern w:val="2"/>
          <w:sz w:val="28"/>
          <w:szCs w:val="24"/>
          <w:lang w:val="zh-CN"/>
        </w:rPr>
        <w:t>公开时间：202</w:t>
      </w:r>
      <w:r>
        <w:rPr>
          <w:rFonts w:hint="eastAsia" w:ascii="仿宋" w:hAnsi="仿宋" w:eastAsia="仿宋"/>
          <w:color w:val="auto"/>
          <w:kern w:val="2"/>
          <w:sz w:val="28"/>
          <w:szCs w:val="24"/>
          <w:lang w:val="en-US" w:eastAsia="zh-CN"/>
        </w:rPr>
        <w:t>4</w:t>
      </w:r>
      <w:r>
        <w:rPr>
          <w:rFonts w:hint="eastAsia" w:ascii="仿宋" w:hAnsi="仿宋" w:eastAsia="仿宋"/>
          <w:color w:val="auto"/>
          <w:kern w:val="2"/>
          <w:sz w:val="28"/>
          <w:szCs w:val="24"/>
          <w:lang w:val="zh-CN"/>
        </w:rPr>
        <w:t>年</w:t>
      </w:r>
      <w:r>
        <w:rPr>
          <w:rFonts w:hint="eastAsia" w:ascii="仿宋" w:hAnsi="仿宋" w:eastAsia="仿宋"/>
          <w:color w:val="auto"/>
          <w:kern w:val="2"/>
          <w:sz w:val="28"/>
          <w:szCs w:val="24"/>
          <w:lang w:val="en-US" w:eastAsia="zh-CN"/>
        </w:rPr>
        <w:t>10</w:t>
      </w:r>
      <w:r>
        <w:rPr>
          <w:rFonts w:hint="eastAsia" w:ascii="仿宋" w:hAnsi="仿宋" w:eastAsia="仿宋"/>
          <w:color w:val="auto"/>
          <w:kern w:val="2"/>
          <w:sz w:val="28"/>
          <w:szCs w:val="24"/>
          <w:lang w:val="zh-CN"/>
        </w:rPr>
        <w:t>月</w:t>
      </w:r>
      <w:r>
        <w:rPr>
          <w:rFonts w:hint="eastAsia" w:ascii="仿宋" w:hAnsi="仿宋" w:eastAsia="仿宋"/>
          <w:color w:val="auto"/>
          <w:kern w:val="2"/>
          <w:sz w:val="28"/>
          <w:szCs w:val="24"/>
          <w:lang w:val="en-US" w:eastAsia="zh-CN"/>
        </w:rPr>
        <w:t>29</w:t>
      </w:r>
      <w:r>
        <w:rPr>
          <w:rFonts w:hint="eastAsia" w:ascii="仿宋" w:hAnsi="仿宋" w:eastAsia="仿宋"/>
          <w:color w:val="auto"/>
          <w:kern w:val="2"/>
          <w:sz w:val="28"/>
          <w:szCs w:val="24"/>
          <w:lang w:val="zh-CN"/>
        </w:rPr>
        <w:t>日</w:t>
      </w:r>
    </w:p>
    <w:p w14:paraId="39473B9C">
      <w:pPr>
        <w:spacing w:beforeLines="0" w:afterLines="0"/>
        <w:jc w:val="center"/>
        <w:rPr>
          <w:rFonts w:hint="eastAsia" w:ascii="黑体" w:hAnsi="黑体" w:eastAsia="黑体"/>
          <w:color w:val="auto"/>
          <w:kern w:val="2"/>
          <w:sz w:val="28"/>
          <w:szCs w:val="24"/>
          <w:lang w:val="zh-CN"/>
        </w:rPr>
      </w:pPr>
    </w:p>
    <w:p w14:paraId="147F6F56">
      <w:pPr>
        <w:spacing w:beforeLines="0" w:afterLines="0"/>
        <w:jc w:val="both"/>
        <w:rPr>
          <w:rFonts w:hint="eastAsia" w:ascii="Times New Roman" w:hAnsi="Times New Roman" w:eastAsia="Times New Roman"/>
          <w:color w:val="auto"/>
          <w:kern w:val="2"/>
          <w:sz w:val="21"/>
          <w:szCs w:val="24"/>
          <w:lang w:val="zh-CN"/>
        </w:rPr>
      </w:pPr>
    </w:p>
    <w:p w14:paraId="2B59ED91">
      <w:pPr>
        <w:tabs>
          <w:tab w:val="right" w:leader="dot" w:pos="8296"/>
        </w:tabs>
        <w:spacing w:beforeLines="0" w:afterLines="0" w:line="440" w:lineRule="exact"/>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第一部分 单位概况</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4</w:t>
      </w:r>
    </w:p>
    <w:p w14:paraId="1BECAF05">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一、</w:t>
      </w:r>
      <w:r>
        <w:rPr>
          <w:rFonts w:hint="eastAsia" w:ascii="仿宋" w:hAnsi="仿宋" w:eastAsia="仿宋" w:cs="仿宋"/>
          <w:color w:val="auto"/>
          <w:kern w:val="2"/>
          <w:sz w:val="28"/>
          <w:szCs w:val="28"/>
          <w:lang w:val="en-US" w:eastAsia="zh-CN"/>
        </w:rPr>
        <w:t>主要</w:t>
      </w:r>
      <w:r>
        <w:rPr>
          <w:rFonts w:hint="eastAsia" w:ascii="仿宋" w:hAnsi="仿宋" w:eastAsia="仿宋" w:cs="仿宋"/>
          <w:color w:val="auto"/>
          <w:kern w:val="2"/>
          <w:sz w:val="28"/>
          <w:szCs w:val="28"/>
          <w:lang w:val="zh-CN"/>
        </w:rPr>
        <w:t>职责</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4</w:t>
      </w:r>
    </w:p>
    <w:p w14:paraId="5B0068CC">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二、机构设置</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6</w:t>
      </w:r>
    </w:p>
    <w:p w14:paraId="39BA5F80">
      <w:pPr>
        <w:tabs>
          <w:tab w:val="right" w:leader="dot" w:pos="8296"/>
        </w:tabs>
        <w:spacing w:beforeLines="0" w:afterLines="0" w:line="440" w:lineRule="exact"/>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第二部分 2022年度单位决算情况说明</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7</w:t>
      </w:r>
    </w:p>
    <w:p w14:paraId="4E72BE08">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一、收入支出决算总体情况说明</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7</w:t>
      </w:r>
    </w:p>
    <w:p w14:paraId="3320B3D3">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二、收入决算情况说明</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7</w:t>
      </w:r>
    </w:p>
    <w:p w14:paraId="02F0BE2D">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三、支出决算情况说明</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8</w:t>
      </w:r>
    </w:p>
    <w:p w14:paraId="0B84E6BB">
      <w:pPr>
        <w:tabs>
          <w:tab w:val="right" w:leader="dot" w:pos="8296"/>
        </w:tabs>
        <w:spacing w:beforeLines="0" w:afterLines="0" w:line="440" w:lineRule="exact"/>
        <w:ind w:left="420"/>
        <w:rPr>
          <w:rFonts w:hint="eastAsia"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四、财政拨款收入支出决算总体情况说明</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9</w:t>
      </w:r>
    </w:p>
    <w:p w14:paraId="4E4605BF">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五、一般公共预算财政拨款支出决算情况说明</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9</w:t>
      </w:r>
    </w:p>
    <w:p w14:paraId="312622BD">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六、一般公共预算财政拨款基本支出决算情况说明</w:t>
      </w:r>
      <w:r>
        <w:rPr>
          <w:rFonts w:hint="eastAsia" w:ascii="仿宋" w:hAnsi="仿宋" w:eastAsia="仿宋" w:cs="仿宋"/>
          <w:color w:val="auto"/>
          <w:kern w:val="2"/>
          <w:sz w:val="28"/>
          <w:szCs w:val="28"/>
          <w:lang w:val="en-US" w:eastAsia="zh-CN"/>
        </w:rPr>
        <w:t xml:space="preserve"> ……………12</w:t>
      </w:r>
    </w:p>
    <w:p w14:paraId="49D6D559">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七、财政拨款“三公”经费支出决算情况说明</w:t>
      </w:r>
      <w:r>
        <w:rPr>
          <w:rFonts w:hint="eastAsia" w:ascii="仿宋" w:hAnsi="仿宋" w:eastAsia="仿宋" w:cs="仿宋"/>
          <w:color w:val="auto"/>
          <w:kern w:val="2"/>
          <w:sz w:val="28"/>
          <w:szCs w:val="28"/>
          <w:lang w:val="en-US" w:eastAsia="zh-CN"/>
        </w:rPr>
        <w:t xml:space="preserve"> …………………13</w:t>
      </w:r>
    </w:p>
    <w:p w14:paraId="137C9440">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八、政府性基金预算支出决算情况说明</w:t>
      </w:r>
      <w:r>
        <w:rPr>
          <w:rFonts w:hint="eastAsia" w:ascii="仿宋" w:hAnsi="仿宋" w:eastAsia="仿宋" w:cs="仿宋"/>
          <w:color w:val="auto"/>
          <w:kern w:val="2"/>
          <w:sz w:val="28"/>
          <w:szCs w:val="28"/>
          <w:lang w:val="en-US" w:eastAsia="zh-CN"/>
        </w:rPr>
        <w:t xml:space="preserve"> …………………………14</w:t>
      </w:r>
    </w:p>
    <w:p w14:paraId="03378B36">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九、国有资本经营预算支出决算情况说明</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14</w:t>
      </w:r>
    </w:p>
    <w:p w14:paraId="28A905CC">
      <w:pPr>
        <w:keepNext/>
        <w:keepLines/>
        <w:spacing w:beforeLines="0" w:afterLines="0" w:line="440" w:lineRule="exact"/>
        <w:ind w:firstLine="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十、其他重要事项的情况说明</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14</w:t>
      </w:r>
    </w:p>
    <w:p w14:paraId="572EB85A">
      <w:pPr>
        <w:tabs>
          <w:tab w:val="right" w:leader="dot" w:pos="8296"/>
        </w:tabs>
        <w:spacing w:beforeLines="0" w:afterLines="0" w:line="440" w:lineRule="exact"/>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第三部分 名词解释</w:t>
      </w:r>
      <w:r>
        <w:rPr>
          <w:rFonts w:hint="eastAsia" w:ascii="仿宋" w:hAnsi="仿宋" w:eastAsia="仿宋" w:cs="仿宋"/>
          <w:color w:val="auto"/>
          <w:kern w:val="2"/>
          <w:sz w:val="28"/>
          <w:szCs w:val="28"/>
          <w:lang w:val="en-US" w:eastAsia="zh-CN"/>
        </w:rPr>
        <w:t xml:space="preserve"> ……………………………………………………16</w:t>
      </w:r>
    </w:p>
    <w:p w14:paraId="060688CD">
      <w:pPr>
        <w:tabs>
          <w:tab w:val="right" w:leader="dot" w:pos="8296"/>
        </w:tabs>
        <w:spacing w:beforeLines="0" w:afterLines="0" w:line="440" w:lineRule="exact"/>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第四部分 附件</w:t>
      </w:r>
      <w:r>
        <w:rPr>
          <w:rFonts w:hint="eastAsia" w:ascii="仿宋" w:hAnsi="仿宋" w:eastAsia="仿宋" w:cs="仿宋"/>
          <w:color w:val="auto"/>
          <w:kern w:val="2"/>
          <w:sz w:val="28"/>
          <w:szCs w:val="28"/>
          <w:lang w:val="en-US" w:eastAsia="zh-CN"/>
        </w:rPr>
        <w:t xml:space="preserve"> …………………………………………………………19</w:t>
      </w:r>
      <w:r>
        <w:rPr>
          <w:rFonts w:hint="eastAsia" w:ascii="仿宋" w:hAnsi="仿宋" w:eastAsia="仿宋" w:cs="仿宋"/>
          <w:color w:val="auto"/>
          <w:kern w:val="2"/>
          <w:sz w:val="28"/>
          <w:szCs w:val="28"/>
          <w:lang w:val="zh-CN"/>
        </w:rPr>
        <w:t>第五部分 附表</w:t>
      </w:r>
      <w:r>
        <w:rPr>
          <w:rFonts w:hint="eastAsia" w:ascii="仿宋" w:hAnsi="仿宋" w:eastAsia="仿宋" w:cs="仿宋"/>
          <w:color w:val="auto"/>
          <w:kern w:val="2"/>
          <w:sz w:val="28"/>
          <w:szCs w:val="28"/>
          <w:lang w:val="en-US" w:eastAsia="zh-CN"/>
        </w:rPr>
        <w:t xml:space="preserve"> …………………………………………………………23</w:t>
      </w:r>
    </w:p>
    <w:p w14:paraId="04D09E18">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一、收入支出决算总表</w:t>
      </w:r>
      <w:r>
        <w:rPr>
          <w:rFonts w:hint="eastAsia" w:ascii="仿宋" w:hAnsi="仿宋" w:eastAsia="仿宋" w:cs="仿宋"/>
          <w:color w:val="auto"/>
          <w:kern w:val="2"/>
          <w:sz w:val="28"/>
          <w:szCs w:val="28"/>
          <w:lang w:val="en-US" w:eastAsia="zh-CN"/>
        </w:rPr>
        <w:t xml:space="preserve"> ……………………………………………23</w:t>
      </w:r>
    </w:p>
    <w:p w14:paraId="144E1D94">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二、收入决算</w:t>
      </w:r>
      <w:r>
        <w:rPr>
          <w:rFonts w:hint="eastAsia" w:ascii="仿宋" w:hAnsi="仿宋" w:eastAsia="仿宋" w:cs="仿宋"/>
          <w:color w:val="auto"/>
          <w:kern w:val="2"/>
          <w:sz w:val="28"/>
          <w:szCs w:val="28"/>
          <w:lang w:val="en-US" w:eastAsia="zh-CN"/>
        </w:rPr>
        <w:t xml:space="preserve"> ………………………………………………………23</w:t>
      </w:r>
    </w:p>
    <w:p w14:paraId="361567E7">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三、支出决算表</w:t>
      </w:r>
      <w:r>
        <w:rPr>
          <w:rFonts w:hint="eastAsia" w:ascii="仿宋" w:hAnsi="仿宋" w:eastAsia="仿宋" w:cs="仿宋"/>
          <w:color w:val="auto"/>
          <w:kern w:val="2"/>
          <w:sz w:val="28"/>
          <w:szCs w:val="28"/>
          <w:lang w:val="en-US" w:eastAsia="zh-CN"/>
        </w:rPr>
        <w:t xml:space="preserve"> ……………………………………………………23</w:t>
      </w:r>
      <w:r>
        <w:rPr>
          <w:rFonts w:hint="eastAsia" w:ascii="仿宋" w:hAnsi="仿宋" w:eastAsia="仿宋" w:cs="仿宋"/>
          <w:color w:val="auto"/>
          <w:kern w:val="2"/>
          <w:sz w:val="28"/>
          <w:szCs w:val="28"/>
          <w:lang w:val="zh-CN"/>
        </w:rPr>
        <w:t>四、财政拨款收入支出决算总表</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23</w:t>
      </w:r>
    </w:p>
    <w:p w14:paraId="2BD29F18">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五、财政拨款支出决算明细表</w:t>
      </w:r>
      <w:r>
        <w:rPr>
          <w:rFonts w:hint="eastAsia" w:ascii="仿宋" w:hAnsi="仿宋" w:eastAsia="仿宋" w:cs="仿宋"/>
          <w:color w:val="auto"/>
          <w:kern w:val="2"/>
          <w:sz w:val="28"/>
          <w:szCs w:val="28"/>
          <w:lang w:val="en-US" w:eastAsia="zh-CN"/>
        </w:rPr>
        <w:t xml:space="preserve"> ……………………………………23</w:t>
      </w:r>
      <w:r>
        <w:rPr>
          <w:rFonts w:hint="eastAsia" w:ascii="仿宋" w:hAnsi="仿宋" w:eastAsia="仿宋" w:cs="仿宋"/>
          <w:color w:val="auto"/>
          <w:kern w:val="2"/>
          <w:sz w:val="28"/>
          <w:szCs w:val="28"/>
          <w:lang w:val="zh-CN"/>
        </w:rPr>
        <w:t>六、一般公共预算财政拨款支出决算表</w:t>
      </w:r>
      <w:r>
        <w:rPr>
          <w:rFonts w:hint="eastAsia" w:ascii="仿宋" w:hAnsi="仿宋" w:eastAsia="仿宋" w:cs="仿宋"/>
          <w:color w:val="auto"/>
          <w:kern w:val="2"/>
          <w:sz w:val="28"/>
          <w:szCs w:val="28"/>
          <w:lang w:val="en-US" w:eastAsia="zh-CN"/>
        </w:rPr>
        <w:t xml:space="preserve"> …………………………23</w:t>
      </w:r>
      <w:r>
        <w:rPr>
          <w:rFonts w:hint="eastAsia" w:ascii="仿宋" w:hAnsi="仿宋" w:eastAsia="仿宋" w:cs="仿宋"/>
          <w:color w:val="auto"/>
          <w:kern w:val="2"/>
          <w:sz w:val="28"/>
          <w:szCs w:val="28"/>
          <w:lang w:val="zh-CN"/>
        </w:rPr>
        <w:t>七、一般公共预算财政拨款支出决算明细表</w:t>
      </w:r>
      <w:r>
        <w:rPr>
          <w:rFonts w:hint="eastAsia" w:ascii="仿宋" w:hAnsi="仿宋" w:eastAsia="仿宋" w:cs="仿宋"/>
          <w:color w:val="auto"/>
          <w:kern w:val="2"/>
          <w:sz w:val="28"/>
          <w:szCs w:val="28"/>
          <w:lang w:val="en-US" w:eastAsia="zh-CN"/>
        </w:rPr>
        <w:t xml:space="preserve"> ……………………23</w:t>
      </w:r>
    </w:p>
    <w:p w14:paraId="576D25ED">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八、一般公共预算财政拨款基本支出决算明细表</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23</w:t>
      </w:r>
      <w:r>
        <w:rPr>
          <w:rFonts w:hint="eastAsia" w:ascii="仿宋" w:hAnsi="仿宋" w:eastAsia="仿宋" w:cs="仿宋"/>
          <w:color w:val="auto"/>
          <w:kern w:val="2"/>
          <w:sz w:val="28"/>
          <w:szCs w:val="28"/>
          <w:lang w:val="zh-CN"/>
        </w:rPr>
        <w:t>九、一般公共预算财政拨款项目支出决算表</w:t>
      </w:r>
      <w:r>
        <w:rPr>
          <w:rFonts w:hint="eastAsia" w:ascii="仿宋" w:hAnsi="仿宋" w:eastAsia="仿宋" w:cs="仿宋"/>
          <w:color w:val="auto"/>
          <w:kern w:val="2"/>
          <w:sz w:val="28"/>
          <w:szCs w:val="28"/>
          <w:lang w:val="en-US" w:eastAsia="zh-CN"/>
        </w:rPr>
        <w:t xml:space="preserve"> ……………………23</w:t>
      </w:r>
    </w:p>
    <w:p w14:paraId="7EB07568">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十、政府性基金预算财政拨款收入支出决算表</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lang w:val="zh-CN"/>
        </w:rPr>
        <w:t>…………………</w:t>
      </w:r>
      <w:r>
        <w:rPr>
          <w:rFonts w:hint="eastAsia" w:ascii="仿宋" w:hAnsi="仿宋" w:eastAsia="仿宋" w:cs="仿宋"/>
          <w:color w:val="auto"/>
          <w:kern w:val="2"/>
          <w:sz w:val="28"/>
          <w:szCs w:val="28"/>
          <w:lang w:val="en-US" w:eastAsia="zh-CN"/>
        </w:rPr>
        <w:t>23</w:t>
      </w:r>
    </w:p>
    <w:p w14:paraId="62908D0C">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十一、国有资本经营预算财政拨款收入支出决算表</w:t>
      </w:r>
      <w:r>
        <w:rPr>
          <w:rFonts w:hint="eastAsia" w:ascii="仿宋" w:hAnsi="仿宋" w:eastAsia="仿宋" w:cs="仿宋"/>
          <w:color w:val="auto"/>
          <w:kern w:val="2"/>
          <w:sz w:val="28"/>
          <w:szCs w:val="28"/>
          <w:lang w:val="en-US" w:eastAsia="zh-CN"/>
        </w:rPr>
        <w:t xml:space="preserve"> ……………23</w:t>
      </w:r>
    </w:p>
    <w:p w14:paraId="00FC22FF">
      <w:pPr>
        <w:tabs>
          <w:tab w:val="right" w:leader="dot" w:pos="8296"/>
        </w:tabs>
        <w:spacing w:beforeLines="0" w:afterLines="0" w:line="440" w:lineRule="exact"/>
        <w:ind w:left="420"/>
        <w:rPr>
          <w:rFonts w:hint="default" w:ascii="仿宋" w:hAnsi="仿宋" w:eastAsia="仿宋" w:cs="仿宋"/>
          <w:color w:val="auto"/>
          <w:kern w:val="2"/>
          <w:sz w:val="28"/>
          <w:szCs w:val="28"/>
          <w:lang w:val="en-US" w:eastAsia="zh-CN"/>
        </w:rPr>
      </w:pPr>
      <w:r>
        <w:rPr>
          <w:rFonts w:hint="eastAsia" w:ascii="仿宋" w:hAnsi="仿宋" w:eastAsia="仿宋" w:cs="仿宋"/>
          <w:color w:val="auto"/>
          <w:kern w:val="2"/>
          <w:sz w:val="28"/>
          <w:szCs w:val="28"/>
          <w:lang w:val="zh-CN"/>
        </w:rPr>
        <w:t>十二、国有资本经营预算财政拨款支出决算表</w:t>
      </w:r>
      <w:r>
        <w:rPr>
          <w:rFonts w:hint="eastAsia" w:ascii="仿宋" w:hAnsi="仿宋" w:eastAsia="仿宋" w:cs="仿宋"/>
          <w:color w:val="auto"/>
          <w:kern w:val="2"/>
          <w:sz w:val="28"/>
          <w:szCs w:val="28"/>
          <w:lang w:val="en-US" w:eastAsia="zh-CN"/>
        </w:rPr>
        <w:t xml:space="preserve"> …………………23</w:t>
      </w:r>
    </w:p>
    <w:p w14:paraId="076D0FBF">
      <w:pPr>
        <w:tabs>
          <w:tab w:val="right" w:leader="dot" w:pos="8296"/>
        </w:tabs>
        <w:spacing w:beforeLines="0" w:afterLines="0" w:line="440" w:lineRule="exact"/>
        <w:ind w:left="420"/>
        <w:rPr>
          <w:rFonts w:hint="default" w:ascii="宋体" w:hAnsi="宋体" w:eastAsia="仿宋"/>
          <w:color w:val="auto"/>
          <w:kern w:val="2"/>
          <w:sz w:val="24"/>
          <w:szCs w:val="24"/>
          <w:lang w:val="en-US" w:eastAsia="zh-CN"/>
        </w:rPr>
      </w:pPr>
      <w:r>
        <w:rPr>
          <w:rFonts w:hint="eastAsia" w:ascii="仿宋" w:hAnsi="仿宋" w:eastAsia="仿宋" w:cs="仿宋"/>
          <w:color w:val="auto"/>
          <w:kern w:val="2"/>
          <w:sz w:val="28"/>
          <w:szCs w:val="28"/>
          <w:lang w:val="zh-CN"/>
        </w:rPr>
        <w:t>十三、财政拨款“三公”经费支出决算表</w:t>
      </w:r>
      <w:r>
        <w:rPr>
          <w:rFonts w:hint="eastAsia" w:ascii="仿宋" w:hAnsi="仿宋" w:eastAsia="仿宋" w:cs="仿宋"/>
          <w:color w:val="auto"/>
          <w:kern w:val="2"/>
          <w:sz w:val="28"/>
          <w:szCs w:val="28"/>
          <w:lang w:val="en-US" w:eastAsia="zh-CN"/>
        </w:rPr>
        <w:t xml:space="preserve"> ………………………23</w:t>
      </w:r>
    </w:p>
    <w:p w14:paraId="4429C2C5">
      <w:pPr>
        <w:tabs>
          <w:tab w:val="center" w:pos="4320"/>
        </w:tabs>
        <w:spacing w:beforeLines="0" w:afterLines="0" w:line="440" w:lineRule="exact"/>
        <w:ind w:firstLine="1320"/>
        <w:rPr>
          <w:rFonts w:hint="eastAsia" w:ascii="仿宋" w:hAnsi="仿宋" w:eastAsia="仿宋"/>
          <w:color w:val="auto"/>
          <w:kern w:val="2"/>
          <w:sz w:val="24"/>
          <w:szCs w:val="24"/>
          <w:lang w:val="zh-CN"/>
        </w:rPr>
      </w:pPr>
    </w:p>
    <w:p w14:paraId="233895AB">
      <w:pPr>
        <w:spacing w:beforeLines="0" w:afterLines="0" w:line="440" w:lineRule="exact"/>
        <w:rPr>
          <w:rFonts w:hint="eastAsia" w:ascii="仿宋" w:hAnsi="仿宋" w:eastAsia="仿宋"/>
          <w:color w:val="auto"/>
          <w:kern w:val="44"/>
          <w:sz w:val="24"/>
          <w:szCs w:val="24"/>
          <w:lang w:val="zh-CN"/>
        </w:rPr>
      </w:pPr>
      <w:r>
        <w:rPr>
          <w:rFonts w:hint="eastAsia" w:ascii="仿宋" w:hAnsi="仿宋" w:eastAsia="仿宋"/>
          <w:b/>
          <w:color w:val="auto"/>
          <w:kern w:val="2"/>
          <w:sz w:val="24"/>
          <w:szCs w:val="24"/>
          <w:lang w:val="zh-CN"/>
        </w:rPr>
        <w:br w:type="page"/>
      </w:r>
    </w:p>
    <w:p w14:paraId="26513589">
      <w:pPr>
        <w:pStyle w:val="2"/>
        <w:keepNext/>
        <w:keepLines/>
        <w:spacing w:before="340" w:beforeLines="0" w:after="330" w:afterLines="0" w:line="576" w:lineRule="auto"/>
        <w:jc w:val="center"/>
        <w:rPr>
          <w:rFonts w:hint="eastAsia" w:ascii="黑体" w:hAnsi="黑体" w:eastAsia="黑体"/>
          <w:b/>
          <w:color w:val="auto"/>
          <w:kern w:val="44"/>
          <w:sz w:val="44"/>
          <w:szCs w:val="24"/>
          <w:lang w:val="zh-CN"/>
        </w:rPr>
      </w:pPr>
      <w:r>
        <w:rPr>
          <w:rFonts w:hint="eastAsia" w:ascii="黑体" w:hAnsi="黑体" w:eastAsia="黑体"/>
          <w:color w:val="auto"/>
          <w:kern w:val="44"/>
          <w:sz w:val="44"/>
          <w:szCs w:val="24"/>
          <w:lang w:val="zh-CN"/>
        </w:rPr>
        <w:t>第一部分 单位概况</w:t>
      </w:r>
    </w:p>
    <w:p w14:paraId="7CE17D45">
      <w:pPr>
        <w:pStyle w:val="3"/>
        <w:keepNext/>
        <w:keepLines/>
        <w:spacing w:before="260" w:beforeLines="0" w:after="260" w:afterLines="0"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一、主要</w:t>
      </w:r>
      <w:r>
        <w:rPr>
          <w:rFonts w:hint="eastAsia" w:ascii="黑体" w:hAnsi="黑体" w:eastAsia="黑体"/>
          <w:color w:val="auto"/>
          <w:kern w:val="2"/>
          <w:sz w:val="32"/>
          <w:szCs w:val="24"/>
          <w:lang w:val="zh-CN"/>
        </w:rPr>
        <w:t>职责</w:t>
      </w:r>
    </w:p>
    <w:p w14:paraId="152F4B71">
      <w:pPr>
        <w:pStyle w:val="4"/>
        <w:keepNext w:val="0"/>
        <w:keepLines w:val="0"/>
        <w:pageBreakBefore w:val="0"/>
        <w:kinsoku/>
        <w:wordWrap/>
        <w:overflowPunct/>
        <w:topLinePunct w:val="0"/>
        <w:autoSpaceDE w:val="0"/>
        <w:autoSpaceDN w:val="0"/>
        <w:bidi w:val="0"/>
        <w:adjustRightInd w:val="0"/>
        <w:snapToGrid w:val="0"/>
        <w:spacing w:before="93" w:line="576" w:lineRule="exact"/>
        <w:ind w:firstLine="672" w:firstLineChars="210"/>
        <w:textAlignment w:val="auto"/>
        <w:outlineLvl w:val="2"/>
        <w:rPr>
          <w:rFonts w:hint="eastAsia" w:ascii="仿宋" w:hAnsi="仿宋" w:eastAsia="仿宋" w:cs="仿宋"/>
          <w:kern w:val="2"/>
          <w:sz w:val="32"/>
          <w:szCs w:val="32"/>
        </w:rPr>
      </w:pPr>
      <w:r>
        <w:rPr>
          <w:rFonts w:hint="eastAsia" w:ascii="仿宋" w:hAnsi="仿宋" w:eastAsia="仿宋" w:cs="仿宋"/>
          <w:kern w:val="2"/>
          <w:sz w:val="32"/>
          <w:szCs w:val="32"/>
        </w:rPr>
        <w:t>1.</w:t>
      </w:r>
      <w:r>
        <w:rPr>
          <w:rFonts w:hint="eastAsia" w:ascii="仿宋" w:hAnsi="仿宋" w:eastAsia="仿宋" w:cs="仿宋"/>
          <w:kern w:val="2"/>
          <w:sz w:val="32"/>
          <w:szCs w:val="32"/>
          <w:lang w:val="en-US" w:eastAsia="zh-CN"/>
        </w:rPr>
        <w:t>全面贯彻党的教育方针，坚定为党育人、为国育才使命，确保社会主义办学方向；</w:t>
      </w:r>
      <w:r>
        <w:rPr>
          <w:rFonts w:hint="eastAsia" w:ascii="仿宋" w:hAnsi="仿宋" w:eastAsia="仿宋" w:cs="仿宋"/>
          <w:kern w:val="2"/>
          <w:sz w:val="32"/>
          <w:szCs w:val="32"/>
        </w:rPr>
        <w:t>认真贯彻《四川省中小学办学行为规范》，不断规范学校办学行为，切实</w:t>
      </w:r>
      <w:r>
        <w:rPr>
          <w:rFonts w:hint="eastAsia" w:ascii="仿宋" w:hAnsi="仿宋" w:eastAsia="仿宋" w:cs="仿宋"/>
          <w:kern w:val="2"/>
          <w:sz w:val="32"/>
          <w:szCs w:val="32"/>
          <w:lang w:eastAsia="zh-CN"/>
        </w:rPr>
        <w:t>增强学校</w:t>
      </w:r>
      <w:r>
        <w:rPr>
          <w:rFonts w:hint="eastAsia" w:ascii="仿宋" w:hAnsi="仿宋" w:eastAsia="仿宋" w:cs="仿宋"/>
          <w:kern w:val="2"/>
          <w:sz w:val="32"/>
          <w:szCs w:val="32"/>
        </w:rPr>
        <w:t>教师规范从教的意识，促进办学水平的不断提升</w:t>
      </w:r>
      <w:r>
        <w:rPr>
          <w:rFonts w:hint="eastAsia" w:ascii="仿宋" w:hAnsi="仿宋" w:eastAsia="仿宋" w:cs="仿宋"/>
          <w:b w:val="0"/>
          <w:bCs/>
          <w:color w:val="000000"/>
          <w:sz w:val="32"/>
          <w:szCs w:val="32"/>
        </w:rPr>
        <w:t>，认真落实精细化管理，</w:t>
      </w:r>
      <w:r>
        <w:rPr>
          <w:rFonts w:hint="eastAsia" w:ascii="仿宋" w:hAnsi="仿宋" w:eastAsia="仿宋" w:cs="仿宋"/>
          <w:b w:val="0"/>
          <w:bCs/>
          <w:color w:val="000000"/>
          <w:sz w:val="32"/>
          <w:szCs w:val="32"/>
          <w:lang w:val="en-US" w:eastAsia="zh-CN"/>
        </w:rPr>
        <w:t>践行“和美育德、笃行致远”的核心办学理念，</w:t>
      </w:r>
      <w:r>
        <w:rPr>
          <w:rFonts w:hint="eastAsia" w:ascii="仿宋" w:hAnsi="仿宋" w:eastAsia="仿宋" w:cs="仿宋"/>
          <w:kern w:val="2"/>
          <w:sz w:val="32"/>
          <w:szCs w:val="32"/>
        </w:rPr>
        <w:t>努力办人民满意的教育。</w:t>
      </w:r>
    </w:p>
    <w:p w14:paraId="224C06BF">
      <w:pPr>
        <w:keepNext w:val="0"/>
        <w:keepLines w:val="0"/>
        <w:pageBreakBefore w:val="0"/>
        <w:kinsoku/>
        <w:wordWrap/>
        <w:overflowPunct/>
        <w:topLinePunct w:val="0"/>
        <w:autoSpaceDE w:val="0"/>
        <w:autoSpaceDN w:val="0"/>
        <w:bidi w:val="0"/>
        <w:adjustRightInd w:val="0"/>
        <w:spacing w:line="576" w:lineRule="exact"/>
        <w:ind w:firstLine="640" w:firstLineChars="200"/>
        <w:textAlignment w:val="auto"/>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2</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维护学校的正常教育教学秩序，为学生创造良好的</w:t>
      </w:r>
      <w:r>
        <w:rPr>
          <w:rFonts w:hint="eastAsia" w:ascii="仿宋" w:hAnsi="仿宋" w:eastAsia="仿宋" w:cs="仿宋"/>
          <w:sz w:val="32"/>
          <w:szCs w:val="32"/>
          <w:shd w:val="clear" w:color="auto" w:fill="FFFFFF"/>
          <w:lang w:val="en-US" w:eastAsia="zh-CN"/>
        </w:rPr>
        <w:t>安全卫生的</w:t>
      </w:r>
      <w:r>
        <w:rPr>
          <w:rFonts w:hint="eastAsia" w:ascii="仿宋" w:hAnsi="仿宋" w:eastAsia="仿宋" w:cs="仿宋"/>
          <w:sz w:val="32"/>
          <w:szCs w:val="32"/>
          <w:shd w:val="clear" w:color="auto" w:fill="FFFFFF"/>
        </w:rPr>
        <w:t>学习环境</w:t>
      </w:r>
      <w:r>
        <w:rPr>
          <w:rFonts w:hint="eastAsia" w:ascii="仿宋" w:hAnsi="仿宋" w:eastAsia="仿宋" w:cs="仿宋"/>
          <w:sz w:val="32"/>
          <w:szCs w:val="32"/>
          <w:shd w:val="clear" w:color="auto" w:fill="FFFFFF"/>
          <w:lang w:eastAsia="zh-CN"/>
        </w:rPr>
        <w:t>。</w:t>
      </w:r>
    </w:p>
    <w:p w14:paraId="1049AE73">
      <w:pPr>
        <w:keepNext w:val="0"/>
        <w:keepLines w:val="0"/>
        <w:pageBreakBefore w:val="0"/>
        <w:kinsoku/>
        <w:wordWrap/>
        <w:overflowPunct/>
        <w:topLinePunct w:val="0"/>
        <w:autoSpaceDE w:val="0"/>
        <w:autoSpaceDN w:val="0"/>
        <w:bidi w:val="0"/>
        <w:adjustRightInd w:val="0"/>
        <w:spacing w:line="576" w:lineRule="exact"/>
        <w:ind w:firstLine="640" w:firstLineChars="200"/>
        <w:textAlignment w:val="auto"/>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3</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研究</w:t>
      </w:r>
      <w:r>
        <w:rPr>
          <w:rFonts w:hint="eastAsia" w:ascii="仿宋" w:hAnsi="仿宋" w:eastAsia="仿宋" w:cs="仿宋"/>
          <w:sz w:val="32"/>
          <w:szCs w:val="32"/>
          <w:shd w:val="clear" w:color="auto" w:fill="FFFFFF"/>
          <w:lang w:val="en-US" w:eastAsia="zh-CN"/>
        </w:rPr>
        <w:t>制</w:t>
      </w:r>
      <w:r>
        <w:rPr>
          <w:rFonts w:hint="eastAsia" w:ascii="仿宋" w:hAnsi="仿宋" w:eastAsia="仿宋" w:cs="仿宋"/>
          <w:sz w:val="32"/>
          <w:szCs w:val="32"/>
          <w:shd w:val="clear" w:color="auto" w:fill="FFFFFF"/>
        </w:rPr>
        <w:t>定学校发展规划和年度计划，积极稳妥地推进教育改革，按教育规律办事，不断提高教育质量</w:t>
      </w:r>
      <w:r>
        <w:rPr>
          <w:rFonts w:hint="eastAsia" w:ascii="仿宋" w:hAnsi="仿宋" w:eastAsia="仿宋" w:cs="仿宋"/>
          <w:sz w:val="32"/>
          <w:szCs w:val="32"/>
          <w:shd w:val="clear" w:color="auto" w:fill="FFFFFF"/>
          <w:lang w:eastAsia="zh-CN"/>
        </w:rPr>
        <w:t>。</w:t>
      </w:r>
    </w:p>
    <w:p w14:paraId="241255BF">
      <w:pPr>
        <w:keepNext w:val="0"/>
        <w:keepLines w:val="0"/>
        <w:pageBreakBefore w:val="0"/>
        <w:kinsoku/>
        <w:wordWrap/>
        <w:overflowPunct/>
        <w:topLinePunct w:val="0"/>
        <w:autoSpaceDE w:val="0"/>
        <w:autoSpaceDN w:val="0"/>
        <w:bidi w:val="0"/>
        <w:adjustRightInd w:val="0"/>
        <w:spacing w:line="576" w:lineRule="exact"/>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4</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根据学校规模，科学设置学校管理机构，建立健全各项规章制度和岗位责任制。</w:t>
      </w:r>
    </w:p>
    <w:p w14:paraId="70911620">
      <w:pPr>
        <w:keepNext w:val="0"/>
        <w:keepLines w:val="0"/>
        <w:pageBreakBefore w:val="0"/>
        <w:kinsoku/>
        <w:wordWrap/>
        <w:overflowPunct/>
        <w:topLinePunct w:val="0"/>
        <w:autoSpaceDE w:val="0"/>
        <w:autoSpaceDN w:val="0"/>
        <w:bidi w:val="0"/>
        <w:adjustRightInd w:val="0"/>
        <w:spacing w:line="576" w:lineRule="exact"/>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5</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管理和指导学校基础教育工作，坚持教书育人，服务育人，环境育人</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管理育人</w:t>
      </w:r>
      <w:r>
        <w:rPr>
          <w:rFonts w:hint="eastAsia" w:ascii="仿宋" w:hAnsi="仿宋" w:eastAsia="仿宋" w:cs="仿宋"/>
          <w:sz w:val="32"/>
          <w:szCs w:val="32"/>
          <w:shd w:val="clear" w:color="auto" w:fill="FFFFFF"/>
        </w:rPr>
        <w:t>方针，</w:t>
      </w:r>
      <w:r>
        <w:rPr>
          <w:rFonts w:hint="eastAsia" w:ascii="仿宋" w:hAnsi="仿宋" w:eastAsia="仿宋" w:cs="仿宋"/>
          <w:sz w:val="32"/>
          <w:szCs w:val="32"/>
          <w:shd w:val="clear" w:color="auto" w:fill="FFFFFF"/>
          <w:lang w:val="en-US" w:eastAsia="zh-CN"/>
        </w:rPr>
        <w:t>切实加强学校思想政治教育，守牢意识形态主阵地，</w:t>
      </w:r>
      <w:r>
        <w:rPr>
          <w:rFonts w:hint="eastAsia" w:ascii="仿宋" w:hAnsi="仿宋" w:eastAsia="仿宋" w:cs="仿宋"/>
          <w:sz w:val="32"/>
          <w:szCs w:val="32"/>
          <w:shd w:val="clear" w:color="auto" w:fill="FFFFFF"/>
        </w:rPr>
        <w:t>规划学校品德教育、体育卫生教育、艺术教育和国防教育等工作，使学生的德智体美</w:t>
      </w:r>
      <w:r>
        <w:rPr>
          <w:rFonts w:hint="eastAsia" w:ascii="仿宋" w:hAnsi="仿宋" w:eastAsia="仿宋" w:cs="仿宋"/>
          <w:sz w:val="32"/>
          <w:szCs w:val="32"/>
          <w:shd w:val="clear" w:color="auto" w:fill="FFFFFF"/>
          <w:lang w:val="en-US" w:eastAsia="zh-CN"/>
        </w:rPr>
        <w:t>劳</w:t>
      </w:r>
      <w:r>
        <w:rPr>
          <w:rFonts w:hint="eastAsia" w:ascii="仿宋" w:hAnsi="仿宋" w:eastAsia="仿宋" w:cs="仿宋"/>
          <w:sz w:val="32"/>
          <w:szCs w:val="32"/>
          <w:shd w:val="clear" w:color="auto" w:fill="FFFFFF"/>
        </w:rPr>
        <w:t xml:space="preserve">全面发展。 </w:t>
      </w:r>
    </w:p>
    <w:p w14:paraId="1952D326">
      <w:pPr>
        <w:keepNext w:val="0"/>
        <w:keepLines w:val="0"/>
        <w:pageBreakBefore w:val="0"/>
        <w:kinsoku/>
        <w:wordWrap/>
        <w:overflowPunct/>
        <w:topLinePunct w:val="0"/>
        <w:autoSpaceDE w:val="0"/>
        <w:autoSpaceDN w:val="0"/>
        <w:bidi w:val="0"/>
        <w:adjustRightInd w:val="0"/>
        <w:spacing w:line="576" w:lineRule="exact"/>
        <w:ind w:firstLine="640" w:firstLineChars="200"/>
        <w:textAlignment w:val="auto"/>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6</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抓好教师队伍建设，</w:t>
      </w:r>
      <w:r>
        <w:rPr>
          <w:rFonts w:hint="eastAsia" w:ascii="仿宋" w:hAnsi="仿宋" w:eastAsia="仿宋" w:cs="仿宋"/>
          <w:sz w:val="32"/>
          <w:szCs w:val="32"/>
          <w:shd w:val="clear" w:color="auto" w:fill="FFFFFF"/>
          <w:lang w:val="en-US" w:eastAsia="zh-CN"/>
        </w:rPr>
        <w:t>加强师德建设，加强青年教师培养，弘扬良好师德师风，鼓励各</w:t>
      </w:r>
      <w:r>
        <w:rPr>
          <w:rFonts w:hint="eastAsia" w:ascii="仿宋" w:hAnsi="仿宋" w:eastAsia="仿宋" w:cs="仿宋"/>
          <w:sz w:val="32"/>
          <w:szCs w:val="32"/>
          <w:shd w:val="clear" w:color="auto" w:fill="FFFFFF"/>
        </w:rPr>
        <w:t>个教师都热心于教育事业</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传承学校光荣传统</w:t>
      </w:r>
      <w:r>
        <w:rPr>
          <w:rFonts w:hint="eastAsia" w:ascii="仿宋" w:hAnsi="仿宋" w:eastAsia="仿宋" w:cs="仿宋"/>
          <w:sz w:val="32"/>
          <w:szCs w:val="32"/>
          <w:shd w:val="clear" w:color="auto" w:fill="FFFFFF"/>
          <w:lang w:eastAsia="zh-CN"/>
        </w:rPr>
        <w:t>。</w:t>
      </w:r>
    </w:p>
    <w:p w14:paraId="208F20F5">
      <w:pPr>
        <w:keepNext w:val="0"/>
        <w:keepLines w:val="0"/>
        <w:pageBreakBefore w:val="0"/>
        <w:kinsoku/>
        <w:wordWrap/>
        <w:overflowPunct/>
        <w:topLinePunct w:val="0"/>
        <w:autoSpaceDE w:val="0"/>
        <w:autoSpaceDN w:val="0"/>
        <w:bidi w:val="0"/>
        <w:adjustRightInd w:val="0"/>
        <w:spacing w:line="576" w:lineRule="exact"/>
        <w:ind w:firstLine="640" w:firstLineChars="200"/>
        <w:textAlignment w:val="auto"/>
        <w:rPr>
          <w:rFonts w:hint="eastAsia" w:ascii="仿宋" w:hAnsi="仿宋" w:eastAsia="仿宋" w:cs="仿宋"/>
          <w:sz w:val="32"/>
          <w:szCs w:val="32"/>
          <w:shd w:val="clear" w:color="auto" w:fill="FFFFFF"/>
          <w:lang w:eastAsia="zh-CN"/>
        </w:rPr>
      </w:pPr>
      <w:r>
        <w:rPr>
          <w:rFonts w:hint="eastAsia" w:ascii="仿宋" w:hAnsi="仿宋" w:eastAsia="仿宋" w:cs="仿宋"/>
          <w:sz w:val="32"/>
          <w:szCs w:val="32"/>
          <w:shd w:val="clear" w:color="auto" w:fill="FFFFFF"/>
        </w:rPr>
        <w:t>7</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负责做好社会治安综合治理及安全保卫工作，</w:t>
      </w:r>
      <w:r>
        <w:rPr>
          <w:rFonts w:hint="eastAsia" w:ascii="仿宋" w:hAnsi="仿宋" w:eastAsia="仿宋" w:cs="仿宋"/>
          <w:sz w:val="32"/>
          <w:szCs w:val="32"/>
          <w:shd w:val="clear" w:color="auto" w:fill="FFFFFF"/>
          <w:lang w:val="en-US" w:eastAsia="zh-CN"/>
        </w:rPr>
        <w:t>守牢安全底线，培养师生安全素养，</w:t>
      </w:r>
      <w:r>
        <w:rPr>
          <w:rFonts w:hint="eastAsia" w:ascii="仿宋" w:hAnsi="仿宋" w:eastAsia="仿宋" w:cs="仿宋"/>
          <w:sz w:val="32"/>
          <w:szCs w:val="32"/>
          <w:shd w:val="clear" w:color="auto" w:fill="FFFFFF"/>
        </w:rPr>
        <w:t>保证师生的人身安全及学校财产安全</w:t>
      </w:r>
      <w:r>
        <w:rPr>
          <w:rFonts w:hint="eastAsia" w:ascii="仿宋" w:hAnsi="仿宋" w:eastAsia="仿宋" w:cs="仿宋"/>
          <w:sz w:val="32"/>
          <w:szCs w:val="32"/>
          <w:shd w:val="clear" w:color="auto" w:fill="FFFFFF"/>
          <w:lang w:eastAsia="zh-CN"/>
        </w:rPr>
        <w:t>。</w:t>
      </w:r>
    </w:p>
    <w:p w14:paraId="605867B4">
      <w:pPr>
        <w:keepNext w:val="0"/>
        <w:keepLines w:val="0"/>
        <w:pageBreakBefore w:val="0"/>
        <w:kinsoku/>
        <w:wordWrap/>
        <w:overflowPunct/>
        <w:topLinePunct w:val="0"/>
        <w:autoSpaceDE w:val="0"/>
        <w:autoSpaceDN w:val="0"/>
        <w:bidi w:val="0"/>
        <w:adjustRightInd w:val="0"/>
        <w:spacing w:line="576" w:lineRule="exact"/>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8</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严格管理学校教育经费，严格执行财务管理制度</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lang w:val="en-US" w:eastAsia="zh-CN"/>
        </w:rPr>
        <w:t>厉行节俭，勤俭办学</w:t>
      </w:r>
      <w:r>
        <w:rPr>
          <w:rFonts w:hint="eastAsia" w:ascii="仿宋" w:hAnsi="仿宋" w:eastAsia="仿宋" w:cs="仿宋"/>
          <w:sz w:val="32"/>
          <w:szCs w:val="32"/>
          <w:shd w:val="clear" w:color="auto" w:fill="FFFFFF"/>
        </w:rPr>
        <w:t>。</w:t>
      </w:r>
    </w:p>
    <w:p w14:paraId="7C8B1651">
      <w:pPr>
        <w:pStyle w:val="4"/>
        <w:keepNext w:val="0"/>
        <w:keepLines w:val="0"/>
        <w:pageBreakBefore w:val="0"/>
        <w:kinsoku/>
        <w:wordWrap/>
        <w:overflowPunct/>
        <w:topLinePunct w:val="0"/>
        <w:autoSpaceDE w:val="0"/>
        <w:autoSpaceDN w:val="0"/>
        <w:bidi w:val="0"/>
        <w:adjustRightInd w:val="0"/>
        <w:snapToGrid w:val="0"/>
        <w:spacing w:before="93" w:line="576" w:lineRule="exact"/>
        <w:ind w:firstLine="640" w:firstLineChars="200"/>
        <w:textAlignment w:val="auto"/>
        <w:outlineLvl w:val="2"/>
        <w:rPr>
          <w:rFonts w:hint="default" w:ascii="仿宋" w:hAnsi="仿宋" w:eastAsia="仿宋" w:cs="仿宋"/>
          <w:kern w:val="2"/>
          <w:sz w:val="32"/>
          <w:szCs w:val="32"/>
          <w:lang w:val="en-US" w:eastAsia="zh-CN"/>
        </w:rPr>
      </w:pPr>
      <w:r>
        <w:rPr>
          <w:rFonts w:hint="eastAsia" w:ascii="仿宋" w:hAnsi="仿宋" w:eastAsia="仿宋" w:cs="仿宋"/>
          <w:kern w:val="2"/>
          <w:sz w:val="32"/>
          <w:szCs w:val="32"/>
        </w:rPr>
        <w:t>9.做好送教上门，关心、关爱残疾儿童。</w:t>
      </w:r>
      <w:r>
        <w:rPr>
          <w:rFonts w:hint="eastAsia" w:ascii="仿宋" w:hAnsi="仿宋" w:eastAsia="仿宋" w:cs="仿宋"/>
          <w:kern w:val="2"/>
          <w:sz w:val="32"/>
          <w:szCs w:val="32"/>
          <w:lang w:val="en-US" w:eastAsia="zh-CN"/>
        </w:rPr>
        <w:t>关爱留守、贫困、单亲等特殊学生。</w:t>
      </w:r>
    </w:p>
    <w:p w14:paraId="280BFE9A">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黑体" w:hAnsi="黑体" w:eastAsia="黑体"/>
          <w:color w:val="000000"/>
          <w:kern w:val="2"/>
          <w:sz w:val="32"/>
          <w:szCs w:val="24"/>
          <w:lang w:val="zh-CN"/>
        </w:rPr>
      </w:pPr>
    </w:p>
    <w:p w14:paraId="7978DA85">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黑体" w:hAnsi="黑体" w:eastAsia="黑体"/>
          <w:color w:val="000000"/>
          <w:kern w:val="2"/>
          <w:sz w:val="32"/>
          <w:szCs w:val="24"/>
          <w:lang w:val="zh-CN"/>
        </w:rPr>
      </w:pPr>
    </w:p>
    <w:p w14:paraId="58E49BDF">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黑体" w:hAnsi="黑体" w:eastAsia="黑体"/>
          <w:color w:val="000000"/>
          <w:kern w:val="2"/>
          <w:sz w:val="32"/>
          <w:szCs w:val="24"/>
          <w:lang w:val="zh-CN"/>
        </w:rPr>
      </w:pPr>
    </w:p>
    <w:p w14:paraId="5F3D14E0">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黑体" w:hAnsi="黑体" w:eastAsia="黑体"/>
          <w:color w:val="000000"/>
          <w:kern w:val="2"/>
          <w:sz w:val="32"/>
          <w:szCs w:val="24"/>
          <w:lang w:val="zh-CN"/>
        </w:rPr>
      </w:pPr>
    </w:p>
    <w:p w14:paraId="1A2809A3">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黑体" w:hAnsi="黑体" w:eastAsia="黑体"/>
          <w:color w:val="000000"/>
          <w:kern w:val="2"/>
          <w:sz w:val="32"/>
          <w:szCs w:val="24"/>
          <w:lang w:val="zh-CN"/>
        </w:rPr>
      </w:pPr>
    </w:p>
    <w:p w14:paraId="49DBF06B">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黑体" w:hAnsi="黑体" w:eastAsia="黑体"/>
          <w:color w:val="000000"/>
          <w:kern w:val="2"/>
          <w:sz w:val="32"/>
          <w:szCs w:val="24"/>
          <w:lang w:val="zh-CN"/>
        </w:rPr>
      </w:pPr>
    </w:p>
    <w:p w14:paraId="23A09EA2">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黑体" w:hAnsi="黑体" w:eastAsia="黑体"/>
          <w:color w:val="000000"/>
          <w:kern w:val="2"/>
          <w:sz w:val="32"/>
          <w:szCs w:val="24"/>
          <w:lang w:val="zh-CN"/>
        </w:rPr>
      </w:pPr>
    </w:p>
    <w:p w14:paraId="53F6279B">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黑体" w:hAnsi="黑体" w:eastAsia="黑体"/>
          <w:color w:val="000000"/>
          <w:kern w:val="2"/>
          <w:sz w:val="32"/>
          <w:szCs w:val="24"/>
          <w:lang w:val="zh-CN"/>
        </w:rPr>
      </w:pPr>
    </w:p>
    <w:p w14:paraId="7B12D830">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黑体" w:hAnsi="黑体" w:eastAsia="黑体"/>
          <w:color w:val="000000"/>
          <w:kern w:val="2"/>
          <w:sz w:val="32"/>
          <w:szCs w:val="24"/>
          <w:lang w:val="zh-CN"/>
        </w:rPr>
      </w:pPr>
    </w:p>
    <w:p w14:paraId="30CCA38D">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黑体" w:hAnsi="黑体" w:eastAsia="黑体"/>
          <w:color w:val="000000"/>
          <w:kern w:val="2"/>
          <w:sz w:val="32"/>
          <w:szCs w:val="24"/>
          <w:lang w:val="zh-CN"/>
        </w:rPr>
      </w:pPr>
    </w:p>
    <w:p w14:paraId="08ADBB40">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黑体" w:hAnsi="黑体" w:eastAsia="黑体"/>
          <w:color w:val="000000"/>
          <w:kern w:val="2"/>
          <w:sz w:val="32"/>
          <w:szCs w:val="24"/>
          <w:lang w:val="zh-CN"/>
        </w:rPr>
      </w:pPr>
    </w:p>
    <w:p w14:paraId="42098930">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黑体" w:hAnsi="黑体" w:eastAsia="黑体"/>
          <w:color w:val="000000"/>
          <w:kern w:val="2"/>
          <w:sz w:val="32"/>
          <w:szCs w:val="24"/>
          <w:lang w:val="zh-CN"/>
        </w:rPr>
      </w:pPr>
    </w:p>
    <w:p w14:paraId="1A28D45A">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黑体" w:hAnsi="黑体" w:eastAsia="黑体"/>
          <w:color w:val="000000"/>
          <w:kern w:val="2"/>
          <w:sz w:val="32"/>
          <w:szCs w:val="24"/>
          <w:lang w:val="zh-CN"/>
        </w:rPr>
      </w:pPr>
    </w:p>
    <w:p w14:paraId="3599343E">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黑体" w:hAnsi="黑体" w:eastAsia="黑体"/>
          <w:color w:val="000000"/>
          <w:kern w:val="2"/>
          <w:sz w:val="32"/>
          <w:szCs w:val="24"/>
          <w:lang w:val="zh-CN"/>
        </w:rPr>
      </w:pPr>
    </w:p>
    <w:p w14:paraId="27DC4766">
      <w:pPr>
        <w:pStyle w:val="7"/>
        <w:keepNext w:val="0"/>
        <w:keepLines w:val="0"/>
        <w:pageBreakBefore w:val="0"/>
        <w:widowControl w:val="0"/>
        <w:numPr>
          <w:ilvl w:val="0"/>
          <w:numId w:val="0"/>
        </w:numPr>
        <w:kinsoku/>
        <w:wordWrap/>
        <w:overflowPunct/>
        <w:topLinePunct w:val="0"/>
        <w:autoSpaceDE w:val="0"/>
        <w:autoSpaceDN/>
        <w:bidi w:val="0"/>
        <w:adjustRightInd w:val="0"/>
        <w:snapToGrid w:val="0"/>
        <w:spacing w:beforeAutospacing="0" w:afterAutospacing="0" w:line="360" w:lineRule="auto"/>
        <w:ind w:firstLine="640" w:firstLineChars="200"/>
        <w:textAlignment w:val="auto"/>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二、机</w:t>
      </w:r>
      <w:r>
        <w:rPr>
          <w:rFonts w:hint="eastAsia" w:ascii="黑体" w:hAnsi="黑体" w:eastAsia="黑体"/>
          <w:color w:val="auto"/>
          <w:kern w:val="2"/>
          <w:sz w:val="32"/>
          <w:szCs w:val="24"/>
          <w:lang w:val="zh-CN"/>
        </w:rPr>
        <w:t>构设置</w:t>
      </w:r>
    </w:p>
    <w:p w14:paraId="1167D5F2">
      <w:pPr>
        <w:pStyle w:val="4"/>
        <w:adjustRightInd w:val="0"/>
        <w:snapToGrid w:val="0"/>
        <w:spacing w:before="93" w:line="600" w:lineRule="exact"/>
        <w:ind w:firstLine="640" w:firstLineChars="200"/>
        <w:outlineLvl w:val="2"/>
        <w:rPr>
          <w:rFonts w:hint="eastAsia" w:ascii="黑体" w:hAnsi="黑体" w:eastAsia="黑体"/>
          <w:color w:val="auto"/>
          <w:kern w:val="2"/>
          <w:sz w:val="32"/>
          <w:szCs w:val="24"/>
          <w:lang w:val="zh-CN"/>
        </w:rPr>
      </w:pPr>
      <w:r>
        <w:rPr>
          <w:rFonts w:hint="eastAsia" w:ascii="仿宋_GB2312" w:hAnsi="仿宋_GB2312" w:eastAsia="仿宋_GB2312" w:cs="仿宋_GB2312"/>
          <w:b w:val="0"/>
          <w:bCs w:val="0"/>
          <w:color w:val="auto"/>
          <w:kern w:val="2"/>
          <w:sz w:val="32"/>
          <w:szCs w:val="32"/>
          <w:lang w:val="en-US" w:eastAsia="zh-CN"/>
        </w:rPr>
        <w:t>峨边彝族自治县</w:t>
      </w:r>
      <w:r>
        <w:rPr>
          <w:rFonts w:hint="eastAsia" w:hAnsi="仿宋_GB2312" w:cs="仿宋_GB2312"/>
          <w:b w:val="0"/>
          <w:bCs w:val="0"/>
          <w:color w:val="auto"/>
          <w:kern w:val="2"/>
          <w:sz w:val="32"/>
          <w:szCs w:val="32"/>
          <w:lang w:val="en-US" w:eastAsia="zh-CN"/>
        </w:rPr>
        <w:t>县街</w:t>
      </w:r>
      <w:r>
        <w:rPr>
          <w:rFonts w:hint="eastAsia" w:ascii="仿宋_GB2312" w:hAnsi="仿宋_GB2312" w:eastAsia="仿宋_GB2312" w:cs="仿宋_GB2312"/>
          <w:b w:val="0"/>
          <w:bCs w:val="0"/>
          <w:color w:val="auto"/>
          <w:kern w:val="2"/>
          <w:sz w:val="32"/>
          <w:szCs w:val="32"/>
          <w:lang w:val="en-US" w:eastAsia="zh-CN"/>
        </w:rPr>
        <w:t>小学，单位性质为事业单位，属峨边彝族自治县教育局下设二级单位。</w:t>
      </w:r>
      <w:r>
        <w:rPr>
          <w:rFonts w:hint="eastAsia" w:ascii="仿宋" w:hAnsi="仿宋" w:eastAsia="仿宋" w:cs="仿宋"/>
          <w:sz w:val="32"/>
          <w:szCs w:val="32"/>
        </w:rPr>
        <w:t>学校</w:t>
      </w:r>
      <w:r>
        <w:rPr>
          <w:rFonts w:hint="eastAsia" w:ascii="仿宋" w:hAnsi="仿宋" w:eastAsia="仿宋" w:cs="仿宋"/>
          <w:sz w:val="32"/>
          <w:szCs w:val="32"/>
          <w:lang w:val="en-US" w:eastAsia="zh-CN"/>
        </w:rPr>
        <w:t>设置</w:t>
      </w:r>
      <w:r>
        <w:rPr>
          <w:rFonts w:hint="eastAsia" w:ascii="仿宋" w:hAnsi="仿宋" w:eastAsia="仿宋" w:cs="仿宋"/>
          <w:sz w:val="32"/>
          <w:szCs w:val="32"/>
        </w:rPr>
        <w:t>党支部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工会、教导处、德育处、学校安办、少先队大队部、办公室、后勤处等办公室。  </w:t>
      </w:r>
    </w:p>
    <w:p w14:paraId="58344DDB">
      <w:pPr>
        <w:pStyle w:val="2"/>
        <w:keepNext/>
        <w:keepLines/>
        <w:spacing w:before="340" w:beforeLines="0" w:after="330" w:afterLines="0" w:line="576" w:lineRule="exact"/>
        <w:ind w:right="442"/>
        <w:jc w:val="both"/>
        <w:rPr>
          <w:rFonts w:hint="eastAsia" w:ascii="黑体" w:hAnsi="黑体" w:eastAsia="黑体"/>
          <w:color w:val="000000"/>
          <w:kern w:val="44"/>
          <w:sz w:val="44"/>
          <w:szCs w:val="24"/>
          <w:lang w:val="zh-CN"/>
        </w:rPr>
      </w:pPr>
    </w:p>
    <w:p w14:paraId="54F75524">
      <w:pPr>
        <w:rPr>
          <w:rFonts w:hint="eastAsia" w:ascii="黑体" w:hAnsi="黑体" w:eastAsia="黑体"/>
          <w:color w:val="000000"/>
          <w:kern w:val="44"/>
          <w:sz w:val="44"/>
          <w:szCs w:val="24"/>
          <w:lang w:val="zh-CN"/>
        </w:rPr>
      </w:pPr>
    </w:p>
    <w:p w14:paraId="7DAF2794">
      <w:pPr>
        <w:rPr>
          <w:rFonts w:hint="eastAsia" w:ascii="黑体" w:hAnsi="黑体" w:eastAsia="黑体"/>
          <w:color w:val="000000"/>
          <w:kern w:val="44"/>
          <w:sz w:val="44"/>
          <w:szCs w:val="24"/>
          <w:lang w:val="zh-CN"/>
        </w:rPr>
      </w:pPr>
    </w:p>
    <w:p w14:paraId="2E18A77A">
      <w:pPr>
        <w:rPr>
          <w:rFonts w:hint="eastAsia" w:ascii="黑体" w:hAnsi="黑体" w:eastAsia="黑体"/>
          <w:color w:val="000000"/>
          <w:kern w:val="44"/>
          <w:sz w:val="44"/>
          <w:szCs w:val="24"/>
          <w:lang w:val="zh-CN"/>
        </w:rPr>
      </w:pPr>
    </w:p>
    <w:p w14:paraId="4DF98F7A">
      <w:pPr>
        <w:rPr>
          <w:rFonts w:hint="eastAsia"/>
          <w:lang w:val="zh-CN"/>
        </w:rPr>
      </w:pPr>
    </w:p>
    <w:p w14:paraId="7B8C710F">
      <w:pPr>
        <w:pStyle w:val="2"/>
        <w:keepNext/>
        <w:keepLines/>
        <w:spacing w:before="340" w:beforeLines="0" w:after="330" w:afterLines="0" w:line="576" w:lineRule="exact"/>
        <w:ind w:right="442"/>
        <w:jc w:val="center"/>
        <w:rPr>
          <w:rFonts w:hint="eastAsia" w:ascii="Times New Roman" w:hAnsi="Times New Roman" w:eastAsia="Times New Roman"/>
          <w:b/>
          <w:color w:val="auto"/>
          <w:kern w:val="44"/>
          <w:sz w:val="44"/>
          <w:szCs w:val="24"/>
          <w:lang w:val="zh-CN"/>
        </w:rPr>
      </w:pPr>
      <w:r>
        <w:rPr>
          <w:rFonts w:hint="eastAsia" w:ascii="黑体" w:hAnsi="黑体" w:eastAsia="黑体"/>
          <w:color w:val="000000"/>
          <w:kern w:val="44"/>
          <w:sz w:val="44"/>
          <w:szCs w:val="24"/>
          <w:lang w:val="zh-CN"/>
        </w:rPr>
        <w:t>第二部分</w:t>
      </w:r>
      <w:r>
        <w:rPr>
          <w:rFonts w:hint="eastAsia" w:ascii="黑体" w:hAnsi="黑体" w:eastAsia="黑体"/>
          <w:b/>
          <w:color w:val="000000"/>
          <w:kern w:val="44"/>
          <w:sz w:val="44"/>
          <w:szCs w:val="24"/>
          <w:lang w:val="zh-CN"/>
        </w:rPr>
        <w:t xml:space="preserve"> </w:t>
      </w:r>
      <w:r>
        <w:rPr>
          <w:rFonts w:hint="eastAsia" w:ascii="黑体" w:hAnsi="黑体" w:eastAsia="黑体"/>
          <w:color w:val="auto"/>
          <w:kern w:val="44"/>
          <w:sz w:val="44"/>
          <w:szCs w:val="24"/>
          <w:lang w:val="zh-CN"/>
        </w:rPr>
        <w:t>2022年度单位决算情况说明</w:t>
      </w:r>
    </w:p>
    <w:p w14:paraId="71E5EFE5">
      <w:pPr>
        <w:keepNext/>
        <w:keepLines/>
        <w:spacing w:beforeLines="0" w:afterLines="0" w:line="576" w:lineRule="exact"/>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 xml:space="preserve">    一、收</w:t>
      </w:r>
      <w:r>
        <w:rPr>
          <w:rFonts w:hint="eastAsia" w:ascii="黑体" w:hAnsi="黑体" w:eastAsia="黑体"/>
          <w:color w:val="auto"/>
          <w:kern w:val="2"/>
          <w:sz w:val="32"/>
          <w:szCs w:val="24"/>
          <w:lang w:val="zh-CN"/>
        </w:rPr>
        <w:t>入支出决算总体情况说明</w:t>
      </w:r>
    </w:p>
    <w:p w14:paraId="5DFDC5FD">
      <w:pPr>
        <w:keepNext/>
        <w:keepLines/>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年度收、支总计</w:t>
      </w:r>
      <w:r>
        <w:rPr>
          <w:rFonts w:hint="eastAsia" w:ascii="仿宋_GB2312" w:hAnsi="仿宋_GB2312" w:eastAsia="仿宋_GB2312"/>
          <w:color w:val="000000"/>
          <w:kern w:val="2"/>
          <w:sz w:val="32"/>
          <w:szCs w:val="24"/>
          <w:lang w:val="en-US" w:eastAsia="zh-CN"/>
        </w:rPr>
        <w:t>1959.53</w:t>
      </w:r>
      <w:r>
        <w:rPr>
          <w:rFonts w:hint="eastAsia" w:ascii="仿宋_GB2312" w:hAnsi="仿宋_GB2312" w:eastAsia="仿宋_GB2312"/>
          <w:color w:val="000000"/>
          <w:kern w:val="2"/>
          <w:sz w:val="32"/>
          <w:szCs w:val="24"/>
          <w:lang w:val="zh-CN"/>
        </w:rPr>
        <w:t>万元。与202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年相比，收、支总计各增加</w:t>
      </w:r>
      <w:r>
        <w:rPr>
          <w:rFonts w:hint="eastAsia" w:ascii="仿宋_GB2312" w:hAnsi="仿宋_GB2312" w:eastAsia="仿宋_GB2312"/>
          <w:color w:val="000000"/>
          <w:kern w:val="2"/>
          <w:sz w:val="32"/>
          <w:szCs w:val="24"/>
          <w:lang w:val="en-US" w:eastAsia="zh-CN"/>
        </w:rPr>
        <w:t>41.34</w:t>
      </w:r>
      <w:r>
        <w:rPr>
          <w:rFonts w:hint="eastAsia" w:ascii="仿宋_GB2312" w:hAnsi="仿宋_GB2312" w:eastAsia="仿宋_GB2312"/>
          <w:color w:val="000000"/>
          <w:kern w:val="2"/>
          <w:sz w:val="32"/>
          <w:szCs w:val="24"/>
          <w:lang w:val="zh-CN"/>
        </w:rPr>
        <w:t>万元，增加</w:t>
      </w:r>
      <w:r>
        <w:rPr>
          <w:rFonts w:hint="eastAsia" w:ascii="仿宋_GB2312" w:hAnsi="仿宋_GB2312" w:eastAsia="仿宋_GB2312"/>
          <w:color w:val="000000"/>
          <w:kern w:val="2"/>
          <w:sz w:val="32"/>
          <w:szCs w:val="24"/>
          <w:lang w:val="en-US" w:eastAsia="zh-CN"/>
        </w:rPr>
        <w:t>2.27</w:t>
      </w:r>
      <w:r>
        <w:rPr>
          <w:rFonts w:hint="eastAsia" w:ascii="仿宋_GB2312" w:hAnsi="仿宋_GB2312" w:eastAsia="仿宋_GB2312"/>
          <w:color w:val="000000"/>
          <w:kern w:val="2"/>
          <w:sz w:val="32"/>
          <w:szCs w:val="24"/>
          <w:lang w:val="zh-CN"/>
        </w:rPr>
        <w:t>%。主要变动原因是教师人数</w:t>
      </w:r>
      <w:r>
        <w:rPr>
          <w:rFonts w:hint="eastAsia" w:ascii="仿宋_GB2312" w:hAnsi="仿宋_GB2312" w:eastAsia="仿宋_GB2312"/>
          <w:color w:val="000000"/>
          <w:kern w:val="2"/>
          <w:sz w:val="32"/>
          <w:szCs w:val="24"/>
          <w:lang w:val="en-US" w:eastAsia="zh-CN"/>
        </w:rPr>
        <w:t>增加</w:t>
      </w:r>
      <w:r>
        <w:rPr>
          <w:rFonts w:hint="eastAsia" w:ascii="仿宋_GB2312" w:hAnsi="仿宋_GB2312" w:eastAsia="仿宋_GB2312"/>
          <w:color w:val="000000"/>
          <w:kern w:val="2"/>
          <w:sz w:val="32"/>
          <w:szCs w:val="24"/>
          <w:lang w:val="zh-CN"/>
        </w:rPr>
        <w:t>。</w:t>
      </w:r>
    </w:p>
    <w:p w14:paraId="0716647D">
      <w:pPr>
        <w:spacing w:beforeLines="0" w:afterLines="0" w:line="600" w:lineRule="exact"/>
        <w:ind w:firstLine="640"/>
        <w:jc w:val="both"/>
        <w:rPr>
          <w:rFonts w:hint="eastAsia" w:ascii="仿宋" w:hAnsi="仿宋" w:eastAsia="仿宋"/>
          <w:color w:val="auto"/>
          <w:kern w:val="2"/>
          <w:sz w:val="32"/>
          <w:szCs w:val="24"/>
          <w:lang w:val="en-US"/>
        </w:rPr>
      </w:pPr>
      <w:r>
        <w:rPr>
          <w:rFonts w:ascii="仿宋" w:hAnsi="仿宋" w:eastAsia="仿宋"/>
          <w:sz w:val="32"/>
          <w:szCs w:val="32"/>
        </w:rPr>
        <w:drawing>
          <wp:anchor distT="0" distB="0" distL="114300" distR="114300" simplePos="0" relativeHeight="251660288" behindDoc="0" locked="0" layoutInCell="1" allowOverlap="1">
            <wp:simplePos x="0" y="0"/>
            <wp:positionH relativeFrom="column">
              <wp:posOffset>142875</wp:posOffset>
            </wp:positionH>
            <wp:positionV relativeFrom="paragraph">
              <wp:posOffset>167005</wp:posOffset>
            </wp:positionV>
            <wp:extent cx="4832350" cy="2904490"/>
            <wp:effectExtent l="4445" t="4445" r="14605" b="12065"/>
            <wp:wrapTopAndBottom/>
            <wp:docPr id="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auto"/>
          <w:kern w:val="2"/>
          <w:sz w:val="32"/>
          <w:szCs w:val="24"/>
          <w:lang w:val="en-US"/>
        </w:rPr>
        <w:t>（图1：收、支决算总计变动情况图）</w:t>
      </w:r>
    </w:p>
    <w:p w14:paraId="2DC20429">
      <w:pPr>
        <w:numPr>
          <w:ilvl w:val="0"/>
          <w:numId w:val="1"/>
        </w:numPr>
        <w:spacing w:beforeLines="0" w:afterLines="0" w:line="600"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收</w:t>
      </w:r>
      <w:r>
        <w:rPr>
          <w:rFonts w:hint="eastAsia" w:ascii="黑体" w:hAnsi="黑体" w:eastAsia="黑体"/>
          <w:color w:val="auto"/>
          <w:kern w:val="2"/>
          <w:sz w:val="32"/>
          <w:szCs w:val="24"/>
          <w:lang w:val="zh-CN"/>
        </w:rPr>
        <w:t>入决算情况说明</w:t>
      </w:r>
    </w:p>
    <w:p w14:paraId="78D908DE">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年本年收入合计</w:t>
      </w:r>
      <w:r>
        <w:rPr>
          <w:rFonts w:hint="eastAsia" w:ascii="仿宋_GB2312" w:hAnsi="仿宋_GB2312" w:eastAsia="仿宋_GB2312"/>
          <w:color w:val="000000"/>
          <w:kern w:val="2"/>
          <w:sz w:val="32"/>
          <w:szCs w:val="24"/>
          <w:lang w:val="en-US" w:eastAsia="zh-CN"/>
        </w:rPr>
        <w:t>1909.60</w:t>
      </w:r>
      <w:r>
        <w:rPr>
          <w:rFonts w:hint="eastAsia" w:ascii="仿宋_GB2312" w:hAnsi="仿宋_GB2312" w:eastAsia="仿宋_GB2312"/>
          <w:color w:val="000000"/>
          <w:kern w:val="2"/>
          <w:sz w:val="32"/>
          <w:szCs w:val="24"/>
          <w:lang w:val="zh-CN"/>
        </w:rPr>
        <w:t>万元，其中：一般公共预算财政拨款收入</w:t>
      </w:r>
      <w:r>
        <w:rPr>
          <w:rFonts w:hint="eastAsia" w:ascii="仿宋_GB2312" w:hAnsi="仿宋_GB2312" w:eastAsia="仿宋_GB2312"/>
          <w:color w:val="000000"/>
          <w:kern w:val="2"/>
          <w:sz w:val="32"/>
          <w:szCs w:val="24"/>
          <w:lang w:val="en-US" w:eastAsia="zh-CN"/>
        </w:rPr>
        <w:t>1748.35</w:t>
      </w:r>
      <w:r>
        <w:rPr>
          <w:rFonts w:hint="eastAsia" w:ascii="仿宋_GB2312" w:hAnsi="仿宋_GB2312" w:eastAsia="仿宋_GB2312"/>
          <w:color w:val="000000"/>
          <w:kern w:val="2"/>
          <w:sz w:val="32"/>
          <w:szCs w:val="24"/>
          <w:lang w:val="zh-CN"/>
        </w:rPr>
        <w:t>万元，占9</w:t>
      </w:r>
      <w:r>
        <w:rPr>
          <w:rFonts w:hint="eastAsia" w:ascii="仿宋_GB2312" w:hAnsi="仿宋_GB2312" w:eastAsia="仿宋_GB2312"/>
          <w:color w:val="000000"/>
          <w:kern w:val="2"/>
          <w:sz w:val="32"/>
          <w:szCs w:val="24"/>
          <w:lang w:val="en-US" w:eastAsia="zh-CN"/>
        </w:rPr>
        <w:t>1.56</w:t>
      </w:r>
      <w:r>
        <w:rPr>
          <w:rFonts w:hint="eastAsia" w:ascii="仿宋_GB2312" w:hAnsi="仿宋_GB2312" w:eastAsia="仿宋_GB2312"/>
          <w:color w:val="000000"/>
          <w:kern w:val="2"/>
          <w:sz w:val="32"/>
          <w:szCs w:val="24"/>
          <w:lang w:val="zh-CN"/>
        </w:rPr>
        <w:t>%；政府性基金预算财政拨款收入0万元，占0%；国有资本经营预算财政拨款收入0万元，占0%；上级补助收入0万元，占0%；事业收入0万元，占0%；经营收入0万元，占0%；附属单位上缴收入0万元，占0%；其他收入</w:t>
      </w:r>
      <w:r>
        <w:rPr>
          <w:rFonts w:hint="eastAsia" w:ascii="仿宋_GB2312" w:hAnsi="仿宋_GB2312" w:eastAsia="仿宋_GB2312"/>
          <w:color w:val="000000"/>
          <w:kern w:val="2"/>
          <w:sz w:val="32"/>
          <w:szCs w:val="24"/>
          <w:lang w:val="en-US" w:eastAsia="zh-CN"/>
        </w:rPr>
        <w:t>161.25</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8</w:t>
      </w:r>
      <w:r>
        <w:rPr>
          <w:rFonts w:hint="eastAsia" w:ascii="仿宋_GB2312" w:hAnsi="仿宋_GB2312" w:eastAsia="仿宋_GB2312"/>
          <w:color w:val="000000"/>
          <w:kern w:val="2"/>
          <w:sz w:val="32"/>
          <w:szCs w:val="24"/>
          <w:lang w:val="zh-CN"/>
        </w:rPr>
        <w:t>.</w:t>
      </w:r>
      <w:r>
        <w:rPr>
          <w:rFonts w:hint="eastAsia" w:ascii="仿宋_GB2312" w:hAnsi="仿宋_GB2312" w:eastAsia="仿宋_GB2312"/>
          <w:color w:val="000000"/>
          <w:kern w:val="2"/>
          <w:sz w:val="32"/>
          <w:szCs w:val="24"/>
          <w:lang w:val="en-US" w:eastAsia="zh-CN"/>
        </w:rPr>
        <w:t>44</w:t>
      </w:r>
      <w:r>
        <w:rPr>
          <w:rFonts w:hint="eastAsia" w:ascii="仿宋_GB2312" w:hAnsi="仿宋_GB2312" w:eastAsia="仿宋_GB2312"/>
          <w:color w:val="000000"/>
          <w:kern w:val="2"/>
          <w:sz w:val="32"/>
          <w:szCs w:val="24"/>
          <w:lang w:val="zh-CN"/>
        </w:rPr>
        <w:t>%。</w:t>
      </w:r>
    </w:p>
    <w:p w14:paraId="35B6242D">
      <w:pPr>
        <w:spacing w:beforeLines="0" w:afterLines="0" w:line="600" w:lineRule="exact"/>
        <w:ind w:firstLine="643"/>
        <w:jc w:val="both"/>
        <w:rPr>
          <w:rFonts w:hint="eastAsia" w:ascii="仿宋" w:hAnsi="仿宋" w:eastAsia="仿宋"/>
          <w:b/>
          <w:color w:val="auto"/>
          <w:kern w:val="2"/>
          <w:sz w:val="32"/>
          <w:szCs w:val="24"/>
          <w:lang w:val="en-US"/>
        </w:rPr>
      </w:pPr>
      <w:r>
        <w:rPr>
          <w:rFonts w:ascii="仿宋" w:hAnsi="仿宋" w:eastAsia="仿宋"/>
          <w:color w:val="000000"/>
          <w:sz w:val="32"/>
          <w:szCs w:val="32"/>
        </w:rPr>
        <w:drawing>
          <wp:anchor distT="0" distB="0" distL="114300" distR="114300" simplePos="0" relativeHeight="251661312" behindDoc="0" locked="0" layoutInCell="1" allowOverlap="1">
            <wp:simplePos x="0" y="0"/>
            <wp:positionH relativeFrom="column">
              <wp:posOffset>287655</wp:posOffset>
            </wp:positionH>
            <wp:positionV relativeFrom="paragraph">
              <wp:posOffset>125730</wp:posOffset>
            </wp:positionV>
            <wp:extent cx="4867275" cy="2924175"/>
            <wp:effectExtent l="4445" t="4445" r="5080" b="5080"/>
            <wp:wrapTopAndBottom/>
            <wp:docPr id="1"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039467A6">
      <w:pPr>
        <w:spacing w:beforeLines="0" w:afterLines="0"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（图2：收入决算结构图）</w:t>
      </w:r>
    </w:p>
    <w:p w14:paraId="16DE65B6">
      <w:pPr>
        <w:numPr>
          <w:ilvl w:val="0"/>
          <w:numId w:val="1"/>
        </w:numPr>
        <w:spacing w:beforeLines="0" w:afterLines="0" w:line="600" w:lineRule="exact"/>
        <w:ind w:left="0" w:leftChars="0" w:firstLine="640" w:firstLineChars="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支</w:t>
      </w:r>
      <w:r>
        <w:rPr>
          <w:rFonts w:hint="eastAsia" w:ascii="黑体" w:hAnsi="黑体" w:eastAsia="黑体"/>
          <w:color w:val="auto"/>
          <w:kern w:val="2"/>
          <w:sz w:val="32"/>
          <w:szCs w:val="24"/>
          <w:lang w:val="zh-CN"/>
        </w:rPr>
        <w:t>出决算情况说明</w:t>
      </w:r>
    </w:p>
    <w:p w14:paraId="54E6A2D3">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szCs w:val="24"/>
          <w:lang w:val="zh-CN"/>
        </w:rPr>
      </w:pPr>
      <w:r>
        <w:rPr>
          <w:rFonts w:ascii="仿宋" w:hAnsi="仿宋" w:eastAsia="仿宋"/>
          <w:color w:val="auto"/>
          <w:sz w:val="32"/>
          <w:szCs w:val="32"/>
        </w:rPr>
        <w:drawing>
          <wp:anchor distT="0" distB="0" distL="114300" distR="114300" simplePos="0" relativeHeight="251662336" behindDoc="0" locked="0" layoutInCell="1" allowOverlap="1">
            <wp:simplePos x="0" y="0"/>
            <wp:positionH relativeFrom="column">
              <wp:posOffset>654050</wp:posOffset>
            </wp:positionH>
            <wp:positionV relativeFrom="paragraph">
              <wp:posOffset>1560830</wp:posOffset>
            </wp:positionV>
            <wp:extent cx="4491355" cy="2479040"/>
            <wp:effectExtent l="4445" t="4445" r="12700" b="5715"/>
            <wp:wrapTopAndBottom/>
            <wp:docPr id="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_GB2312" w:hAnsi="仿宋_GB2312" w:eastAsia="仿宋_GB2312"/>
          <w:color w:val="auto"/>
          <w:kern w:val="2"/>
          <w:sz w:val="32"/>
          <w:szCs w:val="24"/>
          <w:lang w:val="zh-CN"/>
        </w:rPr>
        <w:t>202</w:t>
      </w:r>
      <w:r>
        <w:rPr>
          <w:rFonts w:hint="eastAsia" w:ascii="仿宋_GB2312" w:hAnsi="仿宋_GB2312" w:eastAsia="仿宋_GB2312"/>
          <w:color w:val="auto"/>
          <w:kern w:val="2"/>
          <w:sz w:val="32"/>
          <w:szCs w:val="24"/>
          <w:lang w:val="en-US" w:eastAsia="zh-CN"/>
        </w:rPr>
        <w:t>3</w:t>
      </w:r>
      <w:r>
        <w:rPr>
          <w:rFonts w:hint="eastAsia" w:ascii="仿宋_GB2312" w:hAnsi="仿宋_GB2312" w:eastAsia="仿宋_GB2312"/>
          <w:color w:val="auto"/>
          <w:kern w:val="2"/>
          <w:sz w:val="32"/>
          <w:szCs w:val="24"/>
          <w:lang w:val="zh-CN"/>
        </w:rPr>
        <w:t>年</w:t>
      </w:r>
      <w:r>
        <w:rPr>
          <w:rFonts w:hint="eastAsia" w:ascii="仿宋_GB2312" w:hAnsi="仿宋_GB2312" w:eastAsia="仿宋_GB2312"/>
          <w:color w:val="000000"/>
          <w:kern w:val="2"/>
          <w:sz w:val="32"/>
          <w:szCs w:val="24"/>
          <w:lang w:val="zh-CN"/>
        </w:rPr>
        <w:t>本年支出合计</w:t>
      </w:r>
      <w:r>
        <w:rPr>
          <w:rFonts w:hint="eastAsia" w:ascii="仿宋_GB2312" w:hAnsi="仿宋_GB2312" w:eastAsia="仿宋_GB2312"/>
          <w:color w:val="000000"/>
          <w:kern w:val="2"/>
          <w:sz w:val="32"/>
          <w:szCs w:val="24"/>
          <w:lang w:val="en-US" w:eastAsia="zh-CN"/>
        </w:rPr>
        <w:t>1909.60</w:t>
      </w:r>
      <w:r>
        <w:rPr>
          <w:rFonts w:hint="eastAsia" w:ascii="仿宋_GB2312" w:hAnsi="仿宋_GB2312" w:eastAsia="仿宋_GB2312"/>
          <w:color w:val="000000"/>
          <w:kern w:val="2"/>
          <w:sz w:val="32"/>
          <w:szCs w:val="24"/>
          <w:lang w:val="zh-CN"/>
        </w:rPr>
        <w:t>万元，其中：基本支出</w:t>
      </w:r>
      <w:r>
        <w:rPr>
          <w:rFonts w:hint="eastAsia" w:ascii="仿宋_GB2312" w:hAnsi="仿宋_GB2312" w:eastAsia="仿宋_GB2312"/>
          <w:color w:val="000000"/>
          <w:kern w:val="2"/>
          <w:sz w:val="32"/>
          <w:szCs w:val="24"/>
          <w:lang w:val="en-US" w:eastAsia="zh-CN"/>
        </w:rPr>
        <w:t>1486.90</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77.86</w:t>
      </w:r>
      <w:r>
        <w:rPr>
          <w:rFonts w:hint="eastAsia" w:ascii="仿宋_GB2312" w:hAnsi="仿宋_GB2312" w:eastAsia="仿宋_GB2312"/>
          <w:color w:val="000000"/>
          <w:kern w:val="2"/>
          <w:sz w:val="32"/>
          <w:szCs w:val="24"/>
          <w:lang w:val="zh-CN"/>
        </w:rPr>
        <w:t>%；项目支出</w:t>
      </w:r>
      <w:r>
        <w:rPr>
          <w:rFonts w:hint="eastAsia" w:ascii="仿宋_GB2312" w:hAnsi="仿宋_GB2312" w:eastAsia="仿宋_GB2312"/>
          <w:color w:val="000000"/>
          <w:kern w:val="2"/>
          <w:sz w:val="32"/>
          <w:szCs w:val="24"/>
          <w:lang w:val="en-US" w:eastAsia="zh-CN"/>
        </w:rPr>
        <w:t>422.70</w:t>
      </w:r>
      <w:r>
        <w:rPr>
          <w:rFonts w:hint="eastAsia" w:ascii="仿宋_GB2312" w:hAnsi="仿宋_GB2312" w:eastAsia="仿宋_GB2312"/>
          <w:color w:val="000000"/>
          <w:kern w:val="2"/>
          <w:sz w:val="32"/>
          <w:szCs w:val="24"/>
          <w:lang w:val="zh-CN"/>
        </w:rPr>
        <w:t>万元，占</w:t>
      </w:r>
      <w:r>
        <w:rPr>
          <w:rFonts w:hint="eastAsia" w:ascii="仿宋_GB2312" w:hAnsi="仿宋_GB2312" w:eastAsia="仿宋_GB2312"/>
          <w:color w:val="000000"/>
          <w:kern w:val="2"/>
          <w:sz w:val="32"/>
          <w:szCs w:val="24"/>
          <w:lang w:val="en-US" w:eastAsia="zh-CN"/>
        </w:rPr>
        <w:t>22.14</w:t>
      </w:r>
      <w:r>
        <w:rPr>
          <w:rFonts w:hint="eastAsia" w:ascii="仿宋_GB2312" w:hAnsi="仿宋_GB2312" w:eastAsia="仿宋_GB2312"/>
          <w:color w:val="000000"/>
          <w:kern w:val="2"/>
          <w:sz w:val="32"/>
          <w:szCs w:val="24"/>
          <w:lang w:val="zh-CN"/>
        </w:rPr>
        <w:t>%；上缴上级支出0万元，占0%；经营支出0万元，占0%；对附属单位补助支出0万元，占0%。</w:t>
      </w:r>
    </w:p>
    <w:p w14:paraId="3A22FCFB">
      <w:pPr>
        <w:spacing w:beforeLines="0" w:afterLines="0"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（图3：支出决算结构图）</w:t>
      </w:r>
    </w:p>
    <w:p w14:paraId="25541028">
      <w:pPr>
        <w:keepNext/>
        <w:keepLines/>
        <w:spacing w:beforeLines="0" w:afterLines="0"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000000"/>
          <w:kern w:val="2"/>
          <w:sz w:val="32"/>
          <w:szCs w:val="24"/>
          <w:lang w:val="zh-CN"/>
        </w:rPr>
        <w:t>四、财</w:t>
      </w:r>
      <w:r>
        <w:rPr>
          <w:rFonts w:hint="eastAsia" w:ascii="黑体" w:hAnsi="黑体" w:eastAsia="黑体"/>
          <w:color w:val="auto"/>
          <w:kern w:val="2"/>
          <w:sz w:val="32"/>
          <w:szCs w:val="24"/>
          <w:lang w:val="zh-CN"/>
        </w:rPr>
        <w:t>政拨款收入支出决算总体情况说明</w:t>
      </w:r>
    </w:p>
    <w:p w14:paraId="6AF0923C">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年财政拨款收、支总计</w:t>
      </w:r>
      <w:r>
        <w:rPr>
          <w:rFonts w:hint="eastAsia" w:ascii="仿宋_GB2312" w:hAnsi="仿宋_GB2312" w:eastAsia="仿宋_GB2312"/>
          <w:color w:val="000000"/>
          <w:kern w:val="2"/>
          <w:sz w:val="32"/>
          <w:szCs w:val="24"/>
          <w:lang w:val="en-US" w:eastAsia="zh-CN"/>
        </w:rPr>
        <w:t>1798.28</w:t>
      </w:r>
      <w:r>
        <w:rPr>
          <w:rFonts w:hint="eastAsia" w:ascii="仿宋_GB2312" w:hAnsi="仿宋_GB2312" w:eastAsia="仿宋_GB2312"/>
          <w:color w:val="000000"/>
          <w:kern w:val="2"/>
          <w:sz w:val="32"/>
          <w:szCs w:val="24"/>
          <w:lang w:val="zh-CN"/>
        </w:rPr>
        <w:t>万元。与202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年相比，财政拨款收、支总计各增加</w:t>
      </w:r>
      <w:r>
        <w:rPr>
          <w:rFonts w:hint="eastAsia" w:ascii="仿宋_GB2312" w:hAnsi="仿宋_GB2312" w:eastAsia="仿宋_GB2312"/>
          <w:color w:val="000000"/>
          <w:kern w:val="2"/>
          <w:sz w:val="32"/>
          <w:szCs w:val="24"/>
          <w:lang w:val="en-US" w:eastAsia="zh-CN"/>
        </w:rPr>
        <w:t>58.5</w:t>
      </w:r>
      <w:r>
        <w:rPr>
          <w:rFonts w:hint="eastAsia" w:ascii="仿宋_GB2312" w:hAnsi="仿宋_GB2312" w:eastAsia="仿宋_GB2312"/>
          <w:color w:val="000000"/>
          <w:kern w:val="2"/>
          <w:sz w:val="32"/>
          <w:szCs w:val="24"/>
          <w:lang w:val="zh-CN"/>
        </w:rPr>
        <w:t>万元，增长</w:t>
      </w:r>
      <w:r>
        <w:rPr>
          <w:rFonts w:hint="eastAsia" w:ascii="仿宋_GB2312" w:hAnsi="仿宋_GB2312" w:eastAsia="仿宋_GB2312"/>
          <w:color w:val="000000"/>
          <w:kern w:val="2"/>
          <w:sz w:val="32"/>
          <w:szCs w:val="24"/>
          <w:lang w:val="en-US" w:eastAsia="zh-CN"/>
        </w:rPr>
        <w:t>3.36</w:t>
      </w:r>
      <w:r>
        <w:rPr>
          <w:rFonts w:hint="eastAsia" w:ascii="仿宋_GB2312" w:hAnsi="仿宋_GB2312" w:eastAsia="仿宋_GB2312"/>
          <w:color w:val="000000"/>
          <w:kern w:val="2"/>
          <w:sz w:val="32"/>
          <w:szCs w:val="24"/>
          <w:lang w:val="zh-CN"/>
        </w:rPr>
        <w:t>%。主要变动原因是教师人数</w:t>
      </w:r>
      <w:r>
        <w:rPr>
          <w:rFonts w:hint="eastAsia" w:ascii="仿宋_GB2312" w:hAnsi="仿宋_GB2312" w:eastAsia="仿宋_GB2312"/>
          <w:color w:val="000000"/>
          <w:kern w:val="2"/>
          <w:sz w:val="32"/>
          <w:szCs w:val="24"/>
          <w:lang w:val="en-US" w:eastAsia="zh-CN"/>
        </w:rPr>
        <w:t>增加</w:t>
      </w:r>
      <w:r>
        <w:rPr>
          <w:rFonts w:hint="eastAsia" w:ascii="仿宋_GB2312" w:hAnsi="仿宋_GB2312" w:eastAsia="仿宋_GB2312"/>
          <w:color w:val="000000"/>
          <w:kern w:val="2"/>
          <w:sz w:val="32"/>
          <w:szCs w:val="24"/>
          <w:lang w:val="zh-CN"/>
        </w:rPr>
        <w:t>。</w:t>
      </w:r>
    </w:p>
    <w:p w14:paraId="7B857D04">
      <w:pPr>
        <w:pStyle w:val="11"/>
        <w:ind w:firstLine="640" w:firstLineChars="200"/>
        <w:rPr>
          <w:rFonts w:hint="eastAsia" w:ascii="仿宋" w:hAnsi="仿宋" w:eastAsia="仿宋"/>
          <w:b/>
          <w:color w:val="auto"/>
          <w:kern w:val="2"/>
          <w:sz w:val="32"/>
          <w:szCs w:val="24"/>
          <w:lang w:val="en-US"/>
        </w:rPr>
      </w:pPr>
      <w:r>
        <w:rPr>
          <w:rFonts w:ascii="仿宋" w:hAnsi="仿宋" w:eastAsia="仿宋"/>
          <w:sz w:val="32"/>
          <w:szCs w:val="32"/>
        </w:rPr>
        <w:drawing>
          <wp:anchor distT="0" distB="0" distL="114300" distR="114300" simplePos="0" relativeHeight="251663360" behindDoc="0" locked="0" layoutInCell="1" allowOverlap="1">
            <wp:simplePos x="0" y="0"/>
            <wp:positionH relativeFrom="column">
              <wp:posOffset>59690</wp:posOffset>
            </wp:positionH>
            <wp:positionV relativeFrom="paragraph">
              <wp:posOffset>135890</wp:posOffset>
            </wp:positionV>
            <wp:extent cx="5316220" cy="3913505"/>
            <wp:effectExtent l="4445" t="4445" r="13335" b="6350"/>
            <wp:wrapTopAndBottom/>
            <wp:docPr id="4"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B6C3987">
      <w:pPr>
        <w:spacing w:beforeLines="0" w:afterLines="0" w:line="600" w:lineRule="exact"/>
        <w:ind w:firstLine="64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（图4：财政拨款收、支决算总计变动情况）</w:t>
      </w:r>
    </w:p>
    <w:p w14:paraId="495A3768">
      <w:pPr>
        <w:numPr>
          <w:ilvl w:val="0"/>
          <w:numId w:val="0"/>
        </w:numPr>
        <w:spacing w:beforeLines="0" w:afterLines="0" w:line="600" w:lineRule="exact"/>
        <w:ind w:left="960" w:leftChars="0"/>
        <w:jc w:val="both"/>
        <w:rPr>
          <w:rFonts w:hint="eastAsia" w:ascii="黑体" w:hAnsi="黑体" w:eastAsia="黑体"/>
          <w:color w:val="auto"/>
          <w:kern w:val="2"/>
          <w:sz w:val="32"/>
          <w:szCs w:val="24"/>
          <w:lang w:val="zh-CN"/>
        </w:rPr>
      </w:pPr>
      <w:r>
        <w:rPr>
          <w:rFonts w:hint="eastAsia" w:ascii="黑体" w:hAnsi="黑体" w:eastAsia="黑体"/>
          <w:b/>
          <w:color w:val="000000"/>
          <w:kern w:val="2"/>
          <w:sz w:val="32"/>
          <w:szCs w:val="24"/>
          <w:lang w:val="zh-CN"/>
        </w:rPr>
        <w:t>五、一</w:t>
      </w:r>
      <w:r>
        <w:rPr>
          <w:rFonts w:hint="eastAsia" w:ascii="黑体" w:hAnsi="黑体" w:eastAsia="黑体"/>
          <w:color w:val="auto"/>
          <w:kern w:val="2"/>
          <w:sz w:val="32"/>
          <w:szCs w:val="24"/>
          <w:lang w:val="zh-CN"/>
        </w:rPr>
        <w:t>般公共预算财政拨款支出决算情况说明</w:t>
      </w:r>
    </w:p>
    <w:p w14:paraId="5296D485">
      <w:pPr>
        <w:numPr>
          <w:ilvl w:val="0"/>
          <w:numId w:val="2"/>
        </w:numPr>
        <w:spacing w:beforeLines="0" w:afterLines="0" w:line="600" w:lineRule="exact"/>
        <w:ind w:left="640" w:leftChars="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一般公共预算财政拨款支出决算总体情况。</w:t>
      </w:r>
    </w:p>
    <w:p w14:paraId="71D63F6C">
      <w:pPr>
        <w:numPr>
          <w:ilvl w:val="0"/>
          <w:numId w:val="0"/>
        </w:numPr>
        <w:spacing w:beforeLines="0" w:afterLines="0" w:line="600" w:lineRule="exact"/>
        <w:ind w:firstLine="640" w:firstLineChars="20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auto"/>
          <w:kern w:val="2"/>
          <w:sz w:val="32"/>
          <w:szCs w:val="24"/>
          <w:lang w:val="zh-CN"/>
        </w:rPr>
        <w:t>202</w:t>
      </w:r>
      <w:r>
        <w:rPr>
          <w:rFonts w:hint="eastAsia" w:ascii="仿宋_GB2312" w:hAnsi="仿宋_GB2312" w:eastAsia="仿宋_GB2312"/>
          <w:color w:val="auto"/>
          <w:kern w:val="2"/>
          <w:sz w:val="32"/>
          <w:szCs w:val="24"/>
          <w:lang w:val="en-US" w:eastAsia="zh-CN"/>
        </w:rPr>
        <w:t>3</w:t>
      </w:r>
      <w:r>
        <w:rPr>
          <w:rFonts w:hint="eastAsia" w:ascii="仿宋_GB2312" w:hAnsi="仿宋_GB2312" w:eastAsia="仿宋_GB2312"/>
          <w:color w:val="auto"/>
          <w:kern w:val="2"/>
          <w:sz w:val="32"/>
          <w:szCs w:val="24"/>
          <w:lang w:val="zh-CN"/>
        </w:rPr>
        <w:t>年一般公共预算财政拨款支出</w:t>
      </w:r>
      <w:r>
        <w:rPr>
          <w:rFonts w:hint="eastAsia" w:ascii="仿宋_GB2312" w:hAnsi="仿宋_GB2312" w:eastAsia="仿宋_GB2312"/>
          <w:color w:val="auto"/>
          <w:kern w:val="2"/>
          <w:sz w:val="32"/>
          <w:szCs w:val="24"/>
          <w:lang w:val="en-US" w:eastAsia="zh-CN"/>
        </w:rPr>
        <w:t>1748.35</w:t>
      </w:r>
      <w:r>
        <w:rPr>
          <w:rFonts w:hint="eastAsia" w:ascii="仿宋_GB2312" w:hAnsi="仿宋_GB2312" w:eastAsia="仿宋_GB2312"/>
          <w:color w:val="auto"/>
          <w:kern w:val="2"/>
          <w:sz w:val="32"/>
          <w:szCs w:val="24"/>
          <w:lang w:val="zh-CN"/>
        </w:rPr>
        <w:t>万元，占本年支出合计的9</w:t>
      </w:r>
      <w:r>
        <w:rPr>
          <w:rFonts w:hint="eastAsia" w:ascii="仿宋_GB2312" w:hAnsi="仿宋_GB2312" w:eastAsia="仿宋_GB2312"/>
          <w:color w:val="auto"/>
          <w:kern w:val="2"/>
          <w:sz w:val="32"/>
          <w:szCs w:val="24"/>
          <w:lang w:val="en-US" w:eastAsia="zh-CN"/>
        </w:rPr>
        <w:t>1.56</w:t>
      </w:r>
      <w:r>
        <w:rPr>
          <w:rFonts w:hint="eastAsia" w:ascii="仿宋_GB2312" w:hAnsi="仿宋_GB2312" w:eastAsia="仿宋_GB2312"/>
          <w:color w:val="auto"/>
          <w:kern w:val="2"/>
          <w:sz w:val="32"/>
          <w:szCs w:val="24"/>
          <w:lang w:val="zh-CN"/>
        </w:rPr>
        <w:t>%。</w:t>
      </w:r>
      <w:r>
        <w:rPr>
          <w:rFonts w:hint="eastAsia" w:ascii="仿宋_GB2312" w:hAnsi="仿宋_GB2312" w:eastAsia="仿宋_GB2312"/>
          <w:color w:val="000000"/>
          <w:kern w:val="2"/>
          <w:sz w:val="32"/>
          <w:szCs w:val="24"/>
          <w:lang w:val="zh-CN"/>
        </w:rPr>
        <w:t>与202</w:t>
      </w:r>
      <w:r>
        <w:rPr>
          <w:rFonts w:hint="eastAsia" w:ascii="仿宋_GB2312" w:hAnsi="仿宋_GB2312" w:eastAsia="仿宋_GB2312"/>
          <w:color w:val="000000"/>
          <w:kern w:val="2"/>
          <w:sz w:val="32"/>
          <w:szCs w:val="24"/>
          <w:lang w:val="en-US" w:eastAsia="zh-CN"/>
        </w:rPr>
        <w:t>2</w:t>
      </w:r>
      <w:r>
        <w:rPr>
          <w:rFonts w:hint="eastAsia" w:ascii="仿宋_GB2312" w:hAnsi="仿宋_GB2312" w:eastAsia="仿宋_GB2312"/>
          <w:color w:val="000000"/>
          <w:kern w:val="2"/>
          <w:sz w:val="32"/>
          <w:szCs w:val="24"/>
          <w:lang w:val="zh-CN"/>
        </w:rPr>
        <w:t>年相比，一般公共预算财政拨款支出</w:t>
      </w:r>
      <w:r>
        <w:rPr>
          <w:rFonts w:ascii="仿宋" w:hAnsi="仿宋" w:eastAsia="仿宋"/>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442595</wp:posOffset>
            </wp:positionH>
            <wp:positionV relativeFrom="paragraph">
              <wp:posOffset>1061085</wp:posOffset>
            </wp:positionV>
            <wp:extent cx="4744085" cy="4192905"/>
            <wp:effectExtent l="4445" t="5080" r="13970" b="1206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olor w:val="000000"/>
          <w:kern w:val="2"/>
          <w:sz w:val="32"/>
          <w:szCs w:val="24"/>
          <w:lang w:val="zh-CN"/>
        </w:rPr>
        <w:t>增加</w:t>
      </w:r>
      <w:r>
        <w:rPr>
          <w:rFonts w:hint="eastAsia" w:ascii="仿宋_GB2312" w:hAnsi="仿宋_GB2312" w:eastAsia="仿宋_GB2312"/>
          <w:color w:val="000000"/>
          <w:kern w:val="2"/>
          <w:sz w:val="32"/>
          <w:szCs w:val="24"/>
          <w:lang w:val="en-US" w:eastAsia="zh-CN"/>
        </w:rPr>
        <w:t>58.5</w:t>
      </w:r>
      <w:r>
        <w:rPr>
          <w:rFonts w:hint="eastAsia" w:ascii="仿宋_GB2312" w:hAnsi="仿宋_GB2312" w:eastAsia="仿宋_GB2312"/>
          <w:color w:val="000000"/>
          <w:kern w:val="2"/>
          <w:sz w:val="32"/>
          <w:szCs w:val="24"/>
          <w:lang w:val="zh-CN"/>
        </w:rPr>
        <w:t>万元，增长</w:t>
      </w:r>
      <w:r>
        <w:rPr>
          <w:rFonts w:hint="eastAsia" w:ascii="仿宋_GB2312" w:hAnsi="仿宋_GB2312" w:eastAsia="仿宋_GB2312"/>
          <w:color w:val="000000"/>
          <w:kern w:val="2"/>
          <w:sz w:val="32"/>
          <w:szCs w:val="24"/>
          <w:lang w:val="en-US" w:eastAsia="zh-CN"/>
        </w:rPr>
        <w:t>3.46</w:t>
      </w:r>
      <w:r>
        <w:rPr>
          <w:rFonts w:hint="eastAsia" w:ascii="仿宋_GB2312" w:hAnsi="仿宋_GB2312" w:eastAsia="仿宋_GB2312"/>
          <w:color w:val="000000"/>
          <w:kern w:val="2"/>
          <w:sz w:val="32"/>
          <w:szCs w:val="24"/>
          <w:lang w:val="zh-CN"/>
        </w:rPr>
        <w:t>%。主要变动原因是教师人数</w:t>
      </w:r>
      <w:r>
        <w:rPr>
          <w:rFonts w:hint="eastAsia" w:ascii="仿宋_GB2312" w:hAnsi="仿宋_GB2312" w:eastAsia="仿宋_GB2312"/>
          <w:color w:val="000000"/>
          <w:kern w:val="2"/>
          <w:sz w:val="32"/>
          <w:szCs w:val="24"/>
          <w:lang w:val="en-US" w:eastAsia="zh-CN"/>
        </w:rPr>
        <w:t>增加</w:t>
      </w:r>
      <w:r>
        <w:rPr>
          <w:rFonts w:hint="eastAsia" w:ascii="仿宋_GB2312" w:hAnsi="仿宋_GB2312" w:eastAsia="仿宋_GB2312"/>
          <w:color w:val="000000"/>
          <w:kern w:val="2"/>
          <w:sz w:val="32"/>
          <w:szCs w:val="24"/>
          <w:lang w:val="zh-CN"/>
        </w:rPr>
        <w:t>。</w:t>
      </w:r>
    </w:p>
    <w:p w14:paraId="4A20DF01">
      <w:pPr>
        <w:spacing w:beforeLines="0" w:afterLines="0" w:line="600" w:lineRule="exact"/>
        <w:ind w:left="640" w:hanging="640" w:hangingChars="200"/>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（图5：一般公共预算财政拨款支出决算变动情况）</w:t>
      </w:r>
    </w:p>
    <w:p w14:paraId="338E8D66">
      <w:pPr>
        <w:spacing w:beforeLines="0" w:afterLines="0" w:line="600"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（二）一般公共预算财政拨款支出决算结构情况。</w:t>
      </w:r>
    </w:p>
    <w:p w14:paraId="37C53704">
      <w:pPr>
        <w:spacing w:beforeLines="0" w:afterLines="0" w:line="600" w:lineRule="exact"/>
        <w:ind w:firstLine="640" w:firstLineChars="200"/>
        <w:jc w:val="both"/>
        <w:rPr>
          <w:rFonts w:hint="eastAsia" w:ascii="仿宋_GB2312" w:hAnsi="仿宋_GB2312" w:eastAsia="仿宋_GB2312"/>
          <w:color w:val="auto"/>
          <w:kern w:val="2"/>
          <w:sz w:val="32"/>
          <w:szCs w:val="24"/>
          <w:lang w:val="zh-CN"/>
        </w:rPr>
      </w:pPr>
      <w:r>
        <w:rPr>
          <w:rFonts w:hint="eastAsia" w:ascii="仿宋_GB2312" w:hAnsi="仿宋_GB2312" w:eastAsia="仿宋_GB2312"/>
          <w:color w:val="auto"/>
          <w:kern w:val="2"/>
          <w:sz w:val="32"/>
          <w:szCs w:val="24"/>
          <w:lang w:val="zh-CN"/>
        </w:rPr>
        <w:t>202</w:t>
      </w:r>
      <w:r>
        <w:rPr>
          <w:rFonts w:hint="eastAsia" w:ascii="仿宋_GB2312" w:hAnsi="仿宋_GB2312" w:eastAsia="仿宋_GB2312"/>
          <w:color w:val="auto"/>
          <w:kern w:val="2"/>
          <w:sz w:val="32"/>
          <w:szCs w:val="24"/>
          <w:lang w:val="en-US" w:eastAsia="zh-CN"/>
        </w:rPr>
        <w:t>3</w:t>
      </w:r>
      <w:r>
        <w:rPr>
          <w:rFonts w:hint="eastAsia" w:ascii="仿宋_GB2312" w:hAnsi="仿宋_GB2312" w:eastAsia="仿宋_GB2312"/>
          <w:color w:val="auto"/>
          <w:kern w:val="2"/>
          <w:sz w:val="32"/>
          <w:szCs w:val="24"/>
          <w:lang w:val="zh-CN"/>
        </w:rPr>
        <w:t>年一般公共预算财政拨款支出</w:t>
      </w:r>
      <w:r>
        <w:rPr>
          <w:rFonts w:hint="eastAsia" w:ascii="仿宋_GB2312" w:hAnsi="仿宋_GB2312" w:eastAsia="仿宋_GB2312"/>
          <w:color w:val="auto"/>
          <w:kern w:val="2"/>
          <w:sz w:val="32"/>
          <w:szCs w:val="24"/>
          <w:lang w:val="en-US" w:eastAsia="zh-CN"/>
        </w:rPr>
        <w:t>1748.35</w:t>
      </w:r>
      <w:r>
        <w:rPr>
          <w:rFonts w:hint="eastAsia" w:ascii="仿宋_GB2312" w:hAnsi="仿宋_GB2312" w:eastAsia="仿宋_GB2312"/>
          <w:color w:val="auto"/>
          <w:kern w:val="2"/>
          <w:sz w:val="32"/>
          <w:szCs w:val="24"/>
          <w:lang w:val="zh-CN"/>
        </w:rPr>
        <w:t>万元，主要用于以下方面： 教育支出</w:t>
      </w:r>
      <w:r>
        <w:rPr>
          <w:rFonts w:hint="eastAsia" w:ascii="仿宋_GB2312" w:hAnsi="仿宋_GB2312" w:eastAsia="仿宋_GB2312"/>
          <w:color w:val="auto"/>
          <w:kern w:val="2"/>
          <w:sz w:val="32"/>
          <w:szCs w:val="24"/>
          <w:lang w:val="en-US" w:eastAsia="zh-CN"/>
        </w:rPr>
        <w:t>1353.63</w:t>
      </w:r>
      <w:r>
        <w:rPr>
          <w:rFonts w:hint="eastAsia" w:ascii="仿宋_GB2312" w:hAnsi="仿宋_GB2312" w:eastAsia="仿宋_GB2312"/>
          <w:color w:val="auto"/>
          <w:kern w:val="2"/>
          <w:sz w:val="32"/>
          <w:szCs w:val="24"/>
          <w:lang w:val="zh-CN"/>
        </w:rPr>
        <w:t>万元，占</w:t>
      </w:r>
      <w:r>
        <w:rPr>
          <w:rFonts w:hint="eastAsia" w:ascii="仿宋_GB2312" w:hAnsi="仿宋_GB2312" w:eastAsia="仿宋_GB2312"/>
          <w:color w:val="auto"/>
          <w:kern w:val="2"/>
          <w:sz w:val="32"/>
          <w:szCs w:val="24"/>
          <w:lang w:val="en-US" w:eastAsia="zh-CN"/>
        </w:rPr>
        <w:t>79.33</w:t>
      </w:r>
      <w:r>
        <w:rPr>
          <w:rFonts w:hint="eastAsia" w:ascii="仿宋_GB2312" w:hAnsi="仿宋_GB2312" w:eastAsia="仿宋_GB2312"/>
          <w:color w:val="auto"/>
          <w:kern w:val="2"/>
          <w:sz w:val="32"/>
          <w:szCs w:val="24"/>
          <w:lang w:val="zh-CN"/>
        </w:rPr>
        <w:t>%；社会保障和就业支出21</w:t>
      </w:r>
      <w:r>
        <w:rPr>
          <w:rFonts w:hint="eastAsia" w:ascii="仿宋_GB2312" w:hAnsi="仿宋_GB2312" w:eastAsia="仿宋_GB2312"/>
          <w:color w:val="auto"/>
          <w:kern w:val="2"/>
          <w:sz w:val="32"/>
          <w:szCs w:val="24"/>
          <w:lang w:val="en-US" w:eastAsia="zh-CN"/>
        </w:rPr>
        <w:t>5.87</w:t>
      </w:r>
      <w:r>
        <w:rPr>
          <w:rFonts w:hint="eastAsia" w:ascii="仿宋_GB2312" w:hAnsi="仿宋_GB2312" w:eastAsia="仿宋_GB2312"/>
          <w:color w:val="auto"/>
          <w:kern w:val="2"/>
          <w:sz w:val="32"/>
          <w:szCs w:val="24"/>
          <w:lang w:val="zh-CN"/>
        </w:rPr>
        <w:t>万元，占</w:t>
      </w:r>
      <w:r>
        <w:rPr>
          <w:rFonts w:hint="eastAsia" w:ascii="仿宋_GB2312" w:hAnsi="仿宋_GB2312" w:eastAsia="仿宋_GB2312"/>
          <w:color w:val="auto"/>
          <w:kern w:val="2"/>
          <w:sz w:val="32"/>
          <w:szCs w:val="24"/>
          <w:lang w:val="en-US" w:eastAsia="zh-CN"/>
        </w:rPr>
        <w:t>11.3</w:t>
      </w:r>
      <w:r>
        <w:rPr>
          <w:rFonts w:hint="eastAsia" w:ascii="仿宋_GB2312" w:hAnsi="仿宋_GB2312" w:eastAsia="仿宋_GB2312"/>
          <w:color w:val="auto"/>
          <w:kern w:val="2"/>
          <w:sz w:val="32"/>
          <w:szCs w:val="24"/>
          <w:lang w:val="zh-CN"/>
        </w:rPr>
        <w:t>%；卫生健康支出</w:t>
      </w:r>
      <w:r>
        <w:rPr>
          <w:rFonts w:hint="eastAsia" w:ascii="仿宋_GB2312" w:hAnsi="仿宋_GB2312" w:eastAsia="仿宋_GB2312"/>
          <w:color w:val="auto"/>
          <w:kern w:val="2"/>
          <w:sz w:val="32"/>
          <w:szCs w:val="24"/>
          <w:lang w:val="en-US" w:eastAsia="zh-CN"/>
        </w:rPr>
        <w:t>55.90</w:t>
      </w:r>
      <w:r>
        <w:rPr>
          <w:rFonts w:hint="eastAsia" w:ascii="仿宋_GB2312" w:hAnsi="仿宋_GB2312" w:eastAsia="仿宋_GB2312"/>
          <w:color w:val="auto"/>
          <w:kern w:val="2"/>
          <w:sz w:val="32"/>
          <w:szCs w:val="24"/>
          <w:lang w:val="zh-CN"/>
        </w:rPr>
        <w:t>万元，占</w:t>
      </w:r>
      <w:r>
        <w:rPr>
          <w:rFonts w:hint="eastAsia" w:ascii="仿宋_GB2312" w:hAnsi="仿宋_GB2312" w:eastAsia="仿宋_GB2312"/>
          <w:color w:val="auto"/>
          <w:kern w:val="2"/>
          <w:sz w:val="32"/>
          <w:szCs w:val="24"/>
          <w:lang w:val="en-US" w:eastAsia="zh-CN"/>
        </w:rPr>
        <w:t>2.93</w:t>
      </w:r>
      <w:r>
        <w:rPr>
          <w:rFonts w:hint="eastAsia" w:ascii="仿宋_GB2312" w:hAnsi="仿宋_GB2312" w:eastAsia="仿宋_GB2312"/>
          <w:color w:val="auto"/>
          <w:kern w:val="2"/>
          <w:sz w:val="32"/>
          <w:szCs w:val="24"/>
          <w:lang w:val="zh-CN"/>
        </w:rPr>
        <w:t>%；住房保障支出</w:t>
      </w:r>
      <w:r>
        <w:rPr>
          <w:rFonts w:hint="eastAsia" w:ascii="仿宋_GB2312" w:hAnsi="仿宋_GB2312" w:eastAsia="仿宋_GB2312"/>
          <w:color w:val="auto"/>
          <w:kern w:val="2"/>
          <w:sz w:val="32"/>
          <w:szCs w:val="24"/>
          <w:lang w:val="en-US" w:eastAsia="zh-CN"/>
        </w:rPr>
        <w:t>122.95</w:t>
      </w:r>
      <w:r>
        <w:rPr>
          <w:rFonts w:hint="eastAsia" w:ascii="仿宋_GB2312" w:hAnsi="仿宋_GB2312" w:eastAsia="仿宋_GB2312"/>
          <w:color w:val="auto"/>
          <w:kern w:val="2"/>
          <w:sz w:val="32"/>
          <w:szCs w:val="24"/>
          <w:lang w:val="zh-CN"/>
        </w:rPr>
        <w:t>万元，占</w:t>
      </w:r>
      <w:r>
        <w:rPr>
          <w:rFonts w:hint="eastAsia" w:ascii="仿宋_GB2312" w:hAnsi="仿宋_GB2312" w:eastAsia="仿宋_GB2312"/>
          <w:color w:val="auto"/>
          <w:kern w:val="2"/>
          <w:sz w:val="32"/>
          <w:szCs w:val="24"/>
          <w:lang w:val="en-US" w:eastAsia="zh-CN"/>
        </w:rPr>
        <w:t>6.44</w:t>
      </w:r>
      <w:r>
        <w:rPr>
          <w:rFonts w:hint="eastAsia" w:ascii="仿宋_GB2312" w:hAnsi="仿宋_GB2312" w:eastAsia="仿宋_GB2312"/>
          <w:color w:val="auto"/>
          <w:kern w:val="2"/>
          <w:sz w:val="32"/>
          <w:szCs w:val="24"/>
          <w:lang w:val="zh-CN"/>
        </w:rPr>
        <w:t>%；</w:t>
      </w:r>
    </w:p>
    <w:p w14:paraId="3D286392">
      <w:pPr>
        <w:spacing w:beforeLines="0" w:afterLines="0" w:line="600" w:lineRule="exact"/>
        <w:ind w:firstLine="640"/>
        <w:jc w:val="both"/>
        <w:rPr>
          <w:rFonts w:hint="eastAsia" w:ascii="仿宋" w:hAnsi="仿宋" w:eastAsia="仿宋"/>
          <w:b/>
          <w:color w:val="auto"/>
          <w:kern w:val="2"/>
          <w:sz w:val="32"/>
          <w:szCs w:val="24"/>
          <w:lang w:val="en-US"/>
        </w:rPr>
      </w:pPr>
      <w:r>
        <w:rPr>
          <w:rFonts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600710</wp:posOffset>
            </wp:positionH>
            <wp:positionV relativeFrom="paragraph">
              <wp:posOffset>78740</wp:posOffset>
            </wp:positionV>
            <wp:extent cx="4745990" cy="2885440"/>
            <wp:effectExtent l="4445" t="4445" r="12065" b="571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50B9D12B">
      <w:pPr>
        <w:spacing w:beforeLines="0" w:afterLines="0" w:line="600" w:lineRule="exact"/>
        <w:ind w:left="638" w:leftChars="266" w:firstLine="208" w:firstLineChars="65"/>
        <w:jc w:val="both"/>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（图6：一般公共预算财政拨款支出决算结构）</w:t>
      </w:r>
    </w:p>
    <w:p w14:paraId="254291C8">
      <w:pPr>
        <w:spacing w:beforeLines="0" w:afterLines="0" w:line="600" w:lineRule="exact"/>
        <w:ind w:firstLine="643" w:firstLineChars="200"/>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（三）一般公共预算财政拨款支出决算具体情况。</w:t>
      </w:r>
    </w:p>
    <w:p w14:paraId="2BDA28DB">
      <w:pPr>
        <w:spacing w:beforeLines="0" w:afterLines="0" w:line="600" w:lineRule="exact"/>
        <w:ind w:firstLine="643" w:firstLineChars="200"/>
        <w:jc w:val="both"/>
        <w:rPr>
          <w:rFonts w:hint="eastAsia" w:ascii="仿宋_GB2312" w:hAnsi="仿宋_GB2312" w:eastAsia="仿宋_GB2312"/>
          <w:b/>
          <w:color w:val="auto"/>
          <w:kern w:val="2"/>
          <w:sz w:val="32"/>
          <w:szCs w:val="24"/>
          <w:lang w:val="zh-CN"/>
        </w:rPr>
      </w:pPr>
      <w:r>
        <w:rPr>
          <w:rFonts w:hint="eastAsia" w:ascii="仿宋_GB2312" w:hAnsi="仿宋_GB2312" w:eastAsia="仿宋_GB2312"/>
          <w:b/>
          <w:color w:val="000000"/>
          <w:kern w:val="2"/>
          <w:sz w:val="32"/>
          <w:szCs w:val="24"/>
          <w:lang w:val="zh-CN"/>
        </w:rPr>
        <w:t>2</w:t>
      </w:r>
      <w:r>
        <w:rPr>
          <w:rFonts w:hint="eastAsia" w:ascii="仿宋_GB2312" w:hAnsi="仿宋_GB2312" w:eastAsia="仿宋_GB2312"/>
          <w:b/>
          <w:color w:val="auto"/>
          <w:kern w:val="2"/>
          <w:sz w:val="32"/>
          <w:szCs w:val="24"/>
          <w:lang w:val="zh-CN"/>
        </w:rPr>
        <w:t>02</w:t>
      </w:r>
      <w:r>
        <w:rPr>
          <w:rFonts w:hint="eastAsia" w:ascii="仿宋_GB2312" w:hAnsi="仿宋_GB2312" w:eastAsia="仿宋_GB2312"/>
          <w:b/>
          <w:color w:val="auto"/>
          <w:kern w:val="2"/>
          <w:sz w:val="32"/>
          <w:szCs w:val="24"/>
          <w:lang w:val="en-US" w:eastAsia="zh-CN"/>
        </w:rPr>
        <w:t>3</w:t>
      </w:r>
      <w:r>
        <w:rPr>
          <w:rFonts w:hint="eastAsia" w:ascii="仿宋_GB2312" w:hAnsi="仿宋_GB2312" w:eastAsia="仿宋_GB2312"/>
          <w:b/>
          <w:color w:val="auto"/>
          <w:kern w:val="2"/>
          <w:sz w:val="32"/>
          <w:szCs w:val="24"/>
          <w:lang w:val="zh-CN"/>
        </w:rPr>
        <w:t>年一般公共预算支出决算数为</w:t>
      </w:r>
      <w:r>
        <w:rPr>
          <w:rFonts w:hint="eastAsia" w:ascii="仿宋_GB2312" w:hAnsi="仿宋_GB2312" w:eastAsia="仿宋_GB2312"/>
          <w:b/>
          <w:color w:val="auto"/>
          <w:kern w:val="2"/>
          <w:sz w:val="32"/>
          <w:szCs w:val="24"/>
          <w:lang w:val="en-US" w:eastAsia="zh-CN"/>
        </w:rPr>
        <w:t>1748.35</w:t>
      </w:r>
      <w:r>
        <w:rPr>
          <w:rFonts w:hint="eastAsia" w:ascii="仿宋_GB2312" w:hAnsi="仿宋_GB2312" w:eastAsia="仿宋_GB2312"/>
          <w:b/>
          <w:color w:val="auto"/>
          <w:kern w:val="2"/>
          <w:sz w:val="32"/>
          <w:szCs w:val="24"/>
          <w:lang w:val="zh-CN"/>
        </w:rPr>
        <w:t>万元</w:t>
      </w:r>
      <w:r>
        <w:rPr>
          <w:rFonts w:hint="eastAsia" w:ascii="仿宋_GB2312" w:hAnsi="仿宋_GB2312" w:eastAsia="仿宋_GB2312"/>
          <w:color w:val="auto"/>
          <w:kern w:val="2"/>
          <w:sz w:val="32"/>
          <w:szCs w:val="24"/>
          <w:lang w:val="zh-CN"/>
        </w:rPr>
        <w:t>，</w:t>
      </w:r>
      <w:r>
        <w:rPr>
          <w:rFonts w:hint="eastAsia" w:ascii="仿宋_GB2312" w:hAnsi="仿宋_GB2312" w:eastAsia="仿宋_GB2312"/>
          <w:b/>
          <w:color w:val="auto"/>
          <w:kern w:val="2"/>
          <w:sz w:val="32"/>
          <w:szCs w:val="24"/>
          <w:lang w:val="zh-CN"/>
        </w:rPr>
        <w:t>完成预算</w:t>
      </w:r>
      <w:r>
        <w:rPr>
          <w:rFonts w:hint="eastAsia" w:ascii="仿宋_GB2312" w:hAnsi="仿宋_GB2312" w:eastAsia="仿宋_GB2312"/>
          <w:b/>
          <w:color w:val="auto"/>
          <w:kern w:val="2"/>
          <w:sz w:val="32"/>
          <w:szCs w:val="24"/>
          <w:lang w:val="en-US" w:eastAsia="zh-CN"/>
        </w:rPr>
        <w:t>100</w:t>
      </w:r>
      <w:r>
        <w:rPr>
          <w:rFonts w:hint="eastAsia" w:ascii="仿宋_GB2312" w:hAnsi="仿宋_GB2312" w:eastAsia="仿宋_GB2312"/>
          <w:b/>
          <w:color w:val="auto"/>
          <w:kern w:val="2"/>
          <w:sz w:val="32"/>
          <w:szCs w:val="24"/>
          <w:lang w:val="zh-CN"/>
        </w:rPr>
        <w:t>%。其中：</w:t>
      </w:r>
    </w:p>
    <w:p w14:paraId="52C49F32">
      <w:pPr>
        <w:spacing w:line="360" w:lineRule="auto"/>
        <w:ind w:firstLine="643" w:firstLineChars="200"/>
        <w:rPr>
          <w:rFonts w:hint="eastAsia" w:ascii="仿宋" w:hAnsi="仿宋" w:eastAsia="仿宋" w:cs="仿宋"/>
          <w:bCs/>
          <w:color w:val="000000"/>
          <w:sz w:val="32"/>
          <w:szCs w:val="32"/>
          <w:lang w:val="en-US" w:eastAsia="zh-CN"/>
        </w:rPr>
      </w:pP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rPr>
        <w:t>教育（205类）普通教育（02款）小学教育（02项）</w:t>
      </w:r>
      <w:r>
        <w:rPr>
          <w:rFonts w:hint="eastAsia" w:ascii="仿宋" w:hAnsi="仿宋" w:eastAsia="仿宋" w:cs="仿宋"/>
          <w:b/>
          <w:bCs/>
          <w:color w:val="auto"/>
          <w:sz w:val="32"/>
          <w:szCs w:val="32"/>
          <w:lang w:eastAsia="zh-CN"/>
        </w:rPr>
        <w:t>：</w:t>
      </w:r>
      <w:r>
        <w:rPr>
          <w:rFonts w:hint="eastAsia" w:ascii="仿宋" w:hAnsi="仿宋" w:eastAsia="仿宋" w:cs="仿宋"/>
          <w:bCs/>
          <w:color w:val="auto"/>
          <w:sz w:val="32"/>
          <w:szCs w:val="32"/>
        </w:rPr>
        <w:t>本年收入</w:t>
      </w:r>
      <w:r>
        <w:rPr>
          <w:rFonts w:hint="eastAsia" w:ascii="仿宋" w:hAnsi="仿宋" w:eastAsia="仿宋" w:cs="仿宋"/>
          <w:bCs/>
          <w:color w:val="auto"/>
          <w:sz w:val="32"/>
          <w:szCs w:val="32"/>
          <w:lang w:val="en-US" w:eastAsia="zh-CN"/>
        </w:rPr>
        <w:t>1348.03</w:t>
      </w:r>
      <w:r>
        <w:rPr>
          <w:rFonts w:hint="eastAsia" w:ascii="仿宋" w:hAnsi="仿宋" w:eastAsia="仿宋" w:cs="仿宋"/>
          <w:bCs/>
          <w:color w:val="auto"/>
          <w:sz w:val="32"/>
          <w:szCs w:val="32"/>
        </w:rPr>
        <w:t>万元，支出决算数为</w:t>
      </w:r>
      <w:r>
        <w:rPr>
          <w:rFonts w:hint="eastAsia" w:ascii="仿宋" w:hAnsi="仿宋" w:eastAsia="仿宋" w:cs="仿宋"/>
          <w:bCs/>
          <w:color w:val="auto"/>
          <w:sz w:val="32"/>
          <w:szCs w:val="32"/>
          <w:lang w:val="en-US" w:eastAsia="zh-CN"/>
        </w:rPr>
        <w:t>1348.03</w:t>
      </w:r>
      <w:r>
        <w:rPr>
          <w:rFonts w:hint="eastAsia" w:ascii="仿宋" w:hAnsi="仿宋" w:eastAsia="仿宋" w:cs="仿宋"/>
          <w:bCs/>
          <w:color w:val="auto"/>
          <w:sz w:val="32"/>
          <w:szCs w:val="32"/>
        </w:rPr>
        <w:t>万元，完成预</w:t>
      </w:r>
      <w:r>
        <w:rPr>
          <w:rFonts w:hint="eastAsia" w:ascii="仿宋" w:hAnsi="仿宋" w:eastAsia="仿宋" w:cs="仿宋"/>
          <w:bCs/>
          <w:color w:val="000000"/>
          <w:sz w:val="32"/>
          <w:szCs w:val="32"/>
        </w:rPr>
        <w:t>算1</w:t>
      </w:r>
      <w:r>
        <w:rPr>
          <w:rFonts w:hint="eastAsia" w:ascii="仿宋" w:hAnsi="仿宋" w:eastAsia="仿宋" w:cs="仿宋"/>
          <w:bCs/>
          <w:color w:val="000000"/>
          <w:sz w:val="32"/>
          <w:szCs w:val="32"/>
          <w:lang w:val="en-US" w:eastAsia="zh-CN"/>
        </w:rPr>
        <w:t>00</w:t>
      </w:r>
      <w:r>
        <w:rPr>
          <w:rFonts w:hint="eastAsia" w:ascii="仿宋" w:hAnsi="仿宋" w:eastAsia="仿宋" w:cs="仿宋"/>
          <w:bCs/>
          <w:color w:val="000000"/>
          <w:sz w:val="32"/>
          <w:szCs w:val="32"/>
        </w:rPr>
        <w:t>%。</w:t>
      </w:r>
      <w:r>
        <w:rPr>
          <w:rFonts w:hint="eastAsia" w:ascii="仿宋" w:hAnsi="仿宋" w:eastAsia="仿宋" w:cs="仿宋"/>
          <w:bCs/>
          <w:color w:val="000000"/>
          <w:sz w:val="32"/>
          <w:szCs w:val="32"/>
          <w:lang w:val="en-US" w:eastAsia="zh-CN"/>
        </w:rPr>
        <w:t xml:space="preserve"> </w:t>
      </w:r>
    </w:p>
    <w:p w14:paraId="4BBED47D">
      <w:pPr>
        <w:spacing w:line="360" w:lineRule="auto"/>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教育（205类）</w:t>
      </w:r>
      <w:r>
        <w:rPr>
          <w:rFonts w:hint="eastAsia" w:ascii="仿宋" w:hAnsi="仿宋" w:eastAsia="仿宋" w:cs="仿宋"/>
          <w:b/>
          <w:bCs/>
          <w:color w:val="auto"/>
          <w:sz w:val="32"/>
          <w:szCs w:val="32"/>
          <w:lang w:val="en-US" w:eastAsia="zh-CN"/>
        </w:rPr>
        <w:t>其他</w:t>
      </w:r>
      <w:r>
        <w:rPr>
          <w:rFonts w:hint="eastAsia" w:ascii="仿宋" w:hAnsi="仿宋" w:eastAsia="仿宋" w:cs="仿宋"/>
          <w:b/>
          <w:bCs/>
          <w:color w:val="auto"/>
          <w:sz w:val="32"/>
          <w:szCs w:val="32"/>
          <w:lang w:eastAsia="zh-CN"/>
        </w:rPr>
        <w:t>教育支出</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99</w:t>
      </w:r>
      <w:r>
        <w:rPr>
          <w:rFonts w:hint="eastAsia" w:ascii="仿宋" w:hAnsi="仿宋" w:eastAsia="仿宋" w:cs="仿宋"/>
          <w:b/>
          <w:bCs/>
          <w:color w:val="auto"/>
          <w:sz w:val="32"/>
          <w:szCs w:val="32"/>
        </w:rPr>
        <w:t>款）</w:t>
      </w:r>
      <w:r>
        <w:rPr>
          <w:rFonts w:hint="eastAsia" w:ascii="仿宋" w:hAnsi="仿宋" w:eastAsia="仿宋" w:cs="仿宋"/>
          <w:b/>
          <w:bCs/>
          <w:color w:val="auto"/>
          <w:sz w:val="32"/>
          <w:szCs w:val="32"/>
          <w:lang w:val="en-US" w:eastAsia="zh-CN"/>
        </w:rPr>
        <w:t>其他</w:t>
      </w:r>
      <w:r>
        <w:rPr>
          <w:rFonts w:hint="eastAsia" w:ascii="仿宋" w:hAnsi="仿宋" w:eastAsia="仿宋" w:cs="仿宋"/>
          <w:b/>
          <w:bCs/>
          <w:color w:val="auto"/>
          <w:sz w:val="32"/>
          <w:szCs w:val="32"/>
          <w:lang w:eastAsia="zh-CN"/>
        </w:rPr>
        <w:t>教育支出</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99</w:t>
      </w:r>
      <w:r>
        <w:rPr>
          <w:rFonts w:hint="eastAsia" w:ascii="仿宋" w:hAnsi="仿宋" w:eastAsia="仿宋" w:cs="仿宋"/>
          <w:b/>
          <w:bCs/>
          <w:color w:val="auto"/>
          <w:sz w:val="32"/>
          <w:szCs w:val="32"/>
        </w:rPr>
        <w:t>项）</w:t>
      </w:r>
      <w:r>
        <w:rPr>
          <w:rFonts w:hint="eastAsia" w:ascii="仿宋" w:hAnsi="仿宋" w:eastAsia="仿宋" w:cs="仿宋"/>
          <w:b/>
          <w:bCs/>
          <w:color w:val="auto"/>
          <w:sz w:val="32"/>
          <w:szCs w:val="32"/>
          <w:lang w:eastAsia="zh-CN"/>
        </w:rPr>
        <w:t>：</w:t>
      </w:r>
      <w:r>
        <w:rPr>
          <w:rFonts w:hint="eastAsia" w:ascii="仿宋" w:hAnsi="仿宋" w:eastAsia="仿宋" w:cs="仿宋"/>
          <w:bCs/>
          <w:color w:val="auto"/>
          <w:sz w:val="32"/>
          <w:szCs w:val="32"/>
        </w:rPr>
        <w:t>本年收入</w:t>
      </w:r>
      <w:r>
        <w:rPr>
          <w:rFonts w:hint="eastAsia" w:ascii="仿宋" w:hAnsi="仿宋" w:eastAsia="仿宋" w:cs="仿宋"/>
          <w:bCs/>
          <w:color w:val="auto"/>
          <w:sz w:val="32"/>
          <w:szCs w:val="32"/>
          <w:lang w:val="en-US" w:eastAsia="zh-CN"/>
        </w:rPr>
        <w:t>5.6</w:t>
      </w:r>
      <w:r>
        <w:rPr>
          <w:rFonts w:hint="eastAsia" w:ascii="仿宋" w:hAnsi="仿宋" w:eastAsia="仿宋" w:cs="仿宋"/>
          <w:bCs/>
          <w:color w:val="auto"/>
          <w:sz w:val="32"/>
          <w:szCs w:val="32"/>
        </w:rPr>
        <w:t>万元，支出决算数为</w:t>
      </w:r>
      <w:r>
        <w:rPr>
          <w:rFonts w:hint="eastAsia" w:ascii="仿宋" w:hAnsi="仿宋" w:eastAsia="仿宋" w:cs="仿宋"/>
          <w:bCs/>
          <w:color w:val="auto"/>
          <w:sz w:val="32"/>
          <w:szCs w:val="32"/>
          <w:lang w:val="en-US" w:eastAsia="zh-CN"/>
        </w:rPr>
        <w:t>5.6</w:t>
      </w:r>
      <w:r>
        <w:rPr>
          <w:rFonts w:hint="eastAsia" w:ascii="仿宋" w:hAnsi="仿宋" w:eastAsia="仿宋" w:cs="仿宋"/>
          <w:bCs/>
          <w:color w:val="auto"/>
          <w:sz w:val="32"/>
          <w:szCs w:val="32"/>
        </w:rPr>
        <w:t>万元，完成预算100%。</w:t>
      </w:r>
    </w:p>
    <w:p w14:paraId="5AAE9C1E">
      <w:pPr>
        <w:spacing w:line="360" w:lineRule="auto"/>
        <w:ind w:firstLine="643" w:firstLineChars="200"/>
        <w:rPr>
          <w:rFonts w:hint="eastAsia" w:ascii="仿宋" w:hAnsi="仿宋" w:eastAsia="仿宋" w:cs="仿宋"/>
          <w:b/>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社会保障和就业（208类）行政事业单位养老支出（05款）机关事业单位基本养老保险缴费支出（05项）</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 xml:space="preserve"> 本年收入</w:t>
      </w:r>
      <w:r>
        <w:rPr>
          <w:rFonts w:hint="eastAsia" w:ascii="仿宋" w:hAnsi="仿宋" w:eastAsia="仿宋" w:cs="仿宋"/>
          <w:b/>
          <w:bCs/>
          <w:color w:val="auto"/>
          <w:sz w:val="32"/>
          <w:szCs w:val="32"/>
          <w:lang w:val="en-US" w:eastAsia="zh-CN"/>
        </w:rPr>
        <w:t>123.35</w:t>
      </w:r>
      <w:r>
        <w:rPr>
          <w:rFonts w:hint="eastAsia" w:ascii="仿宋" w:hAnsi="仿宋" w:eastAsia="仿宋" w:cs="仿宋"/>
          <w:b/>
          <w:bCs/>
          <w:color w:val="auto"/>
          <w:sz w:val="32"/>
          <w:szCs w:val="32"/>
        </w:rPr>
        <w:t>万元，支出决算为</w:t>
      </w:r>
      <w:r>
        <w:rPr>
          <w:rFonts w:hint="eastAsia" w:ascii="仿宋" w:hAnsi="仿宋" w:eastAsia="仿宋" w:cs="仿宋"/>
          <w:b/>
          <w:bCs/>
          <w:color w:val="auto"/>
          <w:sz w:val="32"/>
          <w:szCs w:val="32"/>
          <w:lang w:val="en-US" w:eastAsia="zh-CN"/>
        </w:rPr>
        <w:t>123.35</w:t>
      </w:r>
      <w:r>
        <w:rPr>
          <w:rFonts w:hint="eastAsia" w:ascii="仿宋" w:hAnsi="仿宋" w:eastAsia="仿宋" w:cs="仿宋"/>
          <w:b/>
          <w:bCs/>
          <w:color w:val="auto"/>
          <w:sz w:val="32"/>
          <w:szCs w:val="32"/>
        </w:rPr>
        <w:t>万元，完成预算100%。</w:t>
      </w:r>
    </w:p>
    <w:p w14:paraId="58F9191C">
      <w:pPr>
        <w:spacing w:line="360" w:lineRule="auto"/>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4.</w:t>
      </w:r>
      <w:r>
        <w:rPr>
          <w:rFonts w:hint="eastAsia" w:ascii="仿宋" w:hAnsi="仿宋" w:eastAsia="仿宋" w:cs="仿宋"/>
          <w:b/>
          <w:bCs/>
          <w:color w:val="auto"/>
          <w:sz w:val="32"/>
          <w:szCs w:val="32"/>
        </w:rPr>
        <w:t>社会保障和就业（208类）行政事业单位养老支出（05款）机关事业单位职业年金缴费支出（06项）</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 xml:space="preserve"> 本收入</w:t>
      </w:r>
      <w:r>
        <w:rPr>
          <w:rFonts w:hint="eastAsia" w:ascii="仿宋" w:hAnsi="仿宋" w:eastAsia="仿宋" w:cs="仿宋"/>
          <w:b/>
          <w:bCs/>
          <w:color w:val="auto"/>
          <w:sz w:val="32"/>
          <w:szCs w:val="32"/>
          <w:lang w:val="en-US" w:eastAsia="zh-CN"/>
        </w:rPr>
        <w:t>61.67</w:t>
      </w:r>
      <w:r>
        <w:rPr>
          <w:rFonts w:hint="eastAsia" w:ascii="仿宋" w:hAnsi="仿宋" w:eastAsia="仿宋" w:cs="仿宋"/>
          <w:b/>
          <w:bCs/>
          <w:color w:val="auto"/>
          <w:sz w:val="32"/>
          <w:szCs w:val="32"/>
        </w:rPr>
        <w:t>万元，支出决算为</w:t>
      </w:r>
      <w:r>
        <w:rPr>
          <w:rFonts w:hint="eastAsia" w:ascii="仿宋" w:hAnsi="仿宋" w:eastAsia="仿宋" w:cs="仿宋"/>
          <w:b/>
          <w:bCs/>
          <w:color w:val="auto"/>
          <w:sz w:val="32"/>
          <w:szCs w:val="32"/>
          <w:lang w:val="en-US" w:eastAsia="zh-CN"/>
        </w:rPr>
        <w:t>61.67</w:t>
      </w:r>
      <w:r>
        <w:rPr>
          <w:rFonts w:hint="eastAsia" w:ascii="仿宋" w:hAnsi="仿宋" w:eastAsia="仿宋" w:cs="仿宋"/>
          <w:b/>
          <w:bCs/>
          <w:color w:val="auto"/>
          <w:sz w:val="32"/>
          <w:szCs w:val="32"/>
        </w:rPr>
        <w:t>万元，完成预算100%。</w:t>
      </w:r>
    </w:p>
    <w:p w14:paraId="5FC057AD">
      <w:pPr>
        <w:spacing w:line="360" w:lineRule="auto"/>
        <w:ind w:firstLine="643" w:firstLineChars="20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rPr>
        <w:t>社会保障和就业（208类）</w:t>
      </w:r>
      <w:r>
        <w:rPr>
          <w:rFonts w:hint="eastAsia" w:ascii="仿宋" w:hAnsi="仿宋" w:eastAsia="仿宋" w:cs="仿宋"/>
          <w:b/>
          <w:bCs/>
          <w:color w:val="auto"/>
          <w:sz w:val="32"/>
          <w:szCs w:val="32"/>
          <w:lang w:eastAsia="zh-CN"/>
        </w:rPr>
        <w:t>抚恤（</w:t>
      </w:r>
      <w:r>
        <w:rPr>
          <w:rFonts w:hint="eastAsia" w:ascii="仿宋" w:hAnsi="仿宋" w:eastAsia="仿宋" w:cs="仿宋"/>
          <w:b/>
          <w:bCs/>
          <w:color w:val="auto"/>
          <w:sz w:val="32"/>
          <w:szCs w:val="32"/>
          <w:lang w:val="en-US" w:eastAsia="zh-CN"/>
        </w:rPr>
        <w:t>08款</w:t>
      </w:r>
      <w:r>
        <w:rPr>
          <w:rFonts w:hint="eastAsia" w:ascii="仿宋" w:hAnsi="仿宋" w:eastAsia="仿宋" w:cs="仿宋"/>
          <w:b/>
          <w:bCs/>
          <w:color w:val="auto"/>
          <w:sz w:val="32"/>
          <w:szCs w:val="32"/>
          <w:lang w:eastAsia="zh-CN"/>
        </w:rPr>
        <w:t>）死亡抚恤（</w:t>
      </w:r>
      <w:r>
        <w:rPr>
          <w:rFonts w:hint="eastAsia" w:ascii="仿宋" w:hAnsi="仿宋" w:eastAsia="仿宋" w:cs="仿宋"/>
          <w:b/>
          <w:bCs/>
          <w:color w:val="auto"/>
          <w:sz w:val="32"/>
          <w:szCs w:val="32"/>
          <w:lang w:val="en-US" w:eastAsia="zh-CN"/>
        </w:rPr>
        <w:t>01项</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本收入</w:t>
      </w:r>
      <w:r>
        <w:rPr>
          <w:rFonts w:hint="eastAsia" w:ascii="仿宋" w:hAnsi="仿宋" w:eastAsia="仿宋" w:cs="仿宋"/>
          <w:b/>
          <w:bCs/>
          <w:color w:val="auto"/>
          <w:sz w:val="32"/>
          <w:szCs w:val="32"/>
          <w:lang w:val="en-US" w:eastAsia="zh-CN"/>
        </w:rPr>
        <w:t>8.5</w:t>
      </w:r>
      <w:r>
        <w:rPr>
          <w:rFonts w:hint="eastAsia" w:ascii="仿宋" w:hAnsi="仿宋" w:eastAsia="仿宋" w:cs="仿宋"/>
          <w:b/>
          <w:bCs/>
          <w:color w:val="auto"/>
          <w:sz w:val="32"/>
          <w:szCs w:val="32"/>
        </w:rPr>
        <w:t>万元，支出决算为</w:t>
      </w:r>
      <w:r>
        <w:rPr>
          <w:rFonts w:hint="eastAsia" w:ascii="仿宋" w:hAnsi="仿宋" w:eastAsia="仿宋" w:cs="仿宋"/>
          <w:b/>
          <w:bCs/>
          <w:color w:val="auto"/>
          <w:sz w:val="32"/>
          <w:szCs w:val="32"/>
          <w:lang w:val="en-US" w:eastAsia="zh-CN"/>
        </w:rPr>
        <w:t>8.5</w:t>
      </w:r>
      <w:r>
        <w:rPr>
          <w:rFonts w:hint="eastAsia" w:ascii="仿宋" w:hAnsi="仿宋" w:eastAsia="仿宋" w:cs="仿宋"/>
          <w:b/>
          <w:bCs/>
          <w:color w:val="auto"/>
          <w:sz w:val="32"/>
          <w:szCs w:val="32"/>
        </w:rPr>
        <w:t>万元，完成预算100%。</w:t>
      </w:r>
    </w:p>
    <w:p w14:paraId="099EE0CF">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color w:val="auto"/>
          <w:sz w:val="32"/>
          <w:szCs w:val="32"/>
          <w:lang w:val="en-US" w:eastAsia="zh-CN"/>
        </w:rPr>
        <w:t>6.</w:t>
      </w:r>
      <w:r>
        <w:rPr>
          <w:rFonts w:hint="eastAsia" w:ascii="仿宋" w:hAnsi="仿宋" w:eastAsia="仿宋" w:cs="仿宋"/>
          <w:b/>
          <w:bCs/>
          <w:color w:val="auto"/>
          <w:sz w:val="32"/>
          <w:szCs w:val="32"/>
        </w:rPr>
        <w:t>社会保障和就业（208类）其他社会保障和就业支出（99款）其他社会保障和就业支出</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99项</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 xml:space="preserve"> 本年收入</w:t>
      </w:r>
      <w:r>
        <w:rPr>
          <w:rFonts w:hint="eastAsia" w:ascii="仿宋" w:hAnsi="仿宋" w:eastAsia="仿宋" w:cs="仿宋"/>
          <w:b/>
          <w:bCs/>
          <w:color w:val="auto"/>
          <w:sz w:val="32"/>
          <w:szCs w:val="32"/>
          <w:lang w:val="en-US" w:eastAsia="zh-CN"/>
        </w:rPr>
        <w:t>22.35</w:t>
      </w:r>
      <w:r>
        <w:rPr>
          <w:rFonts w:hint="eastAsia" w:ascii="仿宋" w:hAnsi="仿宋" w:eastAsia="仿宋" w:cs="仿宋"/>
          <w:b/>
          <w:bCs/>
          <w:color w:val="auto"/>
          <w:sz w:val="32"/>
          <w:szCs w:val="32"/>
        </w:rPr>
        <w:t>万元，支出决算数为</w:t>
      </w:r>
      <w:r>
        <w:rPr>
          <w:rFonts w:hint="eastAsia" w:ascii="仿宋" w:hAnsi="仿宋" w:eastAsia="仿宋" w:cs="仿宋"/>
          <w:b/>
          <w:bCs/>
          <w:color w:val="auto"/>
          <w:sz w:val="32"/>
          <w:szCs w:val="32"/>
          <w:lang w:val="en-US" w:eastAsia="zh-CN"/>
        </w:rPr>
        <w:t>22.35</w:t>
      </w:r>
      <w:r>
        <w:rPr>
          <w:rFonts w:hint="eastAsia" w:ascii="仿宋" w:hAnsi="仿宋" w:eastAsia="仿宋" w:cs="仿宋"/>
          <w:b/>
          <w:bCs/>
          <w:color w:val="auto"/>
          <w:sz w:val="32"/>
          <w:szCs w:val="32"/>
        </w:rPr>
        <w:t>万元，完成预算10</w:t>
      </w:r>
      <w:r>
        <w:rPr>
          <w:rFonts w:hint="eastAsia" w:ascii="仿宋" w:hAnsi="仿宋" w:eastAsia="仿宋" w:cs="仿宋"/>
          <w:b/>
          <w:bCs/>
          <w:sz w:val="32"/>
          <w:szCs w:val="32"/>
        </w:rPr>
        <w:t>0%。</w:t>
      </w:r>
    </w:p>
    <w:p w14:paraId="4FD51FDB">
      <w:pPr>
        <w:spacing w:line="360" w:lineRule="auto"/>
        <w:ind w:firstLine="630" w:firstLineChars="196"/>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7.</w:t>
      </w:r>
      <w:r>
        <w:rPr>
          <w:rFonts w:hint="eastAsia" w:ascii="仿宋" w:hAnsi="仿宋" w:eastAsia="仿宋" w:cs="仿宋"/>
          <w:b/>
          <w:bCs/>
          <w:color w:val="auto"/>
          <w:sz w:val="32"/>
          <w:szCs w:val="32"/>
        </w:rPr>
        <w:t>卫生健康（210类）行政事业单位医疗（11款）事业单位医疗（0</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项）</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本年收入</w:t>
      </w:r>
      <w:r>
        <w:rPr>
          <w:rFonts w:hint="eastAsia" w:ascii="仿宋" w:hAnsi="仿宋" w:eastAsia="仿宋" w:cs="仿宋"/>
          <w:b/>
          <w:bCs/>
          <w:color w:val="auto"/>
          <w:sz w:val="32"/>
          <w:szCs w:val="32"/>
          <w:lang w:val="en-US" w:eastAsia="zh-CN"/>
        </w:rPr>
        <w:t>47.68</w:t>
      </w:r>
      <w:r>
        <w:rPr>
          <w:rFonts w:hint="eastAsia" w:ascii="仿宋" w:hAnsi="仿宋" w:eastAsia="仿宋" w:cs="仿宋"/>
          <w:b/>
          <w:bCs/>
          <w:color w:val="auto"/>
          <w:sz w:val="32"/>
          <w:szCs w:val="32"/>
        </w:rPr>
        <w:t>万元，支出决算数为</w:t>
      </w:r>
      <w:r>
        <w:rPr>
          <w:rFonts w:hint="eastAsia" w:ascii="仿宋" w:hAnsi="仿宋" w:eastAsia="仿宋" w:cs="仿宋"/>
          <w:b/>
          <w:bCs/>
          <w:color w:val="auto"/>
          <w:sz w:val="32"/>
          <w:szCs w:val="32"/>
          <w:lang w:val="en-US" w:eastAsia="zh-CN"/>
        </w:rPr>
        <w:t>47.68</w:t>
      </w:r>
      <w:r>
        <w:rPr>
          <w:rFonts w:hint="eastAsia" w:ascii="仿宋" w:hAnsi="仿宋" w:eastAsia="仿宋" w:cs="仿宋"/>
          <w:b/>
          <w:bCs/>
          <w:color w:val="auto"/>
          <w:sz w:val="32"/>
          <w:szCs w:val="32"/>
        </w:rPr>
        <w:t>万元，完成预算100%。</w:t>
      </w:r>
    </w:p>
    <w:p w14:paraId="5F5074CF">
      <w:pPr>
        <w:spacing w:line="360" w:lineRule="auto"/>
        <w:ind w:firstLine="630" w:firstLineChars="196"/>
        <w:rPr>
          <w:rFonts w:hint="eastAsia" w:ascii="仿宋" w:hAnsi="仿宋" w:eastAsia="仿宋" w:cs="仿宋"/>
          <w:bCs/>
          <w:color w:val="auto"/>
          <w:sz w:val="32"/>
          <w:szCs w:val="32"/>
        </w:rPr>
      </w:pPr>
      <w:r>
        <w:rPr>
          <w:rFonts w:hint="eastAsia" w:ascii="仿宋" w:hAnsi="仿宋" w:eastAsia="仿宋" w:cs="仿宋"/>
          <w:b/>
          <w:bCs/>
          <w:color w:val="auto"/>
          <w:sz w:val="32"/>
          <w:szCs w:val="32"/>
          <w:lang w:val="en-US" w:eastAsia="zh-CN"/>
        </w:rPr>
        <w:t>8.</w:t>
      </w:r>
      <w:r>
        <w:rPr>
          <w:rFonts w:hint="eastAsia" w:ascii="仿宋" w:hAnsi="仿宋" w:eastAsia="仿宋" w:cs="仿宋"/>
          <w:b/>
          <w:bCs/>
          <w:color w:val="auto"/>
          <w:sz w:val="32"/>
          <w:szCs w:val="32"/>
        </w:rPr>
        <w:t>卫生健康（210类）行政事业单位医疗（11款）公务员医疗补助（0</w:t>
      </w: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项）</w:t>
      </w: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rPr>
        <w:t>本年收入</w:t>
      </w:r>
      <w:r>
        <w:rPr>
          <w:rFonts w:hint="eastAsia" w:ascii="仿宋" w:hAnsi="仿宋" w:eastAsia="仿宋" w:cs="仿宋"/>
          <w:b/>
          <w:bCs/>
          <w:color w:val="auto"/>
          <w:sz w:val="32"/>
          <w:szCs w:val="32"/>
          <w:lang w:val="en-US" w:eastAsia="zh-CN"/>
        </w:rPr>
        <w:t>8.22</w:t>
      </w:r>
      <w:r>
        <w:rPr>
          <w:rFonts w:hint="eastAsia" w:ascii="仿宋" w:hAnsi="仿宋" w:eastAsia="仿宋" w:cs="仿宋"/>
          <w:b/>
          <w:bCs/>
          <w:color w:val="auto"/>
          <w:sz w:val="32"/>
          <w:szCs w:val="32"/>
        </w:rPr>
        <w:t>万元，支出决算数为</w:t>
      </w:r>
      <w:r>
        <w:rPr>
          <w:rFonts w:hint="eastAsia" w:ascii="仿宋" w:hAnsi="仿宋" w:eastAsia="仿宋" w:cs="仿宋"/>
          <w:b/>
          <w:bCs/>
          <w:color w:val="auto"/>
          <w:sz w:val="32"/>
          <w:szCs w:val="32"/>
          <w:lang w:val="en-US" w:eastAsia="zh-CN"/>
        </w:rPr>
        <w:t>8.22</w:t>
      </w:r>
      <w:r>
        <w:rPr>
          <w:rFonts w:hint="eastAsia" w:ascii="仿宋" w:hAnsi="仿宋" w:eastAsia="仿宋" w:cs="仿宋"/>
          <w:b/>
          <w:bCs/>
          <w:color w:val="auto"/>
          <w:sz w:val="32"/>
          <w:szCs w:val="32"/>
        </w:rPr>
        <w:t>万元，完成预算100%。</w:t>
      </w:r>
    </w:p>
    <w:p w14:paraId="799A2514">
      <w:pPr>
        <w:spacing w:line="360" w:lineRule="auto"/>
        <w:ind w:firstLine="643" w:firstLineChars="200"/>
        <w:rPr>
          <w:rFonts w:ascii="宋体" w:hAnsi="宋体"/>
          <w:bCs/>
          <w:color w:val="000000"/>
          <w:sz w:val="28"/>
          <w:szCs w:val="28"/>
        </w:rPr>
      </w:pPr>
      <w:r>
        <w:rPr>
          <w:rFonts w:hint="eastAsia" w:ascii="仿宋" w:hAnsi="仿宋" w:eastAsia="仿宋" w:cs="仿宋"/>
          <w:b/>
          <w:bCs/>
          <w:color w:val="auto"/>
          <w:sz w:val="32"/>
          <w:szCs w:val="32"/>
          <w:lang w:val="en-US" w:eastAsia="zh-CN"/>
        </w:rPr>
        <w:t>9.</w:t>
      </w:r>
      <w:r>
        <w:rPr>
          <w:rFonts w:hint="eastAsia" w:ascii="仿宋" w:hAnsi="仿宋" w:eastAsia="仿宋" w:cs="仿宋"/>
          <w:b/>
          <w:bCs/>
          <w:color w:val="auto"/>
          <w:sz w:val="32"/>
          <w:szCs w:val="32"/>
        </w:rPr>
        <w:t>住房保障支出（221类）住房改</w:t>
      </w:r>
      <w:r>
        <w:rPr>
          <w:rFonts w:hint="eastAsia" w:ascii="仿宋" w:hAnsi="仿宋" w:eastAsia="仿宋" w:cs="仿宋"/>
          <w:b/>
          <w:bCs/>
          <w:sz w:val="32"/>
          <w:szCs w:val="32"/>
        </w:rPr>
        <w:t>革支出（02款）住房公积金（01项）。本年收入</w:t>
      </w:r>
      <w:r>
        <w:rPr>
          <w:rFonts w:hint="eastAsia" w:ascii="仿宋" w:hAnsi="仿宋" w:eastAsia="仿宋" w:cs="仿宋"/>
          <w:b/>
          <w:bCs/>
          <w:sz w:val="32"/>
          <w:szCs w:val="32"/>
          <w:lang w:val="en-US" w:eastAsia="zh-CN"/>
        </w:rPr>
        <w:t>122.95</w:t>
      </w:r>
      <w:r>
        <w:rPr>
          <w:rFonts w:hint="eastAsia" w:ascii="仿宋" w:hAnsi="仿宋" w:eastAsia="仿宋" w:cs="仿宋"/>
          <w:b/>
          <w:bCs/>
          <w:sz w:val="32"/>
          <w:szCs w:val="32"/>
        </w:rPr>
        <w:t>万元，支出决算数</w:t>
      </w:r>
      <w:r>
        <w:rPr>
          <w:rFonts w:hint="eastAsia" w:ascii="仿宋" w:hAnsi="仿宋" w:eastAsia="仿宋" w:cs="仿宋"/>
          <w:b/>
          <w:bCs/>
          <w:sz w:val="32"/>
          <w:szCs w:val="32"/>
          <w:lang w:eastAsia="zh-CN"/>
        </w:rPr>
        <w:t>为</w:t>
      </w:r>
      <w:r>
        <w:rPr>
          <w:rFonts w:hint="eastAsia" w:ascii="仿宋" w:hAnsi="仿宋" w:eastAsia="仿宋" w:cs="仿宋"/>
          <w:b/>
          <w:bCs/>
          <w:sz w:val="32"/>
          <w:szCs w:val="32"/>
          <w:lang w:val="en-US" w:eastAsia="zh-CN"/>
        </w:rPr>
        <w:t>122.95</w:t>
      </w:r>
      <w:r>
        <w:rPr>
          <w:rFonts w:hint="eastAsia" w:ascii="仿宋" w:hAnsi="仿宋" w:eastAsia="仿宋" w:cs="仿宋"/>
          <w:b/>
          <w:bCs/>
          <w:sz w:val="32"/>
          <w:szCs w:val="32"/>
        </w:rPr>
        <w:t>万元，完成预算100%。</w:t>
      </w:r>
    </w:p>
    <w:p w14:paraId="313895F7">
      <w:pPr>
        <w:keepNext/>
        <w:keepLines/>
        <w:tabs>
          <w:tab w:val="right" w:pos="8306"/>
        </w:tabs>
        <w:spacing w:beforeLines="0" w:afterLines="0" w:line="576" w:lineRule="exact"/>
        <w:ind w:firstLine="640"/>
        <w:jc w:val="both"/>
        <w:rPr>
          <w:rFonts w:hint="default" w:ascii="Cambria" w:hAnsi="Cambria" w:eastAsia="Cambria"/>
          <w:b/>
          <w:color w:val="auto"/>
          <w:kern w:val="2"/>
          <w:sz w:val="32"/>
          <w:szCs w:val="24"/>
          <w:lang w:val="zh-CN"/>
        </w:rPr>
      </w:pPr>
      <w:r>
        <w:rPr>
          <w:rFonts w:hint="eastAsia" w:ascii="黑体" w:hAnsi="黑体" w:eastAsia="黑体"/>
          <w:color w:val="000000"/>
          <w:kern w:val="2"/>
          <w:sz w:val="32"/>
          <w:szCs w:val="24"/>
          <w:lang w:val="zh-CN"/>
        </w:rPr>
        <w:t>六</w:t>
      </w:r>
      <w:r>
        <w:rPr>
          <w:rFonts w:hint="eastAsia" w:ascii="黑体" w:hAnsi="黑体" w:eastAsia="黑体"/>
          <w:b/>
          <w:color w:val="000000"/>
          <w:kern w:val="2"/>
          <w:sz w:val="32"/>
          <w:szCs w:val="24"/>
          <w:lang w:val="zh-CN"/>
        </w:rPr>
        <w:t>、一</w:t>
      </w:r>
      <w:r>
        <w:rPr>
          <w:rFonts w:hint="eastAsia" w:ascii="黑体" w:hAnsi="黑体" w:eastAsia="黑体"/>
          <w:color w:val="auto"/>
          <w:kern w:val="2"/>
          <w:sz w:val="32"/>
          <w:szCs w:val="24"/>
          <w:lang w:val="zh-CN"/>
        </w:rPr>
        <w:t>般公共预算财政拨款基本支出决算情况说明</w:t>
      </w:r>
      <w:r>
        <w:rPr>
          <w:rFonts w:hint="eastAsia" w:ascii="黑体" w:hAnsi="黑体" w:eastAsia="黑体"/>
          <w:color w:val="auto"/>
          <w:kern w:val="2"/>
          <w:sz w:val="32"/>
          <w:szCs w:val="24"/>
          <w:lang w:val="zh-CN"/>
        </w:rPr>
        <w:tab/>
      </w:r>
    </w:p>
    <w:p w14:paraId="2A24449A">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年一般公共预算财政拨款基本支出</w:t>
      </w:r>
      <w:r>
        <w:rPr>
          <w:rFonts w:hint="eastAsia" w:ascii="仿宋_GB2312" w:hAnsi="仿宋_GB2312" w:eastAsia="仿宋_GB2312"/>
          <w:color w:val="000000"/>
          <w:kern w:val="2"/>
          <w:sz w:val="32"/>
          <w:szCs w:val="24"/>
          <w:lang w:val="en-US" w:eastAsia="zh-CN"/>
        </w:rPr>
        <w:t>1486.90</w:t>
      </w:r>
      <w:r>
        <w:rPr>
          <w:rFonts w:hint="eastAsia" w:ascii="仿宋_GB2312" w:hAnsi="仿宋_GB2312" w:eastAsia="仿宋_GB2312"/>
          <w:color w:val="000000"/>
          <w:kern w:val="2"/>
          <w:sz w:val="32"/>
          <w:szCs w:val="24"/>
          <w:lang w:val="zh-CN"/>
        </w:rPr>
        <w:t>万元，其中：</w:t>
      </w:r>
    </w:p>
    <w:p w14:paraId="411A267C">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人员经费</w:t>
      </w:r>
      <w:r>
        <w:rPr>
          <w:rFonts w:hint="eastAsia" w:ascii="仿宋_GB2312" w:hAnsi="仿宋_GB2312" w:eastAsia="仿宋_GB2312"/>
          <w:color w:val="000000"/>
          <w:kern w:val="2"/>
          <w:sz w:val="32"/>
          <w:szCs w:val="24"/>
          <w:lang w:val="en-US" w:eastAsia="zh-CN"/>
        </w:rPr>
        <w:t>1433.05</w:t>
      </w:r>
      <w:r>
        <w:rPr>
          <w:rFonts w:hint="eastAsia" w:ascii="仿宋_GB2312" w:hAnsi="仿宋_GB2312" w:eastAsia="仿宋_GB2312"/>
          <w:color w:val="000000"/>
          <w:kern w:val="2"/>
          <w:sz w:val="32"/>
          <w:szCs w:val="24"/>
          <w:lang w:val="zh-CN"/>
        </w:rPr>
        <w:t>万元，主要包括：</w:t>
      </w:r>
      <w:r>
        <w:rPr>
          <w:rFonts w:hint="eastAsia" w:ascii="仿宋" w:hAnsi="仿宋" w:eastAsia="仿宋"/>
          <w:color w:val="auto"/>
          <w:kern w:val="2"/>
          <w:sz w:val="32"/>
          <w:szCs w:val="24"/>
          <w:lang w:val="en-US"/>
        </w:rPr>
        <w:t>基本工资、津贴补贴、奖金、伙食补助费、绩效工资、机关事业单位基本养老保险缴费、职业年金缴费、其他社会保障缴费、其他工资福利支出、住房公积金等</w:t>
      </w:r>
      <w:r>
        <w:rPr>
          <w:rFonts w:hint="eastAsia" w:ascii="仿宋_GB2312" w:hAnsi="仿宋_GB2312" w:eastAsia="仿宋_GB2312"/>
          <w:color w:val="000000"/>
          <w:kern w:val="2"/>
          <w:sz w:val="32"/>
          <w:szCs w:val="24"/>
          <w:lang w:val="zh-CN"/>
        </w:rPr>
        <w:t>。</w:t>
      </w:r>
    </w:p>
    <w:p w14:paraId="43259230">
      <w:pPr>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公用经费</w:t>
      </w:r>
      <w:r>
        <w:rPr>
          <w:rFonts w:hint="eastAsia" w:ascii="仿宋_GB2312" w:hAnsi="仿宋_GB2312" w:eastAsia="仿宋_GB2312"/>
          <w:color w:val="000000"/>
          <w:kern w:val="2"/>
          <w:sz w:val="32"/>
          <w:szCs w:val="24"/>
          <w:lang w:val="en-US" w:eastAsia="zh-CN"/>
        </w:rPr>
        <w:t>53.85</w:t>
      </w:r>
      <w:r>
        <w:rPr>
          <w:rFonts w:hint="eastAsia" w:ascii="仿宋_GB2312" w:hAnsi="仿宋_GB2312" w:eastAsia="仿宋_GB2312"/>
          <w:color w:val="000000"/>
          <w:kern w:val="2"/>
          <w:sz w:val="32"/>
          <w:szCs w:val="24"/>
          <w:lang w:val="zh-CN"/>
        </w:rPr>
        <w:t>万元，主要包括：</w:t>
      </w:r>
      <w:r>
        <w:rPr>
          <w:rFonts w:hint="eastAsia" w:ascii="仿宋" w:hAnsi="仿宋" w:eastAsia="仿宋"/>
          <w:color w:val="auto"/>
          <w:kern w:val="2"/>
          <w:sz w:val="32"/>
          <w:szCs w:val="24"/>
          <w:lang w:val="en-US"/>
        </w:rPr>
        <w:t>工会经费、福利费等</w:t>
      </w:r>
      <w:r>
        <w:rPr>
          <w:rFonts w:hint="eastAsia" w:ascii="仿宋_GB2312" w:hAnsi="仿宋_GB2312" w:eastAsia="仿宋_GB2312"/>
          <w:color w:val="000000"/>
          <w:kern w:val="2"/>
          <w:sz w:val="32"/>
          <w:szCs w:val="24"/>
          <w:lang w:val="zh-CN"/>
        </w:rPr>
        <w:t>。</w:t>
      </w:r>
    </w:p>
    <w:p w14:paraId="08847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13"/>
          <w:rFonts w:ascii="黑体" w:hAnsi="黑体" w:eastAsia="黑体"/>
          <w:b w:val="0"/>
          <w:color w:val="auto"/>
          <w:sz w:val="32"/>
          <w:szCs w:val="32"/>
          <w:highlight w:val="none"/>
        </w:rPr>
      </w:pPr>
      <w:r>
        <w:rPr>
          <w:rFonts w:hint="eastAsia" w:ascii="黑体" w:eastAsia="黑体"/>
          <w:color w:val="auto"/>
          <w:sz w:val="32"/>
          <w:szCs w:val="32"/>
          <w:highlight w:val="none"/>
        </w:rPr>
        <w:t>七、</w:t>
      </w:r>
      <w:r>
        <w:rPr>
          <w:rStyle w:val="13"/>
          <w:rFonts w:hint="eastAsia" w:ascii="黑体" w:hAnsi="黑体" w:eastAsia="黑体"/>
          <w:color w:val="auto"/>
          <w:sz w:val="32"/>
          <w:szCs w:val="32"/>
          <w:highlight w:val="none"/>
        </w:rPr>
        <w:t>“</w:t>
      </w:r>
      <w:r>
        <w:rPr>
          <w:rStyle w:val="13"/>
          <w:rFonts w:hint="eastAsia" w:ascii="黑体" w:hAnsi="黑体" w:eastAsia="黑体"/>
          <w:b w:val="0"/>
          <w:color w:val="auto"/>
          <w:sz w:val="32"/>
          <w:szCs w:val="32"/>
          <w:highlight w:val="none"/>
        </w:rPr>
        <w:t>三公”经费财政拨款支出决算情况说明</w:t>
      </w:r>
    </w:p>
    <w:p w14:paraId="4B24D7C0">
      <w:pPr>
        <w:spacing w:line="600" w:lineRule="exact"/>
        <w:ind w:firstLine="640"/>
        <w:outlineLvl w:val="2"/>
        <w:rPr>
          <w:rFonts w:ascii="仿宋" w:hAnsi="仿宋" w:eastAsia="仿宋"/>
          <w:b/>
          <w:color w:val="auto"/>
          <w:sz w:val="32"/>
          <w:szCs w:val="32"/>
          <w:highlight w:val="none"/>
        </w:rPr>
      </w:pPr>
      <w:bookmarkStart w:id="0" w:name="_Toc16632"/>
      <w:bookmarkStart w:id="1" w:name="_Toc15377216"/>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“三公”经费财政拨款支出决算总体情况说明</w:t>
      </w:r>
      <w:bookmarkEnd w:id="0"/>
      <w:bookmarkEnd w:id="1"/>
    </w:p>
    <w:p w14:paraId="4A045EEB">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0.77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较上年增长100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主要是有5批次国内公务接待支出，</w:t>
      </w:r>
      <w:r>
        <w:rPr>
          <w:rFonts w:hint="eastAsia" w:ascii="仿宋_GB2312" w:eastAsia="仿宋_GB2312"/>
          <w:color w:val="auto"/>
          <w:sz w:val="32"/>
          <w:szCs w:val="32"/>
          <w:highlight w:val="none"/>
          <w:lang w:val="en-US" w:eastAsia="zh-CN"/>
        </w:rPr>
        <w:t>国内公务接待人次155人次，每次</w:t>
      </w:r>
      <w:r>
        <w:rPr>
          <w:rFonts w:hint="eastAsia" w:ascii="仿宋" w:hAnsi="仿宋" w:eastAsia="仿宋"/>
          <w:color w:val="auto"/>
          <w:sz w:val="32"/>
          <w:szCs w:val="32"/>
          <w:highlight w:val="none"/>
          <w:lang w:val="en-US" w:eastAsia="zh-CN"/>
        </w:rPr>
        <w:t>公务接待本着厉行节约原则</w:t>
      </w:r>
      <w:r>
        <w:rPr>
          <w:rFonts w:hint="eastAsia" w:ascii="仿宋" w:hAnsi="仿宋" w:eastAsia="仿宋"/>
          <w:color w:val="auto"/>
          <w:sz w:val="32"/>
          <w:szCs w:val="32"/>
          <w:highlight w:val="none"/>
        </w:rPr>
        <w:t>。</w:t>
      </w:r>
    </w:p>
    <w:p w14:paraId="7E733D11">
      <w:pPr>
        <w:spacing w:line="600" w:lineRule="exact"/>
        <w:ind w:firstLine="640"/>
        <w:outlineLvl w:val="2"/>
        <w:rPr>
          <w:rFonts w:ascii="仿宋" w:hAnsi="仿宋" w:eastAsia="仿宋"/>
          <w:b/>
          <w:color w:val="auto"/>
          <w:sz w:val="32"/>
          <w:szCs w:val="32"/>
          <w:highlight w:val="none"/>
        </w:rPr>
      </w:pPr>
      <w:bookmarkStart w:id="2" w:name="_Toc15377217"/>
      <w:r>
        <w:rPr>
          <w:rFonts w:hint="eastAsia" w:ascii="仿宋" w:hAnsi="仿宋" w:eastAsia="仿宋"/>
          <w:b/>
          <w:color w:val="auto"/>
          <w:sz w:val="32"/>
          <w:szCs w:val="32"/>
          <w:highlight w:val="none"/>
        </w:rPr>
        <w:t>（二）“三公”经费财政拨款支出决算具体情况说明</w:t>
      </w:r>
      <w:bookmarkEnd w:id="2"/>
    </w:p>
    <w:p w14:paraId="672C3900">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0.77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33D8CDA1">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0"/>
          <w:rFonts w:hint="eastAsia" w:ascii="仿宋" w:hAnsi="仿宋" w:eastAsia="仿宋"/>
          <w:b w:val="0"/>
          <w:bCs/>
          <w:color w:val="auto"/>
          <w:sz w:val="32"/>
          <w:szCs w:val="32"/>
          <w:highlight w:val="none"/>
        </w:rPr>
        <w:t>完成预算</w:t>
      </w:r>
      <w:r>
        <w:rPr>
          <w:rStyle w:val="10"/>
          <w:rFonts w:hint="eastAsia" w:ascii="仿宋" w:hAnsi="仿宋" w:eastAsia="仿宋"/>
          <w:b w:val="0"/>
          <w:bCs/>
          <w:color w:val="auto"/>
          <w:sz w:val="32"/>
          <w:szCs w:val="32"/>
          <w:highlight w:val="none"/>
          <w:lang w:val="en-US" w:eastAsia="zh-CN"/>
        </w:rPr>
        <w:t>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年持平</w:t>
      </w:r>
      <w:r>
        <w:rPr>
          <w:rFonts w:hint="eastAsia" w:ascii="仿宋_GB2312" w:eastAsia="仿宋_GB2312"/>
          <w:color w:val="auto"/>
          <w:sz w:val="32"/>
          <w:szCs w:val="32"/>
          <w:highlight w:val="none"/>
        </w:rPr>
        <w:t>。</w:t>
      </w:r>
    </w:p>
    <w:p w14:paraId="4C263578">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0"/>
          <w:rFonts w:hint="eastAsia" w:ascii="仿宋" w:hAnsi="仿宋" w:eastAsia="仿宋"/>
          <w:b w:val="0"/>
          <w:bCs/>
          <w:color w:val="auto"/>
          <w:sz w:val="32"/>
          <w:szCs w:val="32"/>
          <w:highlight w:val="none"/>
        </w:rPr>
        <w:t>完成预算</w:t>
      </w:r>
      <w:r>
        <w:rPr>
          <w:rStyle w:val="10"/>
          <w:rFonts w:hint="eastAsia" w:ascii="仿宋" w:hAnsi="仿宋" w:eastAsia="仿宋"/>
          <w:b w:val="0"/>
          <w:bCs/>
          <w:color w:val="auto"/>
          <w:sz w:val="32"/>
          <w:szCs w:val="32"/>
          <w:highlight w:val="none"/>
          <w:lang w:val="en-US" w:eastAsia="zh-CN"/>
        </w:rPr>
        <w:t>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年持平</w:t>
      </w:r>
      <w:r>
        <w:rPr>
          <w:rFonts w:hint="eastAsia" w:ascii="仿宋_GB2312" w:eastAsia="仿宋_GB2312"/>
          <w:color w:val="auto"/>
          <w:sz w:val="32"/>
          <w:szCs w:val="32"/>
          <w:highlight w:val="none"/>
        </w:rPr>
        <w:t>。</w:t>
      </w:r>
    </w:p>
    <w:p w14:paraId="4E1EC0F6">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276FC3F0">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5FBB1BBF">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0.77</w:t>
      </w:r>
      <w:r>
        <w:rPr>
          <w:rFonts w:hint="eastAsia" w:ascii="仿宋_GB2312" w:eastAsia="仿宋_GB2312"/>
          <w:color w:val="auto"/>
          <w:sz w:val="32"/>
          <w:szCs w:val="32"/>
          <w:highlight w:val="none"/>
        </w:rPr>
        <w:t>万元，</w:t>
      </w:r>
      <w:r>
        <w:rPr>
          <w:rStyle w:val="10"/>
          <w:rFonts w:hint="eastAsia" w:ascii="仿宋" w:hAnsi="仿宋" w:eastAsia="仿宋"/>
          <w:b w:val="0"/>
          <w:bCs/>
          <w:color w:val="auto"/>
          <w:sz w:val="32"/>
          <w:szCs w:val="32"/>
          <w:highlight w:val="none"/>
        </w:rPr>
        <w:t>完成预算</w:t>
      </w:r>
      <w:r>
        <w:rPr>
          <w:rStyle w:val="10"/>
          <w:rFonts w:hint="eastAsia" w:ascii="仿宋" w:hAnsi="仿宋" w:eastAsia="仿宋"/>
          <w:b w:val="0"/>
          <w:bCs/>
          <w:color w:val="auto"/>
          <w:sz w:val="32"/>
          <w:szCs w:val="32"/>
          <w:highlight w:val="none"/>
          <w:lang w:val="en-US" w:eastAsia="zh-CN"/>
        </w:rPr>
        <w:t>100</w:t>
      </w:r>
      <w:r>
        <w:rPr>
          <w:rStyle w:val="10"/>
          <w:rFonts w:ascii="仿宋" w:hAnsi="仿宋" w:eastAsia="仿宋"/>
          <w:b w:val="0"/>
          <w:bCs/>
          <w:color w:val="auto"/>
          <w:sz w:val="32"/>
          <w:szCs w:val="32"/>
          <w:highlight w:val="none"/>
        </w:rPr>
        <w:t>%</w:t>
      </w:r>
      <w:r>
        <w:rPr>
          <w:rStyle w:val="1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val="en-US" w:eastAsia="zh-CN"/>
        </w:rPr>
        <w:t>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eastAsia="zh-CN"/>
        </w:rPr>
        <w:t>年</w:t>
      </w:r>
      <w:r>
        <w:rPr>
          <w:rFonts w:hint="eastAsia" w:ascii="仿宋_GB2312" w:eastAsia="仿宋_GB2312"/>
          <w:color w:val="auto"/>
          <w:sz w:val="32"/>
          <w:szCs w:val="32"/>
          <w:highlight w:val="none"/>
          <w:lang w:val="en-US" w:eastAsia="zh-CN"/>
        </w:rPr>
        <w:t>增长100</w:t>
      </w:r>
      <w:r>
        <w:rPr>
          <w:rFonts w:ascii="仿宋" w:hAnsi="仿宋" w:eastAsia="仿宋"/>
          <w:color w:val="auto"/>
          <w:sz w:val="32"/>
          <w:szCs w:val="32"/>
          <w:highlight w:val="none"/>
        </w:rPr>
        <w:t>%</w:t>
      </w:r>
      <w:r>
        <w:rPr>
          <w:rFonts w:hint="eastAsia" w:ascii="仿宋_GB2312" w:eastAsia="仿宋_GB2312"/>
          <w:color w:val="auto"/>
          <w:sz w:val="32"/>
          <w:szCs w:val="32"/>
          <w:highlight w:val="none"/>
        </w:rPr>
        <w:t>。其中：</w:t>
      </w:r>
    </w:p>
    <w:p w14:paraId="388DD5C4">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0.77</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国内接待共5批次，国内公务接待人次155人次</w:t>
      </w:r>
      <w:r>
        <w:rPr>
          <w:rFonts w:hint="eastAsia" w:ascii="仿宋_GB2312" w:eastAsia="仿宋_GB2312"/>
          <w:color w:val="auto"/>
          <w:sz w:val="32"/>
          <w:szCs w:val="32"/>
          <w:highlight w:val="none"/>
        </w:rPr>
        <w:t>。</w:t>
      </w:r>
    </w:p>
    <w:p w14:paraId="37AD3D17">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0ADFA430">
      <w:pPr>
        <w:keepNext/>
        <w:keepLines/>
        <w:spacing w:beforeLines="0" w:afterLines="0" w:line="576" w:lineRule="exact"/>
        <w:ind w:firstLine="640"/>
        <w:jc w:val="both"/>
        <w:rPr>
          <w:rFonts w:hint="eastAsia" w:ascii="黑体" w:hAnsi="黑体" w:eastAsia="黑体"/>
          <w:b/>
          <w:color w:val="auto"/>
          <w:kern w:val="2"/>
          <w:sz w:val="32"/>
          <w:szCs w:val="24"/>
          <w:lang w:val="zh-CN"/>
        </w:rPr>
      </w:pPr>
      <w:r>
        <w:rPr>
          <w:rFonts w:hint="eastAsia" w:ascii="黑体" w:hAnsi="黑体" w:eastAsia="黑体"/>
          <w:color w:val="000000"/>
          <w:kern w:val="2"/>
          <w:sz w:val="32"/>
          <w:szCs w:val="24"/>
          <w:lang w:val="zh-CN"/>
        </w:rPr>
        <w:t>八、</w:t>
      </w:r>
      <w:r>
        <w:rPr>
          <w:rFonts w:hint="eastAsia" w:ascii="黑体" w:hAnsi="黑体" w:eastAsia="黑体"/>
          <w:color w:val="auto"/>
          <w:kern w:val="2"/>
          <w:sz w:val="32"/>
          <w:szCs w:val="24"/>
          <w:lang w:val="zh-CN"/>
        </w:rPr>
        <w:t>政府性基金预算支出决算情况说明</w:t>
      </w:r>
    </w:p>
    <w:p w14:paraId="343F0DF8">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年政府性基金预算拨款支出0万元。</w:t>
      </w:r>
    </w:p>
    <w:p w14:paraId="7F55CD26">
      <w:pPr>
        <w:keepNext/>
        <w:keepLines/>
        <w:spacing w:beforeLines="0" w:afterLines="0" w:line="576" w:lineRule="exact"/>
        <w:ind w:firstLine="640"/>
        <w:jc w:val="both"/>
        <w:rPr>
          <w:rFonts w:hint="eastAsia" w:ascii="黑体" w:hAnsi="黑体" w:eastAsia="黑体"/>
          <w:color w:val="auto"/>
          <w:kern w:val="2"/>
          <w:sz w:val="32"/>
          <w:szCs w:val="24"/>
          <w:lang w:val="zh-CN"/>
        </w:rPr>
      </w:pPr>
      <w:r>
        <w:rPr>
          <w:rFonts w:hint="eastAsia" w:ascii="黑体" w:hAnsi="黑体" w:eastAsia="黑体"/>
          <w:color w:val="auto"/>
          <w:kern w:val="2"/>
          <w:sz w:val="32"/>
          <w:szCs w:val="24"/>
          <w:lang w:val="zh-CN"/>
        </w:rPr>
        <w:t>九、国有资本经营预算支出决算情况说明</w:t>
      </w:r>
    </w:p>
    <w:p w14:paraId="1B232CD3">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年国有资本经营预算拨款支出0万元。</w:t>
      </w:r>
    </w:p>
    <w:p w14:paraId="37A7307A">
      <w:pPr>
        <w:keepNext/>
        <w:keepLines/>
        <w:spacing w:beforeLines="0" w:afterLines="0" w:line="576" w:lineRule="exact"/>
        <w:ind w:firstLine="640"/>
        <w:jc w:val="both"/>
        <w:rPr>
          <w:rFonts w:hint="eastAsia" w:ascii="黑体" w:hAnsi="黑体" w:eastAsia="黑体"/>
          <w:b/>
          <w:color w:val="auto"/>
          <w:kern w:val="2"/>
          <w:sz w:val="32"/>
          <w:szCs w:val="24"/>
          <w:lang w:val="zh-CN"/>
        </w:rPr>
      </w:pPr>
      <w:r>
        <w:rPr>
          <w:rFonts w:hint="eastAsia" w:ascii="黑体" w:hAnsi="黑体" w:eastAsia="黑体"/>
          <w:color w:val="000000"/>
          <w:kern w:val="2"/>
          <w:sz w:val="32"/>
          <w:szCs w:val="24"/>
          <w:lang w:val="zh-CN"/>
        </w:rPr>
        <w:t>十</w:t>
      </w:r>
      <w:r>
        <w:rPr>
          <w:rFonts w:hint="eastAsia" w:ascii="黑体" w:hAnsi="黑体" w:eastAsia="黑体"/>
          <w:b/>
          <w:color w:val="auto"/>
          <w:kern w:val="2"/>
          <w:sz w:val="32"/>
          <w:szCs w:val="24"/>
          <w:lang w:val="zh-CN"/>
        </w:rPr>
        <w:t>、</w:t>
      </w:r>
      <w:r>
        <w:rPr>
          <w:rFonts w:hint="eastAsia" w:ascii="黑体" w:hAnsi="黑体" w:eastAsia="黑体"/>
          <w:color w:val="auto"/>
          <w:kern w:val="2"/>
          <w:sz w:val="32"/>
          <w:szCs w:val="24"/>
          <w:lang w:val="zh-CN"/>
        </w:rPr>
        <w:t>其他重要事项的情况说明</w:t>
      </w:r>
    </w:p>
    <w:p w14:paraId="3961358E">
      <w:pPr>
        <w:keepNext/>
        <w:keepLines/>
        <w:spacing w:beforeLines="0" w:afterLines="0" w:line="576" w:lineRule="exact"/>
        <w:ind w:firstLine="643"/>
        <w:jc w:val="both"/>
        <w:rPr>
          <w:rFonts w:hint="eastAsia" w:ascii="仿宋_GB2312" w:hAnsi="仿宋_GB2312" w:eastAsia="仿宋_GB2312"/>
          <w:color w:val="000000"/>
          <w:kern w:val="2"/>
          <w:sz w:val="32"/>
          <w:szCs w:val="24"/>
          <w:lang w:val="zh-CN"/>
        </w:rPr>
      </w:pPr>
      <w:r>
        <w:rPr>
          <w:rFonts w:hint="eastAsia" w:ascii="仿宋_GB2312" w:hAnsi="仿宋_GB2312" w:eastAsia="仿宋_GB2312"/>
          <w:b/>
          <w:color w:val="000000"/>
          <w:kern w:val="2"/>
          <w:sz w:val="32"/>
          <w:szCs w:val="24"/>
          <w:lang w:val="zh-CN"/>
        </w:rPr>
        <w:t>（一）机关运行经费支出情况</w:t>
      </w:r>
    </w:p>
    <w:p w14:paraId="2618FA0A">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年，峨边彝族自治县县街小学机关运行经费支出0万元，</w:t>
      </w:r>
      <w:r>
        <w:rPr>
          <w:rFonts w:hint="eastAsia" w:ascii="仿宋_GB2312" w:hAnsi="仿宋_GB2312" w:eastAsia="仿宋_GB2312"/>
          <w:color w:val="auto"/>
          <w:kern w:val="2"/>
          <w:sz w:val="32"/>
          <w:szCs w:val="24"/>
          <w:lang w:val="en-US"/>
        </w:rPr>
        <w:t>与202</w:t>
      </w:r>
      <w:r>
        <w:rPr>
          <w:rFonts w:hint="eastAsia" w:ascii="仿宋_GB2312" w:hAnsi="仿宋_GB2312" w:eastAsia="仿宋_GB2312"/>
          <w:color w:val="auto"/>
          <w:kern w:val="2"/>
          <w:sz w:val="32"/>
          <w:szCs w:val="24"/>
          <w:lang w:val="en-US" w:eastAsia="zh-CN"/>
        </w:rPr>
        <w:t>2</w:t>
      </w:r>
      <w:r>
        <w:rPr>
          <w:rFonts w:hint="eastAsia" w:ascii="仿宋_GB2312" w:hAnsi="仿宋_GB2312" w:eastAsia="仿宋_GB2312"/>
          <w:color w:val="auto"/>
          <w:kern w:val="2"/>
          <w:sz w:val="32"/>
          <w:szCs w:val="24"/>
          <w:lang w:val="en-US"/>
        </w:rPr>
        <w:t>年决算数持平</w:t>
      </w:r>
      <w:r>
        <w:rPr>
          <w:rFonts w:hint="eastAsia" w:ascii="仿宋_GB2312" w:hAnsi="仿宋_GB2312" w:eastAsia="仿宋_GB2312"/>
          <w:color w:val="000000"/>
          <w:kern w:val="2"/>
          <w:sz w:val="32"/>
          <w:szCs w:val="24"/>
          <w:lang w:val="zh-CN"/>
        </w:rPr>
        <w:t>。</w:t>
      </w:r>
    </w:p>
    <w:p w14:paraId="54EB2B48">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（二）政府采购支出情况</w:t>
      </w:r>
    </w:p>
    <w:p w14:paraId="6F2B647C">
      <w:pPr>
        <w:spacing w:beforeLines="0" w:afterLines="0" w:line="576" w:lineRule="exact"/>
        <w:ind w:firstLine="640"/>
        <w:jc w:val="both"/>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峨边彝族自治县县街小学政府采购支出总额0万元，其中：政府采购货物支出0万元、政府采购工程支出0万元、政府采购服务支出0万元。授予中小企业合同金额0万元，占政府采购支出总额的0%，其中：授予小微企业合同金额0万元，</w:t>
      </w:r>
      <w:r>
        <w:rPr>
          <w:rFonts w:hint="eastAsia" w:ascii="仿宋_GB2312" w:hAnsi="仿宋_GB2312" w:eastAsia="仿宋_GB2312"/>
          <w:color w:val="auto"/>
          <w:kern w:val="2"/>
          <w:sz w:val="32"/>
          <w:szCs w:val="24"/>
          <w:lang w:val="en-US"/>
        </w:rPr>
        <w:t>占政府采购支出总额的</w:t>
      </w:r>
      <w:r>
        <w:rPr>
          <w:rFonts w:hint="eastAsia" w:ascii="仿宋_GB2312" w:hAnsi="仿宋_GB2312" w:eastAsia="仿宋_GB2312"/>
          <w:color w:val="000000"/>
          <w:kern w:val="2"/>
          <w:sz w:val="32"/>
          <w:szCs w:val="24"/>
          <w:lang w:val="zh-CN"/>
        </w:rPr>
        <w:t>0%。</w:t>
      </w:r>
    </w:p>
    <w:p w14:paraId="38EE1880">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（三）国有资产占有使用情况</w:t>
      </w:r>
    </w:p>
    <w:p w14:paraId="68E72143">
      <w:pPr>
        <w:spacing w:beforeLines="0" w:afterLines="0" w:line="576" w:lineRule="exact"/>
        <w:ind w:firstLine="640"/>
        <w:rPr>
          <w:rFonts w:hint="eastAsia" w:ascii="仿宋_GB2312" w:hAnsi="仿宋_GB2312" w:eastAsia="仿宋_GB2312"/>
          <w:color w:val="000000"/>
          <w:kern w:val="2"/>
          <w:sz w:val="32"/>
          <w:szCs w:val="24"/>
          <w:lang w:val="zh-CN"/>
        </w:rPr>
      </w:pPr>
      <w:r>
        <w:rPr>
          <w:rFonts w:hint="eastAsia" w:ascii="仿宋_GB2312" w:hAnsi="仿宋_GB2312" w:eastAsia="仿宋_GB2312"/>
          <w:color w:val="000000"/>
          <w:kern w:val="2"/>
          <w:sz w:val="32"/>
          <w:szCs w:val="24"/>
          <w:lang w:val="zh-CN"/>
        </w:rPr>
        <w:t>截至202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zh-CN"/>
        </w:rPr>
        <w:t>年12月31日，峨边彝族自治县县街小学共有车辆0辆，其中：副部（省）级及以上领导用车0辆、主要领导干部用车0辆、机要通信用车0辆、应急保障用车0辆、执法执勤用车0辆、特种专业技术用车0辆、离退休干部用车0辆、其他用车0辆。单价100万元（含）以上设备0台（套）。</w:t>
      </w:r>
    </w:p>
    <w:p w14:paraId="30EE3E1A">
      <w:pPr>
        <w:keepNext/>
        <w:keepLines/>
        <w:spacing w:beforeLines="0" w:afterLines="0" w:line="576" w:lineRule="exact"/>
        <w:ind w:firstLine="643"/>
        <w:jc w:val="both"/>
        <w:rPr>
          <w:rFonts w:hint="eastAsia" w:ascii="仿宋_GB2312" w:hAnsi="仿宋_GB2312" w:eastAsia="仿宋_GB2312"/>
          <w:b/>
          <w:color w:val="000000"/>
          <w:kern w:val="2"/>
          <w:sz w:val="32"/>
          <w:szCs w:val="24"/>
          <w:lang w:val="zh-CN"/>
        </w:rPr>
      </w:pPr>
      <w:r>
        <w:rPr>
          <w:rFonts w:hint="eastAsia" w:ascii="仿宋_GB2312" w:hAnsi="仿宋_GB2312" w:eastAsia="仿宋_GB2312"/>
          <w:b/>
          <w:color w:val="000000"/>
          <w:kern w:val="2"/>
          <w:sz w:val="32"/>
          <w:szCs w:val="24"/>
          <w:lang w:val="zh-CN"/>
        </w:rPr>
        <w:t>（四）预算绩效管理情况。</w:t>
      </w:r>
    </w:p>
    <w:p w14:paraId="0EB07ED7">
      <w:pPr>
        <w:spacing w:line="600" w:lineRule="exact"/>
        <w:ind w:firstLine="640" w:firstLineChars="200"/>
        <w:rPr>
          <w:rFonts w:hint="eastAsia" w:ascii="黑体" w:hAnsi="黑体" w:eastAsia="黑体"/>
          <w:color w:val="000000"/>
          <w:kern w:val="2"/>
          <w:sz w:val="44"/>
          <w:szCs w:val="24"/>
          <w:lang w:val="zh-CN"/>
        </w:rPr>
      </w:pPr>
      <w:r>
        <w:rPr>
          <w:rFonts w:hint="eastAsia" w:ascii="仿宋_GB2312" w:eastAsia="仿宋_GB2312"/>
          <w:sz w:val="32"/>
          <w:szCs w:val="32"/>
        </w:rPr>
        <w:t>根据预算绩效管理要求，本单位在2023年度预算编制阶段，</w:t>
      </w:r>
      <w:r>
        <w:rPr>
          <w:rFonts w:hint="eastAsia" w:ascii="仿宋_GB2312" w:hAnsi="仿宋_GB2312" w:eastAsia="仿宋_GB2312"/>
          <w:color w:val="auto"/>
          <w:kern w:val="2"/>
          <w:sz w:val="32"/>
          <w:szCs w:val="24"/>
          <w:lang w:val="en-US"/>
        </w:rPr>
        <w:t>组织对</w:t>
      </w:r>
      <w:r>
        <w:rPr>
          <w:rFonts w:hint="eastAsia" w:ascii="仿宋_GB2312" w:hAnsi="仿宋_GB2312" w:eastAsia="仿宋_GB2312"/>
          <w:color w:val="auto"/>
          <w:kern w:val="2"/>
          <w:sz w:val="32"/>
          <w:szCs w:val="24"/>
          <w:lang w:val="en-US" w:eastAsia="zh-CN"/>
        </w:rPr>
        <w:t>义务教育</w:t>
      </w:r>
      <w:r>
        <w:rPr>
          <w:rFonts w:hint="eastAsia" w:ascii="仿宋_GB2312" w:hAnsi="仿宋_GB2312" w:eastAsia="仿宋_GB2312" w:cs="仿宋_GB2312"/>
          <w:sz w:val="32"/>
          <w:szCs w:val="32"/>
        </w:rPr>
        <w:t>公用经费</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4个</w:t>
      </w:r>
      <w:r>
        <w:rPr>
          <w:rFonts w:hint="eastAsia" w:ascii="仿宋_GB2312" w:eastAsia="仿宋_GB2312"/>
          <w:sz w:val="32"/>
          <w:szCs w:val="32"/>
        </w:rPr>
        <w:t>项目</w:t>
      </w:r>
      <w:r>
        <w:rPr>
          <w:rFonts w:hint="eastAsia" w:ascii="仿宋_GB2312" w:eastAsia="仿宋_GB2312"/>
          <w:sz w:val="32"/>
          <w:szCs w:val="32"/>
          <w:lang w:eastAsia="zh-CN"/>
        </w:rPr>
        <w:t>，</w:t>
      </w:r>
      <w:r>
        <w:rPr>
          <w:rFonts w:hint="eastAsia" w:ascii="仿宋_GB2312" w:eastAsia="仿宋_GB2312"/>
          <w:sz w:val="32"/>
          <w:szCs w:val="32"/>
        </w:rPr>
        <w:t>开展了预算事前绩效评估，对</w:t>
      </w:r>
      <w:r>
        <w:rPr>
          <w:rFonts w:hint="eastAsia" w:ascii="仿宋_GB2312" w:eastAsia="仿宋_GB2312"/>
          <w:sz w:val="32"/>
          <w:szCs w:val="32"/>
          <w:lang w:val="en-US" w:eastAsia="zh-CN"/>
        </w:rPr>
        <w:t>4</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4</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4</w:t>
      </w:r>
      <w:r>
        <w:rPr>
          <w:rFonts w:hint="eastAsia" w:ascii="仿宋_GB2312" w:eastAsia="仿宋_GB2312"/>
          <w:sz w:val="32"/>
          <w:szCs w:val="32"/>
        </w:rPr>
        <w:t>个项目开展绩效自评，绩效自评表详见第四部分附件。</w:t>
      </w:r>
    </w:p>
    <w:p w14:paraId="43C71120">
      <w:pPr>
        <w:keepNext/>
        <w:keepLines/>
        <w:spacing w:beforeLines="0" w:afterLines="0" w:line="576" w:lineRule="exact"/>
        <w:jc w:val="center"/>
        <w:rPr>
          <w:rFonts w:hint="eastAsia" w:ascii="黑体" w:hAnsi="黑体" w:eastAsia="黑体"/>
          <w:color w:val="000000"/>
          <w:kern w:val="2"/>
          <w:sz w:val="44"/>
          <w:szCs w:val="24"/>
          <w:lang w:val="zh-CN"/>
        </w:rPr>
      </w:pPr>
    </w:p>
    <w:p w14:paraId="7E3314A7">
      <w:pPr>
        <w:keepNext/>
        <w:keepLines/>
        <w:numPr>
          <w:ilvl w:val="0"/>
          <w:numId w:val="0"/>
        </w:numPr>
        <w:spacing w:beforeLines="0" w:afterLines="0" w:line="576" w:lineRule="exact"/>
        <w:jc w:val="both"/>
        <w:rPr>
          <w:rFonts w:hint="eastAsia" w:ascii="黑体" w:hAnsi="黑体" w:eastAsia="黑体"/>
          <w:color w:val="auto"/>
          <w:kern w:val="44"/>
          <w:sz w:val="44"/>
          <w:szCs w:val="24"/>
          <w:lang w:val="zh-CN"/>
        </w:rPr>
      </w:pPr>
    </w:p>
    <w:p w14:paraId="5C3480F2">
      <w:pPr>
        <w:pStyle w:val="14"/>
        <w:spacing w:line="560" w:lineRule="exact"/>
        <w:ind w:firstLine="640" w:firstLineChars="200"/>
        <w:rPr>
          <w:rFonts w:ascii="仿宋_GB2312" w:eastAsia="仿宋_GB2312"/>
          <w:color w:val="auto"/>
          <w:sz w:val="32"/>
          <w:szCs w:val="32"/>
          <w:highlight w:val="none"/>
        </w:rPr>
      </w:pPr>
    </w:p>
    <w:p w14:paraId="6838FB93">
      <w:pPr>
        <w:pStyle w:val="14"/>
        <w:spacing w:line="560" w:lineRule="exact"/>
        <w:ind w:firstLine="640" w:firstLineChars="200"/>
        <w:rPr>
          <w:rFonts w:ascii="仿宋_GB2312" w:eastAsia="仿宋_GB2312"/>
          <w:color w:val="auto"/>
          <w:sz w:val="32"/>
          <w:szCs w:val="32"/>
          <w:highlight w:val="none"/>
        </w:rPr>
      </w:pPr>
    </w:p>
    <w:p w14:paraId="073D95F8">
      <w:pPr>
        <w:pStyle w:val="14"/>
        <w:spacing w:line="560" w:lineRule="exact"/>
        <w:ind w:firstLine="640" w:firstLineChars="200"/>
        <w:rPr>
          <w:rFonts w:ascii="仿宋_GB2312" w:eastAsia="仿宋_GB2312"/>
          <w:color w:val="auto"/>
          <w:sz w:val="32"/>
          <w:szCs w:val="32"/>
          <w:highlight w:val="none"/>
        </w:rPr>
      </w:pPr>
    </w:p>
    <w:p w14:paraId="59DD30C0">
      <w:pPr>
        <w:pStyle w:val="14"/>
        <w:spacing w:line="560" w:lineRule="exact"/>
        <w:ind w:firstLine="640" w:firstLineChars="200"/>
        <w:rPr>
          <w:rFonts w:ascii="仿宋_GB2312" w:eastAsia="仿宋_GB2312"/>
          <w:color w:val="auto"/>
          <w:sz w:val="32"/>
          <w:szCs w:val="32"/>
          <w:highlight w:val="none"/>
        </w:rPr>
      </w:pPr>
    </w:p>
    <w:p w14:paraId="153DE9A0">
      <w:pPr>
        <w:pStyle w:val="14"/>
        <w:spacing w:line="560" w:lineRule="exact"/>
        <w:ind w:firstLine="640" w:firstLineChars="200"/>
        <w:rPr>
          <w:rFonts w:ascii="仿宋_GB2312" w:eastAsia="仿宋_GB2312"/>
          <w:color w:val="auto"/>
          <w:sz w:val="32"/>
          <w:szCs w:val="32"/>
          <w:highlight w:val="none"/>
        </w:rPr>
      </w:pPr>
    </w:p>
    <w:p w14:paraId="299AD60C">
      <w:pPr>
        <w:pStyle w:val="14"/>
        <w:spacing w:line="560" w:lineRule="exact"/>
        <w:ind w:firstLine="640" w:firstLineChars="200"/>
        <w:rPr>
          <w:rFonts w:ascii="仿宋_GB2312" w:eastAsia="仿宋_GB2312"/>
          <w:color w:val="auto"/>
          <w:sz w:val="32"/>
          <w:szCs w:val="32"/>
          <w:highlight w:val="none"/>
        </w:rPr>
      </w:pPr>
    </w:p>
    <w:p w14:paraId="0F20AAE9">
      <w:pPr>
        <w:pStyle w:val="14"/>
        <w:spacing w:line="560" w:lineRule="exact"/>
        <w:ind w:firstLine="640" w:firstLineChars="200"/>
        <w:rPr>
          <w:rFonts w:ascii="仿宋_GB2312" w:eastAsia="仿宋_GB2312"/>
          <w:color w:val="auto"/>
          <w:sz w:val="32"/>
          <w:szCs w:val="32"/>
          <w:highlight w:val="none"/>
        </w:rPr>
      </w:pPr>
    </w:p>
    <w:p w14:paraId="00D57D6C">
      <w:pPr>
        <w:pStyle w:val="14"/>
        <w:numPr>
          <w:ilvl w:val="0"/>
          <w:numId w:val="3"/>
        </w:numPr>
        <w:spacing w:line="560" w:lineRule="exact"/>
        <w:jc w:val="center"/>
        <w:rPr>
          <w:rFonts w:hint="eastAsia" w:ascii="黑体" w:hAnsi="黑体" w:eastAsia="黑体" w:cstheme="minorBidi"/>
          <w:color w:val="auto"/>
          <w:kern w:val="44"/>
          <w:sz w:val="44"/>
          <w:szCs w:val="24"/>
          <w:lang w:val="en-US" w:eastAsia="zh-CN"/>
        </w:rPr>
      </w:pPr>
      <w:r>
        <w:rPr>
          <w:rFonts w:hint="eastAsia" w:ascii="黑体" w:hAnsi="黑体" w:eastAsia="黑体" w:cstheme="minorBidi"/>
          <w:color w:val="auto"/>
          <w:kern w:val="44"/>
          <w:sz w:val="44"/>
          <w:szCs w:val="24"/>
          <w:lang w:val="en-US" w:eastAsia="zh-CN"/>
        </w:rPr>
        <w:t xml:space="preserve"> 名称解释</w:t>
      </w:r>
    </w:p>
    <w:p w14:paraId="30A03CC7">
      <w:pPr>
        <w:pStyle w:val="14"/>
        <w:numPr>
          <w:ilvl w:val="0"/>
          <w:numId w:val="0"/>
        </w:numPr>
        <w:spacing w:line="560" w:lineRule="exact"/>
        <w:jc w:val="both"/>
        <w:rPr>
          <w:rFonts w:hint="eastAsia" w:ascii="黑体" w:hAnsi="黑体" w:eastAsia="黑体" w:cs="黑体"/>
          <w:color w:val="auto"/>
          <w:sz w:val="44"/>
          <w:szCs w:val="44"/>
          <w:highlight w:val="none"/>
          <w:lang w:val="en-US" w:eastAsia="zh-CN"/>
        </w:rPr>
      </w:pPr>
    </w:p>
    <w:p w14:paraId="16975802">
      <w:pPr>
        <w:pStyle w:val="1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549F6ACF">
      <w:pPr>
        <w:pStyle w:val="1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6AC584B1">
      <w:pPr>
        <w:pStyle w:val="1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课后服务收入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14:paraId="5976383B">
      <w:pPr>
        <w:pStyle w:val="1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3A97D7A8">
      <w:pPr>
        <w:pStyle w:val="1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408D203A">
      <w:pPr>
        <w:pStyle w:val="14"/>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年末结转和结余：指单位按有关规定结转到下年或以后年度继续使用的资金。</w:t>
      </w:r>
    </w:p>
    <w:p w14:paraId="2581EE90">
      <w:pPr>
        <w:pStyle w:val="14"/>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7.</w:t>
      </w:r>
      <w:r>
        <w:rPr>
          <w:rFonts w:ascii="仿宋" w:hAnsi="仿宋" w:eastAsia="仿宋"/>
          <w:color w:val="000000"/>
          <w:sz w:val="32"/>
          <w:szCs w:val="32"/>
        </w:rPr>
        <w:t>教育支出（类）</w:t>
      </w:r>
      <w:r>
        <w:rPr>
          <w:rFonts w:hint="eastAsia" w:ascii="仿宋" w:hAnsi="仿宋" w:eastAsia="仿宋"/>
          <w:color w:val="000000"/>
          <w:sz w:val="32"/>
          <w:szCs w:val="32"/>
        </w:rPr>
        <w:t>普通教育（款）小学教育（项）：指反映各部门举办的小学教育支出。</w:t>
      </w:r>
    </w:p>
    <w:p w14:paraId="76772484">
      <w:pPr>
        <w:spacing w:line="600" w:lineRule="exact"/>
        <w:ind w:firstLine="640" w:firstLineChars="200"/>
        <w:rPr>
          <w:rFonts w:ascii="仿宋" w:hAnsi="仿宋" w:eastAsia="仿宋"/>
          <w:color w:val="000000"/>
          <w:sz w:val="32"/>
          <w:szCs w:val="32"/>
        </w:rPr>
      </w:pPr>
      <w:r>
        <w:rPr>
          <w:rFonts w:hint="eastAsia" w:ascii="仿宋_GB2312" w:eastAsia="仿宋_GB2312"/>
          <w:color w:val="auto"/>
          <w:sz w:val="32"/>
          <w:szCs w:val="32"/>
          <w:highlight w:val="none"/>
          <w:lang w:val="en-US" w:eastAsia="zh-CN"/>
        </w:rPr>
        <w:t>8.</w:t>
      </w:r>
      <w:r>
        <w:rPr>
          <w:rFonts w:ascii="仿宋" w:hAnsi="仿宋" w:eastAsia="仿宋"/>
          <w:color w:val="000000"/>
          <w:sz w:val="32"/>
          <w:szCs w:val="32"/>
        </w:rPr>
        <w:t>教育支出（类）</w:t>
      </w:r>
      <w:r>
        <w:rPr>
          <w:rFonts w:hint="eastAsia" w:ascii="仿宋" w:hAnsi="仿宋" w:eastAsia="仿宋"/>
          <w:color w:val="000000"/>
          <w:sz w:val="32"/>
          <w:szCs w:val="32"/>
          <w:lang w:val="en-US" w:eastAsia="zh-CN"/>
        </w:rPr>
        <w:t>其他教育</w:t>
      </w:r>
      <w:r>
        <w:rPr>
          <w:rFonts w:hint="eastAsia" w:ascii="仿宋" w:hAnsi="仿宋" w:eastAsia="仿宋"/>
          <w:color w:val="000000"/>
          <w:sz w:val="32"/>
          <w:szCs w:val="32"/>
        </w:rPr>
        <w:t>支出（款）其他教育支出（项）：指反映</w:t>
      </w:r>
      <w:r>
        <w:rPr>
          <w:rFonts w:hint="eastAsia" w:ascii="仿宋" w:hAnsi="仿宋" w:eastAsia="仿宋"/>
          <w:color w:val="000000"/>
          <w:sz w:val="32"/>
          <w:szCs w:val="32"/>
          <w:lang w:val="en-US" w:eastAsia="zh-CN"/>
        </w:rPr>
        <w:t>学校组织学生参加上级教育部门组织的竞技比赛</w:t>
      </w:r>
      <w:r>
        <w:rPr>
          <w:rFonts w:hint="eastAsia" w:ascii="仿宋" w:hAnsi="仿宋" w:eastAsia="仿宋"/>
          <w:color w:val="000000"/>
          <w:sz w:val="32"/>
          <w:szCs w:val="32"/>
        </w:rPr>
        <w:t>支出。</w:t>
      </w:r>
    </w:p>
    <w:p w14:paraId="0F01E6F4">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社会保障和就业支出（类）行政事业单位养老支出（款）机关事业单位基本养老保险缴费支出（项）：</w:t>
      </w:r>
      <w:r>
        <w:rPr>
          <w:rFonts w:hint="eastAsia" w:ascii="仿宋_GB2312" w:eastAsia="仿宋_GB2312"/>
          <w:color w:val="auto"/>
          <w:sz w:val="32"/>
          <w:szCs w:val="32"/>
          <w:highlight w:val="none"/>
          <w:lang w:eastAsia="zh-CN"/>
        </w:rPr>
        <w:t>反映机关事业单位实施养老保险制度由单位缴纳的基本养老保险支出。</w:t>
      </w:r>
    </w:p>
    <w:p w14:paraId="5DB71B95">
      <w:pPr>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社会保障和就业支出（类）行政事业单位养老支出（款） 机关事业单位职业年金缴费支出（项）：指</w:t>
      </w:r>
      <w:r>
        <w:rPr>
          <w:rFonts w:hint="eastAsia" w:ascii="仿宋_GB2312" w:eastAsia="仿宋_GB2312"/>
          <w:color w:val="auto"/>
          <w:sz w:val="32"/>
          <w:szCs w:val="32"/>
          <w:highlight w:val="none"/>
          <w:lang w:eastAsia="zh-CN"/>
        </w:rPr>
        <w:t>反映机关事业单位实施养老保险制度由单位实际缴纳的职业年金支出。</w:t>
      </w:r>
    </w:p>
    <w:p w14:paraId="7FCA17F3">
      <w:pPr>
        <w:ind w:firstLine="640" w:firstLineChars="200"/>
        <w:rPr>
          <w:rFonts w:hint="eastAsia" w:ascii="仿宋_GB2312" w:eastAsia="仿宋_GB2312"/>
          <w:color w:val="auto"/>
          <w:sz w:val="32"/>
          <w:szCs w:val="32"/>
          <w:highlight w:val="none"/>
          <w:lang w:eastAsia="zh-CN"/>
        </w:rPr>
      </w:pPr>
      <w:r>
        <w:rPr>
          <w:rFonts w:hint="eastAsia" w:ascii="仿宋" w:hAnsi="仿宋" w:eastAsia="仿宋" w:cs="仿宋"/>
          <w:b w:val="0"/>
          <w:bCs w:val="0"/>
          <w:sz w:val="32"/>
          <w:szCs w:val="32"/>
          <w:lang w:val="en-US" w:eastAsia="zh-CN"/>
        </w:rPr>
        <w:t>11</w:t>
      </w:r>
      <w:r>
        <w:rPr>
          <w:rFonts w:hint="eastAsia" w:ascii="仿宋_GB2312" w:eastAsia="仿宋_GB2312"/>
          <w:color w:val="auto"/>
          <w:sz w:val="32"/>
          <w:szCs w:val="32"/>
          <w:highlight w:val="none"/>
          <w:lang w:val="en-US" w:eastAsia="zh-CN"/>
        </w:rPr>
        <w:t>.</w:t>
      </w:r>
      <w:r>
        <w:rPr>
          <w:rFonts w:hint="eastAsia" w:ascii="仿宋" w:hAnsi="仿宋" w:eastAsia="仿宋" w:cs="仿宋"/>
          <w:b w:val="0"/>
          <w:bCs w:val="0"/>
          <w:sz w:val="32"/>
          <w:szCs w:val="32"/>
        </w:rPr>
        <w:t>社会保障和就业</w:t>
      </w:r>
      <w:r>
        <w:rPr>
          <w:rFonts w:hint="eastAsia" w:ascii="仿宋" w:hAnsi="仿宋" w:eastAsia="仿宋" w:cs="仿宋"/>
          <w:b w:val="0"/>
          <w:bCs w:val="0"/>
          <w:sz w:val="32"/>
          <w:szCs w:val="32"/>
          <w:lang w:eastAsia="zh-CN"/>
        </w:rPr>
        <w:t>支出</w:t>
      </w:r>
      <w:r>
        <w:rPr>
          <w:rFonts w:hint="eastAsia" w:ascii="仿宋" w:hAnsi="仿宋" w:eastAsia="仿宋" w:cs="仿宋"/>
          <w:b w:val="0"/>
          <w:bCs w:val="0"/>
          <w:sz w:val="32"/>
          <w:szCs w:val="32"/>
        </w:rPr>
        <w:t>（类）</w:t>
      </w:r>
      <w:r>
        <w:rPr>
          <w:rFonts w:hint="eastAsia" w:ascii="仿宋" w:hAnsi="仿宋" w:eastAsia="仿宋" w:cs="仿宋"/>
          <w:b w:val="0"/>
          <w:bCs w:val="0"/>
          <w:sz w:val="32"/>
          <w:szCs w:val="32"/>
          <w:lang w:eastAsia="zh-CN"/>
        </w:rPr>
        <w:t>抚恤（</w:t>
      </w:r>
      <w:r>
        <w:rPr>
          <w:rFonts w:hint="eastAsia" w:ascii="仿宋" w:hAnsi="仿宋" w:eastAsia="仿宋" w:cs="仿宋"/>
          <w:b w:val="0"/>
          <w:bCs w:val="0"/>
          <w:sz w:val="32"/>
          <w:szCs w:val="32"/>
          <w:lang w:val="en-US" w:eastAsia="zh-CN"/>
        </w:rPr>
        <w:t>款</w:t>
      </w:r>
      <w:r>
        <w:rPr>
          <w:rFonts w:hint="eastAsia" w:ascii="仿宋" w:hAnsi="仿宋" w:eastAsia="仿宋" w:cs="仿宋"/>
          <w:b w:val="0"/>
          <w:bCs w:val="0"/>
          <w:sz w:val="32"/>
          <w:szCs w:val="32"/>
          <w:lang w:eastAsia="zh-CN"/>
        </w:rPr>
        <w:t>）死亡抚恤（</w:t>
      </w:r>
      <w:r>
        <w:rPr>
          <w:rFonts w:hint="eastAsia" w:ascii="仿宋" w:hAnsi="仿宋" w:eastAsia="仿宋" w:cs="仿宋"/>
          <w:b w:val="0"/>
          <w:bCs w:val="0"/>
          <w:sz w:val="32"/>
          <w:szCs w:val="32"/>
          <w:lang w:val="en-US" w:eastAsia="zh-CN"/>
        </w:rPr>
        <w:t>项</w:t>
      </w:r>
      <w:r>
        <w:rPr>
          <w:rFonts w:hint="eastAsia" w:ascii="仿宋" w:hAnsi="仿宋" w:eastAsia="仿宋" w:cs="仿宋"/>
          <w:b w:val="0"/>
          <w:bCs w:val="0"/>
          <w:sz w:val="32"/>
          <w:szCs w:val="32"/>
          <w:lang w:eastAsia="zh-CN"/>
        </w:rPr>
        <w:t>）：反映机关事业单位职工在职（退休）人员死亡抚恤金支出。</w:t>
      </w:r>
    </w:p>
    <w:p w14:paraId="52615BA1">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社会保障和就业支出（类）其他社会保障和就业支出（款）其他社会保障和就业支出（项）：指</w:t>
      </w:r>
      <w:r>
        <w:rPr>
          <w:rFonts w:hint="eastAsia" w:ascii="仿宋_GB2312" w:eastAsia="仿宋_GB2312"/>
          <w:color w:val="auto"/>
          <w:sz w:val="32"/>
          <w:szCs w:val="32"/>
          <w:highlight w:val="none"/>
          <w:lang w:eastAsia="zh-CN"/>
        </w:rPr>
        <w:t>反映除上述项目以外其他用于社会保障和就业方面的支出</w:t>
      </w:r>
      <w:r>
        <w:rPr>
          <w:rFonts w:hint="eastAsia" w:ascii="仿宋_GB2312" w:eastAsia="仿宋_GB2312"/>
          <w:color w:val="auto"/>
          <w:sz w:val="32"/>
          <w:szCs w:val="32"/>
          <w:highlight w:val="none"/>
        </w:rPr>
        <w:t>。</w:t>
      </w:r>
    </w:p>
    <w:p w14:paraId="7FC73261">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卫生健康支出（类）行政事业单位医疗（款）行政单位医疗（项）：</w:t>
      </w:r>
      <w:r>
        <w:rPr>
          <w:rFonts w:hint="eastAsia" w:ascii="仿宋_GB2312" w:eastAsia="仿宋_GB2312"/>
          <w:color w:val="auto"/>
          <w:sz w:val="32"/>
          <w:szCs w:val="32"/>
          <w:highlight w:val="none"/>
          <w:lang w:eastAsia="zh-CN"/>
        </w:rPr>
        <w:t>指反映财政部分安排行政单位（包括实行公务员管理的事业单位，下同）基本医疗保险缴费经费</w:t>
      </w:r>
      <w:r>
        <w:rPr>
          <w:rFonts w:hint="eastAsia" w:ascii="仿宋_GB2312" w:eastAsia="仿宋_GB2312"/>
          <w:color w:val="auto"/>
          <w:sz w:val="32"/>
          <w:szCs w:val="32"/>
          <w:highlight w:val="none"/>
        </w:rPr>
        <w:t>。</w:t>
      </w:r>
    </w:p>
    <w:p w14:paraId="7566E46D">
      <w:pPr>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卫生健康支出（类）行政事业单位医疗（款）公务员医疗补助（项）：指</w:t>
      </w:r>
      <w:r>
        <w:rPr>
          <w:rFonts w:hint="eastAsia" w:ascii="仿宋_GB2312" w:eastAsia="仿宋_GB2312"/>
          <w:color w:val="auto"/>
          <w:sz w:val="32"/>
          <w:szCs w:val="32"/>
          <w:highlight w:val="none"/>
          <w:lang w:eastAsia="zh-CN"/>
        </w:rPr>
        <w:t>反映财政部</w:t>
      </w:r>
      <w:bookmarkStart w:id="3" w:name="_GoBack"/>
      <w:bookmarkEnd w:id="3"/>
      <w:r>
        <w:rPr>
          <w:rFonts w:hint="eastAsia" w:ascii="仿宋_GB2312" w:eastAsia="仿宋_GB2312"/>
          <w:color w:val="auto"/>
          <w:sz w:val="32"/>
          <w:szCs w:val="32"/>
          <w:highlight w:val="none"/>
          <w:lang w:eastAsia="zh-CN"/>
        </w:rPr>
        <w:t>分安排的公务员医疗补助经费。</w:t>
      </w:r>
    </w:p>
    <w:p w14:paraId="7278841C">
      <w:pPr>
        <w:ind w:firstLine="600" w:firstLineChars="200"/>
        <w:rPr>
          <w:rFonts w:ascii="仿宋_GB2312" w:eastAsia="仿宋_GB2312"/>
          <w:color w:val="auto"/>
          <w:sz w:val="32"/>
          <w:szCs w:val="32"/>
          <w:highlight w:val="none"/>
        </w:rPr>
      </w:pPr>
      <w:r>
        <w:rPr>
          <w:rFonts w:hint="eastAsia" w:ascii="仿宋" w:hAnsi="仿宋" w:eastAsia="仿宋" w:cs="仿宋"/>
          <w:sz w:val="30"/>
          <w:szCs w:val="30"/>
          <w:lang w:eastAsia="zh-CN"/>
        </w:rPr>
        <w:t>1</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.住房保障支出（类）住房改革支出（款）住房公积金（项）：指反映行政事业单位按人力资源和社会保障部、财政部规定的基本工资和津贴补贴以及规定比例为职工缴纳的住房公积金。</w:t>
      </w:r>
    </w:p>
    <w:p w14:paraId="59700223">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基本支出：指为保障机构正常运转、完成日常工作任务而发生的人员支出和公用支出。</w:t>
      </w:r>
    </w:p>
    <w:p w14:paraId="102AE7A3">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5EE7A76B">
      <w:pPr>
        <w:pStyle w:val="1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E1D8B33">
      <w:pPr>
        <w:spacing w:beforeLines="0" w:afterLines="0"/>
        <w:ind w:firstLine="643"/>
        <w:jc w:val="both"/>
        <w:rPr>
          <w:rFonts w:hint="eastAsia" w:ascii="仿宋" w:hAnsi="仿宋" w:eastAsia="仿宋"/>
          <w:b/>
          <w:color w:val="auto"/>
          <w:kern w:val="2"/>
          <w:sz w:val="32"/>
          <w:szCs w:val="24"/>
          <w:lang w:val="en-US"/>
        </w:rPr>
      </w:pPr>
    </w:p>
    <w:p w14:paraId="3F05B85F">
      <w:pPr>
        <w:spacing w:beforeLines="0" w:afterLines="0" w:line="600" w:lineRule="exact"/>
        <w:jc w:val="center"/>
        <w:rPr>
          <w:rFonts w:hint="eastAsia" w:ascii="黑体" w:hAnsi="黑体" w:eastAsia="黑体"/>
          <w:color w:val="auto"/>
          <w:kern w:val="2"/>
          <w:sz w:val="44"/>
          <w:szCs w:val="24"/>
          <w:lang w:val="en-US"/>
        </w:rPr>
      </w:pPr>
    </w:p>
    <w:p w14:paraId="2DFA5368">
      <w:pPr>
        <w:spacing w:beforeLines="0" w:afterLines="0" w:line="600" w:lineRule="exact"/>
        <w:jc w:val="both"/>
        <w:rPr>
          <w:rFonts w:hint="eastAsia" w:ascii="黑体" w:hAnsi="黑体" w:eastAsia="黑体"/>
          <w:color w:val="auto"/>
          <w:kern w:val="2"/>
          <w:sz w:val="44"/>
          <w:szCs w:val="24"/>
          <w:lang w:val="en-US"/>
        </w:rPr>
      </w:pPr>
    </w:p>
    <w:p w14:paraId="298B62D1">
      <w:pPr>
        <w:spacing w:beforeLines="0" w:afterLines="0" w:line="600" w:lineRule="exact"/>
        <w:jc w:val="center"/>
        <w:rPr>
          <w:rFonts w:hint="eastAsia" w:ascii="黑体" w:hAnsi="黑体" w:eastAsia="黑体"/>
          <w:color w:val="auto"/>
          <w:kern w:val="2"/>
          <w:sz w:val="44"/>
          <w:szCs w:val="24"/>
          <w:lang w:val="en-US"/>
        </w:rPr>
      </w:pPr>
    </w:p>
    <w:p w14:paraId="20381AEF">
      <w:pPr>
        <w:spacing w:beforeLines="0" w:afterLines="0" w:line="600" w:lineRule="exact"/>
        <w:jc w:val="center"/>
        <w:rPr>
          <w:rFonts w:hint="eastAsia" w:ascii="黑体" w:hAnsi="黑体" w:eastAsia="黑体"/>
          <w:color w:val="auto"/>
          <w:kern w:val="2"/>
          <w:sz w:val="44"/>
          <w:szCs w:val="24"/>
          <w:lang w:val="en-US"/>
        </w:rPr>
      </w:pPr>
    </w:p>
    <w:p w14:paraId="5A5F7276">
      <w:pPr>
        <w:spacing w:beforeLines="0" w:afterLines="0" w:line="600" w:lineRule="exact"/>
        <w:jc w:val="center"/>
        <w:rPr>
          <w:rFonts w:hint="eastAsia" w:ascii="黑体" w:hAnsi="黑体" w:eastAsia="黑体"/>
          <w:color w:val="auto"/>
          <w:kern w:val="2"/>
          <w:sz w:val="44"/>
          <w:szCs w:val="24"/>
          <w:lang w:val="en-US"/>
        </w:rPr>
      </w:pPr>
    </w:p>
    <w:p w14:paraId="2FE85E0B">
      <w:pPr>
        <w:spacing w:beforeLines="0" w:afterLines="0" w:line="600" w:lineRule="exact"/>
        <w:jc w:val="center"/>
        <w:rPr>
          <w:rFonts w:hint="eastAsia" w:ascii="黑体" w:hAnsi="黑体" w:eastAsia="黑体"/>
          <w:color w:val="auto"/>
          <w:kern w:val="2"/>
          <w:sz w:val="44"/>
          <w:szCs w:val="24"/>
          <w:lang w:val="en-US"/>
        </w:rPr>
      </w:pPr>
    </w:p>
    <w:p w14:paraId="166F4194">
      <w:pPr>
        <w:spacing w:beforeLines="0" w:afterLines="0" w:line="600" w:lineRule="exact"/>
        <w:jc w:val="center"/>
        <w:rPr>
          <w:rFonts w:hint="eastAsia" w:ascii="黑体" w:hAnsi="黑体" w:eastAsia="黑体"/>
          <w:color w:val="auto"/>
          <w:kern w:val="2"/>
          <w:sz w:val="44"/>
          <w:szCs w:val="24"/>
          <w:lang w:val="en-US"/>
        </w:rPr>
      </w:pPr>
    </w:p>
    <w:p w14:paraId="45F3FB19">
      <w:pPr>
        <w:spacing w:beforeLines="0" w:afterLines="0" w:line="600" w:lineRule="exact"/>
        <w:jc w:val="center"/>
        <w:rPr>
          <w:rFonts w:hint="eastAsia" w:ascii="黑体" w:hAnsi="黑体" w:eastAsia="黑体"/>
          <w:color w:val="auto"/>
          <w:kern w:val="2"/>
          <w:sz w:val="44"/>
          <w:szCs w:val="24"/>
          <w:lang w:val="en-US"/>
        </w:rPr>
      </w:pPr>
    </w:p>
    <w:p w14:paraId="32E2FF22">
      <w:pPr>
        <w:spacing w:beforeLines="0" w:afterLines="0" w:line="600" w:lineRule="exact"/>
        <w:jc w:val="center"/>
        <w:rPr>
          <w:rFonts w:hint="eastAsia" w:ascii="黑体" w:hAnsi="黑体" w:eastAsia="黑体"/>
          <w:color w:val="auto"/>
          <w:kern w:val="2"/>
          <w:sz w:val="44"/>
          <w:szCs w:val="24"/>
          <w:lang w:val="en-US"/>
        </w:rPr>
      </w:pPr>
    </w:p>
    <w:p w14:paraId="657181AE">
      <w:pPr>
        <w:spacing w:beforeLines="0" w:afterLines="0" w:line="600" w:lineRule="exact"/>
        <w:jc w:val="center"/>
        <w:rPr>
          <w:rFonts w:hint="eastAsia" w:ascii="黑体" w:hAnsi="黑体" w:eastAsia="黑体"/>
          <w:color w:val="auto"/>
          <w:kern w:val="2"/>
          <w:sz w:val="44"/>
          <w:szCs w:val="24"/>
          <w:lang w:val="en-US"/>
        </w:rPr>
      </w:pPr>
    </w:p>
    <w:p w14:paraId="13769A2E">
      <w:pPr>
        <w:spacing w:beforeLines="0" w:afterLines="0" w:line="600" w:lineRule="exact"/>
        <w:jc w:val="center"/>
        <w:rPr>
          <w:rFonts w:hint="eastAsia" w:ascii="黑体" w:hAnsi="黑体" w:eastAsia="黑体"/>
          <w:color w:val="auto"/>
          <w:kern w:val="2"/>
          <w:sz w:val="44"/>
          <w:szCs w:val="24"/>
          <w:lang w:val="en-US"/>
        </w:rPr>
      </w:pPr>
    </w:p>
    <w:p w14:paraId="5DD3D812">
      <w:pPr>
        <w:spacing w:beforeLines="0" w:afterLines="0" w:line="600" w:lineRule="exact"/>
        <w:jc w:val="center"/>
        <w:rPr>
          <w:rFonts w:hint="eastAsia" w:ascii="黑体" w:hAnsi="黑体" w:eastAsia="黑体"/>
          <w:color w:val="auto"/>
          <w:kern w:val="2"/>
          <w:sz w:val="44"/>
          <w:szCs w:val="24"/>
          <w:lang w:val="en-US"/>
        </w:rPr>
      </w:pPr>
    </w:p>
    <w:p w14:paraId="78A6672D">
      <w:pPr>
        <w:spacing w:beforeLines="0" w:afterLines="0" w:line="600" w:lineRule="exact"/>
        <w:jc w:val="center"/>
        <w:rPr>
          <w:rFonts w:hint="eastAsia" w:ascii="黑体" w:hAnsi="黑体" w:eastAsia="黑体"/>
          <w:color w:val="auto"/>
          <w:kern w:val="2"/>
          <w:sz w:val="44"/>
          <w:szCs w:val="24"/>
          <w:lang w:val="en-US"/>
        </w:rPr>
      </w:pPr>
    </w:p>
    <w:p w14:paraId="52C2FD48">
      <w:pPr>
        <w:spacing w:beforeLines="0" w:afterLines="0" w:line="600" w:lineRule="exact"/>
        <w:jc w:val="center"/>
        <w:rPr>
          <w:rFonts w:hint="eastAsia" w:ascii="黑体" w:hAnsi="黑体" w:eastAsia="黑体"/>
          <w:color w:val="auto"/>
          <w:kern w:val="2"/>
          <w:sz w:val="44"/>
          <w:szCs w:val="24"/>
          <w:lang w:val="en-US"/>
        </w:rPr>
      </w:pPr>
    </w:p>
    <w:p w14:paraId="722C6D7F">
      <w:pPr>
        <w:spacing w:beforeLines="0" w:afterLines="0" w:line="600" w:lineRule="exact"/>
        <w:jc w:val="center"/>
        <w:rPr>
          <w:rFonts w:hint="eastAsia" w:ascii="黑体" w:hAnsi="黑体" w:eastAsia="黑体"/>
          <w:color w:val="auto"/>
          <w:kern w:val="44"/>
          <w:sz w:val="44"/>
          <w:szCs w:val="24"/>
          <w:lang w:val="en-US"/>
        </w:rPr>
      </w:pPr>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四部分 附件</w:t>
      </w:r>
    </w:p>
    <w:p w14:paraId="2EF7237A">
      <w:pPr>
        <w:spacing w:beforeLines="0" w:afterLines="0" w:line="240" w:lineRule="auto"/>
        <w:jc w:val="both"/>
        <w:rPr>
          <w:rFonts w:hint="eastAsia" w:ascii="黑体" w:hAnsi="黑体" w:eastAsia="黑体"/>
          <w:color w:val="auto"/>
          <w:kern w:val="2"/>
          <w:sz w:val="44"/>
          <w:szCs w:val="24"/>
          <w:lang w:val="en-US" w:eastAsia="zh-CN"/>
        </w:rPr>
      </w:pPr>
    </w:p>
    <w:p w14:paraId="6CB87A7D">
      <w:pPr>
        <w:spacing w:beforeLines="0" w:afterLines="0" w:line="240" w:lineRule="auto"/>
        <w:jc w:val="both"/>
        <w:rPr>
          <w:rFonts w:hint="eastAsia" w:ascii="黑体" w:hAnsi="黑体" w:eastAsia="黑体"/>
          <w:color w:val="auto"/>
          <w:kern w:val="2"/>
          <w:sz w:val="44"/>
          <w:szCs w:val="24"/>
          <w:lang w:val="en-US" w:eastAsia="zh-CN"/>
        </w:rPr>
      </w:pPr>
      <w:r>
        <w:rPr>
          <w:rFonts w:hint="eastAsia" w:ascii="黑体" w:hAnsi="黑体" w:eastAsia="黑体"/>
          <w:color w:val="auto"/>
          <w:kern w:val="2"/>
          <w:sz w:val="44"/>
          <w:szCs w:val="24"/>
          <w:lang w:val="en-US" w:eastAsia="zh-CN"/>
        </w:rPr>
        <w:drawing>
          <wp:inline distT="0" distB="0" distL="114300" distR="114300">
            <wp:extent cx="5478780" cy="6357620"/>
            <wp:effectExtent l="0" t="0" r="7620" b="5080"/>
            <wp:docPr id="5" name="图片 5" descr="}D`B5$N}R0H5OK0KTC`1$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B5$N}R0H5OK0KTC`1$IX"/>
                    <pic:cNvPicPr>
                      <a:picLocks noChangeAspect="1"/>
                    </pic:cNvPicPr>
                  </pic:nvPicPr>
                  <pic:blipFill>
                    <a:blip r:embed="rId12"/>
                    <a:stretch>
                      <a:fillRect/>
                    </a:stretch>
                  </pic:blipFill>
                  <pic:spPr>
                    <a:xfrm>
                      <a:off x="0" y="0"/>
                      <a:ext cx="5478780" cy="6357620"/>
                    </a:xfrm>
                    <a:prstGeom prst="rect">
                      <a:avLst/>
                    </a:prstGeom>
                  </pic:spPr>
                </pic:pic>
              </a:graphicData>
            </a:graphic>
          </wp:inline>
        </w:drawing>
      </w:r>
    </w:p>
    <w:p w14:paraId="77BC89C8">
      <w:pPr>
        <w:spacing w:beforeLines="0" w:afterLines="0" w:line="240" w:lineRule="auto"/>
        <w:jc w:val="both"/>
        <w:rPr>
          <w:rFonts w:hint="eastAsia" w:ascii="黑体" w:hAnsi="黑体" w:eastAsia="黑体"/>
          <w:color w:val="auto"/>
          <w:kern w:val="2"/>
          <w:sz w:val="44"/>
          <w:szCs w:val="24"/>
          <w:lang w:val="en-US" w:eastAsia="zh-CN"/>
        </w:rPr>
      </w:pPr>
    </w:p>
    <w:p w14:paraId="2B6975B8">
      <w:pPr>
        <w:spacing w:beforeLines="0" w:afterLines="0" w:line="240" w:lineRule="auto"/>
        <w:jc w:val="both"/>
        <w:rPr>
          <w:rFonts w:hint="eastAsia" w:ascii="黑体" w:hAnsi="黑体" w:eastAsia="黑体"/>
          <w:color w:val="auto"/>
          <w:kern w:val="2"/>
          <w:sz w:val="44"/>
          <w:szCs w:val="24"/>
          <w:lang w:val="en-US" w:eastAsia="zh-CN"/>
        </w:rPr>
      </w:pPr>
    </w:p>
    <w:p w14:paraId="21E43802">
      <w:pPr>
        <w:spacing w:beforeLines="0" w:afterLines="0" w:line="240" w:lineRule="auto"/>
        <w:jc w:val="both"/>
        <w:rPr>
          <w:rFonts w:hint="eastAsia" w:ascii="黑体" w:hAnsi="黑体" w:eastAsia="黑体"/>
          <w:color w:val="auto"/>
          <w:kern w:val="2"/>
          <w:sz w:val="44"/>
          <w:szCs w:val="24"/>
          <w:lang w:val="en-US" w:eastAsia="zh-CN"/>
        </w:rPr>
      </w:pPr>
    </w:p>
    <w:p w14:paraId="35469D8E">
      <w:pPr>
        <w:spacing w:beforeLines="0" w:afterLines="0" w:line="240" w:lineRule="auto"/>
        <w:jc w:val="both"/>
        <w:rPr>
          <w:rFonts w:hint="eastAsia" w:ascii="黑体" w:hAnsi="黑体" w:eastAsia="黑体"/>
          <w:color w:val="auto"/>
          <w:kern w:val="2"/>
          <w:sz w:val="44"/>
          <w:szCs w:val="24"/>
          <w:lang w:val="en-US" w:eastAsia="zh-CN"/>
        </w:rPr>
      </w:pPr>
    </w:p>
    <w:p w14:paraId="11ECB384">
      <w:pPr>
        <w:spacing w:beforeLines="0" w:afterLines="0" w:line="240" w:lineRule="auto"/>
        <w:jc w:val="both"/>
        <w:rPr>
          <w:rFonts w:hint="eastAsia" w:ascii="黑体" w:hAnsi="黑体" w:eastAsia="黑体"/>
          <w:color w:val="auto"/>
          <w:kern w:val="2"/>
          <w:sz w:val="44"/>
          <w:szCs w:val="24"/>
          <w:lang w:val="en-US" w:eastAsia="zh-CN"/>
        </w:rPr>
      </w:pPr>
      <w:r>
        <w:rPr>
          <w:rFonts w:hint="eastAsia" w:ascii="黑体" w:hAnsi="黑体" w:eastAsia="黑体"/>
          <w:color w:val="auto"/>
          <w:kern w:val="2"/>
          <w:sz w:val="44"/>
          <w:szCs w:val="24"/>
          <w:lang w:val="en-US" w:eastAsia="zh-CN"/>
        </w:rPr>
        <w:drawing>
          <wp:inline distT="0" distB="0" distL="114300" distR="114300">
            <wp:extent cx="5478145" cy="5840730"/>
            <wp:effectExtent l="0" t="0" r="8255" b="7620"/>
            <wp:docPr id="7" name="图片 7" descr="RY44H`(OE@3F`~HNDX%3WQ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RY44H`(OE@3F`~HNDX%3WQE"/>
                    <pic:cNvPicPr>
                      <a:picLocks noChangeAspect="1"/>
                    </pic:cNvPicPr>
                  </pic:nvPicPr>
                  <pic:blipFill>
                    <a:blip r:embed="rId13"/>
                    <a:stretch>
                      <a:fillRect/>
                    </a:stretch>
                  </pic:blipFill>
                  <pic:spPr>
                    <a:xfrm>
                      <a:off x="0" y="0"/>
                      <a:ext cx="5478145" cy="5840730"/>
                    </a:xfrm>
                    <a:prstGeom prst="rect">
                      <a:avLst/>
                    </a:prstGeom>
                  </pic:spPr>
                </pic:pic>
              </a:graphicData>
            </a:graphic>
          </wp:inline>
        </w:drawing>
      </w:r>
    </w:p>
    <w:p w14:paraId="78160DA7">
      <w:pPr>
        <w:spacing w:beforeLines="0" w:afterLines="0" w:line="240" w:lineRule="auto"/>
        <w:jc w:val="both"/>
        <w:rPr>
          <w:rFonts w:hint="eastAsia" w:ascii="黑体" w:hAnsi="黑体" w:eastAsia="黑体"/>
          <w:color w:val="auto"/>
          <w:kern w:val="2"/>
          <w:sz w:val="44"/>
          <w:szCs w:val="24"/>
          <w:lang w:val="en-US" w:eastAsia="zh-CN"/>
        </w:rPr>
      </w:pPr>
    </w:p>
    <w:p w14:paraId="2FD7FD6E">
      <w:pPr>
        <w:spacing w:beforeLines="0" w:afterLines="0" w:line="240" w:lineRule="auto"/>
        <w:jc w:val="both"/>
        <w:rPr>
          <w:rFonts w:hint="eastAsia" w:ascii="黑体" w:hAnsi="黑体" w:eastAsia="黑体"/>
          <w:color w:val="auto"/>
          <w:kern w:val="2"/>
          <w:sz w:val="44"/>
          <w:szCs w:val="24"/>
          <w:lang w:val="en-US" w:eastAsia="zh-CN"/>
        </w:rPr>
      </w:pPr>
    </w:p>
    <w:p w14:paraId="038DA78E">
      <w:pPr>
        <w:spacing w:beforeLines="0" w:afterLines="0" w:line="240" w:lineRule="auto"/>
        <w:jc w:val="both"/>
        <w:rPr>
          <w:rFonts w:hint="eastAsia" w:ascii="黑体" w:hAnsi="黑体" w:eastAsia="黑体"/>
          <w:color w:val="auto"/>
          <w:kern w:val="2"/>
          <w:sz w:val="44"/>
          <w:szCs w:val="24"/>
          <w:lang w:val="en-US" w:eastAsia="zh-CN"/>
        </w:rPr>
      </w:pPr>
    </w:p>
    <w:p w14:paraId="3222CE07">
      <w:pPr>
        <w:spacing w:beforeLines="0" w:afterLines="0" w:line="240" w:lineRule="auto"/>
        <w:jc w:val="both"/>
        <w:rPr>
          <w:rFonts w:hint="eastAsia" w:ascii="黑体" w:hAnsi="黑体" w:eastAsia="黑体"/>
          <w:color w:val="auto"/>
          <w:kern w:val="2"/>
          <w:sz w:val="44"/>
          <w:szCs w:val="24"/>
          <w:lang w:val="en-US" w:eastAsia="zh-CN"/>
        </w:rPr>
      </w:pPr>
    </w:p>
    <w:p w14:paraId="6206F1CB">
      <w:pPr>
        <w:spacing w:beforeLines="0" w:afterLines="0" w:line="240" w:lineRule="auto"/>
        <w:jc w:val="both"/>
        <w:rPr>
          <w:rFonts w:hint="eastAsia" w:ascii="黑体" w:hAnsi="黑体" w:eastAsia="黑体"/>
          <w:color w:val="auto"/>
          <w:kern w:val="2"/>
          <w:sz w:val="44"/>
          <w:szCs w:val="24"/>
          <w:lang w:val="en-US" w:eastAsia="zh-CN"/>
        </w:rPr>
      </w:pPr>
    </w:p>
    <w:p w14:paraId="6E0931ED">
      <w:pPr>
        <w:spacing w:beforeLines="0" w:afterLines="0" w:line="240" w:lineRule="auto"/>
        <w:jc w:val="both"/>
        <w:rPr>
          <w:rFonts w:hint="eastAsia" w:ascii="黑体" w:hAnsi="黑体" w:eastAsia="黑体"/>
          <w:color w:val="auto"/>
          <w:kern w:val="2"/>
          <w:sz w:val="44"/>
          <w:szCs w:val="24"/>
          <w:lang w:val="en-US" w:eastAsia="zh-CN"/>
        </w:rPr>
      </w:pPr>
      <w:r>
        <w:rPr>
          <w:rFonts w:hint="eastAsia" w:ascii="黑体" w:hAnsi="黑体" w:eastAsia="黑体"/>
          <w:color w:val="auto"/>
          <w:kern w:val="2"/>
          <w:sz w:val="44"/>
          <w:szCs w:val="24"/>
          <w:lang w:val="en-US" w:eastAsia="zh-CN"/>
        </w:rPr>
        <w:drawing>
          <wp:inline distT="0" distB="0" distL="114300" distR="114300">
            <wp:extent cx="5478780" cy="6433820"/>
            <wp:effectExtent l="0" t="0" r="7620" b="5080"/>
            <wp:docPr id="8" name="图片 8" descr="V]D1A2O)[P`B6FU_X@Y(_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V]D1A2O)[P`B6FU_X@Y(_EP"/>
                    <pic:cNvPicPr>
                      <a:picLocks noChangeAspect="1"/>
                    </pic:cNvPicPr>
                  </pic:nvPicPr>
                  <pic:blipFill>
                    <a:blip r:embed="rId14"/>
                    <a:stretch>
                      <a:fillRect/>
                    </a:stretch>
                  </pic:blipFill>
                  <pic:spPr>
                    <a:xfrm>
                      <a:off x="0" y="0"/>
                      <a:ext cx="5478780" cy="6433820"/>
                    </a:xfrm>
                    <a:prstGeom prst="rect">
                      <a:avLst/>
                    </a:prstGeom>
                  </pic:spPr>
                </pic:pic>
              </a:graphicData>
            </a:graphic>
          </wp:inline>
        </w:drawing>
      </w:r>
    </w:p>
    <w:p w14:paraId="7E19EC85">
      <w:pPr>
        <w:spacing w:beforeLines="0" w:afterLines="0" w:line="240" w:lineRule="auto"/>
        <w:jc w:val="both"/>
        <w:rPr>
          <w:rFonts w:hint="eastAsia" w:ascii="黑体" w:hAnsi="黑体" w:eastAsia="黑体"/>
          <w:color w:val="auto"/>
          <w:kern w:val="2"/>
          <w:sz w:val="44"/>
          <w:szCs w:val="24"/>
          <w:lang w:val="en-US" w:eastAsia="zh-CN"/>
        </w:rPr>
      </w:pPr>
    </w:p>
    <w:p w14:paraId="6586479E">
      <w:pPr>
        <w:spacing w:beforeLines="0" w:afterLines="0" w:line="240" w:lineRule="auto"/>
        <w:jc w:val="both"/>
        <w:rPr>
          <w:rFonts w:hint="eastAsia" w:ascii="黑体" w:hAnsi="黑体" w:eastAsia="黑体"/>
          <w:color w:val="auto"/>
          <w:kern w:val="2"/>
          <w:sz w:val="44"/>
          <w:szCs w:val="24"/>
          <w:lang w:val="en-US" w:eastAsia="zh-CN"/>
        </w:rPr>
      </w:pPr>
    </w:p>
    <w:p w14:paraId="128E76D7">
      <w:pPr>
        <w:spacing w:beforeLines="0" w:afterLines="0" w:line="240" w:lineRule="auto"/>
        <w:jc w:val="both"/>
        <w:rPr>
          <w:rFonts w:hint="eastAsia" w:ascii="黑体" w:hAnsi="黑体" w:eastAsia="黑体"/>
          <w:color w:val="auto"/>
          <w:kern w:val="2"/>
          <w:sz w:val="44"/>
          <w:szCs w:val="24"/>
          <w:lang w:val="en-US" w:eastAsia="zh-CN"/>
        </w:rPr>
      </w:pPr>
    </w:p>
    <w:p w14:paraId="22802FD5">
      <w:pPr>
        <w:spacing w:beforeLines="0" w:afterLines="0" w:line="240" w:lineRule="auto"/>
        <w:jc w:val="both"/>
        <w:rPr>
          <w:rFonts w:hint="eastAsia" w:ascii="黑体" w:hAnsi="黑体" w:eastAsia="黑体"/>
          <w:color w:val="auto"/>
          <w:kern w:val="2"/>
          <w:sz w:val="44"/>
          <w:szCs w:val="24"/>
          <w:lang w:val="en-US" w:eastAsia="zh-CN"/>
        </w:rPr>
      </w:pPr>
    </w:p>
    <w:p w14:paraId="27B6A985">
      <w:pPr>
        <w:spacing w:beforeLines="0" w:afterLines="0" w:line="240" w:lineRule="auto"/>
        <w:jc w:val="both"/>
        <w:rPr>
          <w:rFonts w:hint="eastAsia" w:ascii="黑体" w:hAnsi="黑体" w:eastAsia="黑体"/>
          <w:color w:val="auto"/>
          <w:kern w:val="2"/>
          <w:sz w:val="44"/>
          <w:szCs w:val="24"/>
          <w:lang w:val="en-US" w:eastAsia="zh-CN"/>
        </w:rPr>
      </w:pPr>
      <w:r>
        <w:rPr>
          <w:rFonts w:ascii="宋体" w:hAnsi="宋体" w:eastAsia="宋体" w:cs="宋体"/>
          <w:sz w:val="24"/>
          <w:szCs w:val="24"/>
        </w:rPr>
        <w:drawing>
          <wp:inline distT="0" distB="0" distL="114300" distR="114300">
            <wp:extent cx="5542915" cy="6505575"/>
            <wp:effectExtent l="0" t="0" r="635" b="9525"/>
            <wp:docPr id="1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IMG_256"/>
                    <pic:cNvPicPr>
                      <a:picLocks noChangeAspect="1"/>
                    </pic:cNvPicPr>
                  </pic:nvPicPr>
                  <pic:blipFill>
                    <a:blip r:embed="rId15"/>
                    <a:stretch>
                      <a:fillRect/>
                    </a:stretch>
                  </pic:blipFill>
                  <pic:spPr>
                    <a:xfrm>
                      <a:off x="0" y="0"/>
                      <a:ext cx="5542915" cy="6505575"/>
                    </a:xfrm>
                    <a:prstGeom prst="rect">
                      <a:avLst/>
                    </a:prstGeom>
                    <a:noFill/>
                    <a:ln w="9525">
                      <a:noFill/>
                    </a:ln>
                  </pic:spPr>
                </pic:pic>
              </a:graphicData>
            </a:graphic>
          </wp:inline>
        </w:drawing>
      </w:r>
    </w:p>
    <w:p w14:paraId="54FBDAE7">
      <w:pPr>
        <w:spacing w:beforeLines="0" w:afterLines="0" w:line="240" w:lineRule="auto"/>
        <w:jc w:val="both"/>
        <w:rPr>
          <w:rFonts w:hint="eastAsia" w:ascii="黑体" w:hAnsi="黑体" w:eastAsia="黑体"/>
          <w:color w:val="auto"/>
          <w:kern w:val="2"/>
          <w:sz w:val="44"/>
          <w:szCs w:val="24"/>
          <w:lang w:val="en-US" w:eastAsia="zh-CN"/>
        </w:rPr>
      </w:pPr>
    </w:p>
    <w:p w14:paraId="608310FD">
      <w:pPr>
        <w:spacing w:beforeLines="0" w:afterLines="0" w:line="600" w:lineRule="exact"/>
        <w:jc w:val="left"/>
        <w:rPr>
          <w:rFonts w:hint="eastAsia" w:ascii="黑体" w:hAnsi="黑体" w:eastAsia="黑体"/>
          <w:color w:val="auto"/>
          <w:kern w:val="2"/>
          <w:sz w:val="44"/>
          <w:szCs w:val="24"/>
          <w:lang w:val="en-US" w:eastAsia="zh-CN"/>
        </w:rPr>
      </w:pPr>
    </w:p>
    <w:p w14:paraId="293FE4D7">
      <w:pPr>
        <w:spacing w:beforeLines="0" w:afterLines="0" w:line="600" w:lineRule="exact"/>
        <w:jc w:val="center"/>
        <w:rPr>
          <w:rFonts w:hint="eastAsia" w:ascii="仿宋" w:hAnsi="仿宋" w:eastAsia="仿宋"/>
          <w:color w:val="auto"/>
          <w:kern w:val="2"/>
          <w:sz w:val="21"/>
          <w:szCs w:val="24"/>
          <w:lang w:val="en-US"/>
        </w:rPr>
      </w:pPr>
      <w:r>
        <w:rPr>
          <w:rFonts w:hint="eastAsia" w:ascii="黑体" w:hAnsi="黑体" w:eastAsia="黑体"/>
          <w:color w:val="auto"/>
          <w:kern w:val="2"/>
          <w:sz w:val="44"/>
          <w:szCs w:val="24"/>
          <w:lang w:val="en-US"/>
        </w:rPr>
        <w:t>第</w:t>
      </w:r>
      <w:r>
        <w:rPr>
          <w:rFonts w:hint="eastAsia" w:ascii="黑体" w:hAnsi="黑体" w:eastAsia="黑体"/>
          <w:color w:val="auto"/>
          <w:kern w:val="44"/>
          <w:sz w:val="44"/>
          <w:szCs w:val="24"/>
          <w:lang w:val="en-US"/>
        </w:rPr>
        <w:t>五部分 附表</w:t>
      </w:r>
    </w:p>
    <w:p w14:paraId="575C91D3">
      <w:pPr>
        <w:pStyle w:val="3"/>
        <w:keepNext/>
        <w:keepLines/>
        <w:pageBreakBefore w:val="0"/>
        <w:widowControl w:val="0"/>
        <w:kinsoku/>
        <w:wordWrap/>
        <w:overflowPunct/>
        <w:topLinePunct w:val="0"/>
        <w:autoSpaceDE w:val="0"/>
        <w:autoSpaceDN w:val="0"/>
        <w:bidi w:val="0"/>
        <w:adjustRightInd w:val="0"/>
        <w:snapToGrid/>
        <w:spacing w:before="260" w:beforeLines="0" w:after="260" w:afterLines="0" w:line="408" w:lineRule="auto"/>
        <w:ind w:firstLine="640" w:firstLineChars="200"/>
        <w:jc w:val="both"/>
        <w:textAlignment w:val="auto"/>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一、收入支出决算总表</w:t>
      </w:r>
    </w:p>
    <w:p w14:paraId="18DFA3DE">
      <w:pPr>
        <w:pStyle w:val="3"/>
        <w:keepNext/>
        <w:keepLines/>
        <w:pageBreakBefore w:val="0"/>
        <w:widowControl w:val="0"/>
        <w:kinsoku/>
        <w:wordWrap/>
        <w:overflowPunct/>
        <w:topLinePunct w:val="0"/>
        <w:autoSpaceDE w:val="0"/>
        <w:autoSpaceDN w:val="0"/>
        <w:bidi w:val="0"/>
        <w:adjustRightInd w:val="0"/>
        <w:snapToGrid/>
        <w:spacing w:before="260" w:beforeLines="0" w:after="260" w:afterLines="0" w:line="408" w:lineRule="auto"/>
        <w:ind w:firstLine="640" w:firstLineChars="200"/>
        <w:jc w:val="both"/>
        <w:textAlignment w:val="auto"/>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二、收入决算表</w:t>
      </w:r>
    </w:p>
    <w:p w14:paraId="0559199D">
      <w:pPr>
        <w:pStyle w:val="3"/>
        <w:keepNext/>
        <w:keepLines/>
        <w:pageBreakBefore w:val="0"/>
        <w:widowControl w:val="0"/>
        <w:kinsoku/>
        <w:wordWrap/>
        <w:overflowPunct/>
        <w:topLinePunct w:val="0"/>
        <w:autoSpaceDE w:val="0"/>
        <w:autoSpaceDN w:val="0"/>
        <w:bidi w:val="0"/>
        <w:adjustRightInd w:val="0"/>
        <w:snapToGrid/>
        <w:spacing w:before="260" w:beforeLines="0" w:after="260" w:afterLines="0" w:line="408" w:lineRule="auto"/>
        <w:ind w:firstLine="640" w:firstLineChars="200"/>
        <w:jc w:val="both"/>
        <w:textAlignment w:val="auto"/>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三、支出决算表</w:t>
      </w:r>
    </w:p>
    <w:p w14:paraId="77103A5A">
      <w:pPr>
        <w:pStyle w:val="3"/>
        <w:keepNext/>
        <w:keepLines/>
        <w:pageBreakBefore w:val="0"/>
        <w:widowControl w:val="0"/>
        <w:kinsoku/>
        <w:wordWrap/>
        <w:overflowPunct/>
        <w:topLinePunct w:val="0"/>
        <w:autoSpaceDE w:val="0"/>
        <w:autoSpaceDN w:val="0"/>
        <w:bidi w:val="0"/>
        <w:adjustRightInd w:val="0"/>
        <w:snapToGrid/>
        <w:spacing w:before="260" w:beforeLines="0" w:after="260" w:afterLines="0" w:line="408" w:lineRule="auto"/>
        <w:ind w:firstLine="640" w:firstLineChars="200"/>
        <w:jc w:val="both"/>
        <w:textAlignment w:val="auto"/>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四、财政拨款收入支出决算总表</w:t>
      </w:r>
    </w:p>
    <w:p w14:paraId="15BB5308">
      <w:pPr>
        <w:pStyle w:val="3"/>
        <w:keepNext/>
        <w:keepLines/>
        <w:pageBreakBefore w:val="0"/>
        <w:widowControl w:val="0"/>
        <w:kinsoku/>
        <w:wordWrap/>
        <w:overflowPunct/>
        <w:topLinePunct w:val="0"/>
        <w:autoSpaceDE w:val="0"/>
        <w:autoSpaceDN w:val="0"/>
        <w:bidi w:val="0"/>
        <w:adjustRightInd w:val="0"/>
        <w:snapToGrid/>
        <w:spacing w:before="260" w:beforeLines="0" w:after="260" w:afterLines="0" w:line="408" w:lineRule="auto"/>
        <w:ind w:firstLine="640" w:firstLineChars="200"/>
        <w:jc w:val="both"/>
        <w:textAlignment w:val="auto"/>
        <w:rPr>
          <w:rFonts w:hint="eastAsia" w:ascii="仿宋" w:hAnsi="仿宋" w:eastAsia="仿宋"/>
          <w:color w:val="auto"/>
          <w:kern w:val="2"/>
          <w:sz w:val="32"/>
          <w:szCs w:val="24"/>
          <w:lang w:val="en-US"/>
        </w:rPr>
      </w:pPr>
      <w:r>
        <w:rPr>
          <w:rFonts w:hint="eastAsia" w:ascii="仿宋" w:hAnsi="仿宋" w:eastAsia="仿宋"/>
          <w:color w:val="auto"/>
          <w:kern w:val="2"/>
          <w:sz w:val="32"/>
          <w:szCs w:val="24"/>
          <w:lang w:val="en-US"/>
        </w:rPr>
        <w:t>五、财政拨款支出决算明细表</w:t>
      </w:r>
    </w:p>
    <w:p w14:paraId="712F5576">
      <w:pPr>
        <w:pStyle w:val="3"/>
        <w:keepNext/>
        <w:keepLines/>
        <w:pageBreakBefore w:val="0"/>
        <w:widowControl w:val="0"/>
        <w:kinsoku/>
        <w:wordWrap/>
        <w:overflowPunct/>
        <w:topLinePunct w:val="0"/>
        <w:autoSpaceDE w:val="0"/>
        <w:autoSpaceDN w:val="0"/>
        <w:bidi w:val="0"/>
        <w:adjustRightInd w:val="0"/>
        <w:snapToGrid/>
        <w:spacing w:before="260" w:beforeLines="0" w:after="260" w:afterLines="0" w:line="408" w:lineRule="auto"/>
        <w:ind w:firstLine="640" w:firstLineChars="200"/>
        <w:jc w:val="both"/>
        <w:textAlignment w:val="auto"/>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六、一般公共预算财政拨款支出决算表</w:t>
      </w:r>
    </w:p>
    <w:p w14:paraId="614201DD">
      <w:pPr>
        <w:pStyle w:val="3"/>
        <w:keepNext/>
        <w:keepLines/>
        <w:pageBreakBefore w:val="0"/>
        <w:widowControl w:val="0"/>
        <w:kinsoku/>
        <w:wordWrap/>
        <w:overflowPunct/>
        <w:topLinePunct w:val="0"/>
        <w:autoSpaceDE w:val="0"/>
        <w:autoSpaceDN w:val="0"/>
        <w:bidi w:val="0"/>
        <w:adjustRightInd w:val="0"/>
        <w:snapToGrid/>
        <w:spacing w:before="260" w:beforeLines="0" w:after="260" w:afterLines="0" w:line="408" w:lineRule="auto"/>
        <w:ind w:firstLine="640" w:firstLineChars="200"/>
        <w:jc w:val="both"/>
        <w:textAlignment w:val="auto"/>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七、一般公共预算财政拨款支出决算明细表</w:t>
      </w:r>
    </w:p>
    <w:p w14:paraId="1B74F0A3">
      <w:pPr>
        <w:pStyle w:val="3"/>
        <w:keepNext/>
        <w:keepLines/>
        <w:pageBreakBefore w:val="0"/>
        <w:widowControl w:val="0"/>
        <w:kinsoku/>
        <w:wordWrap/>
        <w:overflowPunct/>
        <w:topLinePunct w:val="0"/>
        <w:autoSpaceDE w:val="0"/>
        <w:autoSpaceDN w:val="0"/>
        <w:bidi w:val="0"/>
        <w:adjustRightInd w:val="0"/>
        <w:snapToGrid/>
        <w:spacing w:before="260" w:beforeLines="0" w:after="260" w:afterLines="0" w:line="408" w:lineRule="auto"/>
        <w:ind w:firstLine="640" w:firstLineChars="200"/>
        <w:jc w:val="both"/>
        <w:textAlignment w:val="auto"/>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八、一般公共预算财政拨款基本支出决算表</w:t>
      </w:r>
    </w:p>
    <w:p w14:paraId="2836315A">
      <w:pPr>
        <w:pStyle w:val="3"/>
        <w:keepNext/>
        <w:keepLines/>
        <w:pageBreakBefore w:val="0"/>
        <w:widowControl w:val="0"/>
        <w:kinsoku/>
        <w:wordWrap/>
        <w:overflowPunct/>
        <w:topLinePunct w:val="0"/>
        <w:autoSpaceDE w:val="0"/>
        <w:autoSpaceDN w:val="0"/>
        <w:bidi w:val="0"/>
        <w:adjustRightInd w:val="0"/>
        <w:snapToGrid/>
        <w:spacing w:before="260" w:beforeLines="0" w:after="260" w:afterLines="0" w:line="408" w:lineRule="auto"/>
        <w:ind w:firstLine="640" w:firstLineChars="200"/>
        <w:jc w:val="both"/>
        <w:textAlignment w:val="auto"/>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九、一般公共预算财政拨款项目支出决算表</w:t>
      </w:r>
    </w:p>
    <w:p w14:paraId="5ADF0C22">
      <w:pPr>
        <w:pStyle w:val="3"/>
        <w:keepNext/>
        <w:keepLines/>
        <w:pageBreakBefore w:val="0"/>
        <w:widowControl w:val="0"/>
        <w:kinsoku/>
        <w:wordWrap/>
        <w:overflowPunct/>
        <w:topLinePunct w:val="0"/>
        <w:autoSpaceDE w:val="0"/>
        <w:autoSpaceDN w:val="0"/>
        <w:bidi w:val="0"/>
        <w:adjustRightInd w:val="0"/>
        <w:snapToGrid/>
        <w:spacing w:before="260" w:beforeLines="0" w:after="260" w:afterLines="0" w:line="408" w:lineRule="auto"/>
        <w:ind w:firstLine="640" w:firstLineChars="200"/>
        <w:jc w:val="both"/>
        <w:textAlignment w:val="auto"/>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十、政府性基金预算财政拨款收入支出决算表</w:t>
      </w:r>
    </w:p>
    <w:p w14:paraId="367F4A3D">
      <w:pPr>
        <w:pStyle w:val="3"/>
        <w:keepNext/>
        <w:keepLines/>
        <w:pageBreakBefore w:val="0"/>
        <w:widowControl w:val="0"/>
        <w:kinsoku/>
        <w:wordWrap/>
        <w:overflowPunct/>
        <w:topLinePunct w:val="0"/>
        <w:autoSpaceDE w:val="0"/>
        <w:autoSpaceDN w:val="0"/>
        <w:bidi w:val="0"/>
        <w:adjustRightInd w:val="0"/>
        <w:snapToGrid/>
        <w:spacing w:before="260" w:beforeLines="0" w:after="260" w:afterLines="0" w:line="408" w:lineRule="auto"/>
        <w:ind w:firstLine="640" w:firstLineChars="200"/>
        <w:jc w:val="both"/>
        <w:textAlignment w:val="auto"/>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十一、国有资本经营预算财政拨款收入支出决算表</w:t>
      </w:r>
    </w:p>
    <w:p w14:paraId="2AF7BA34">
      <w:pPr>
        <w:pStyle w:val="3"/>
        <w:keepNext/>
        <w:keepLines/>
        <w:pageBreakBefore w:val="0"/>
        <w:widowControl w:val="0"/>
        <w:kinsoku/>
        <w:wordWrap/>
        <w:overflowPunct/>
        <w:topLinePunct w:val="0"/>
        <w:autoSpaceDE w:val="0"/>
        <w:autoSpaceDN w:val="0"/>
        <w:bidi w:val="0"/>
        <w:adjustRightInd w:val="0"/>
        <w:snapToGrid/>
        <w:spacing w:before="260" w:beforeLines="0" w:after="260" w:afterLines="0" w:line="408" w:lineRule="auto"/>
        <w:ind w:firstLine="640" w:firstLineChars="200"/>
        <w:jc w:val="both"/>
        <w:textAlignment w:val="auto"/>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十二、国有资本经营预算财政拨款支出决算表</w:t>
      </w:r>
    </w:p>
    <w:p w14:paraId="578A7122">
      <w:pPr>
        <w:pStyle w:val="3"/>
        <w:keepNext/>
        <w:keepLines/>
        <w:pageBreakBefore w:val="0"/>
        <w:widowControl w:val="0"/>
        <w:kinsoku/>
        <w:wordWrap/>
        <w:overflowPunct/>
        <w:topLinePunct w:val="0"/>
        <w:autoSpaceDE w:val="0"/>
        <w:autoSpaceDN w:val="0"/>
        <w:bidi w:val="0"/>
        <w:adjustRightInd w:val="0"/>
        <w:snapToGrid/>
        <w:spacing w:before="260" w:beforeLines="0" w:after="260" w:afterLines="0" w:line="408" w:lineRule="auto"/>
        <w:ind w:firstLine="640" w:firstLineChars="200"/>
        <w:jc w:val="both"/>
        <w:textAlignment w:val="auto"/>
        <w:rPr>
          <w:rFonts w:hint="eastAsia" w:ascii="仿宋" w:hAnsi="仿宋" w:eastAsia="仿宋"/>
          <w:b/>
          <w:color w:val="auto"/>
          <w:kern w:val="2"/>
          <w:sz w:val="32"/>
          <w:szCs w:val="24"/>
          <w:lang w:val="en-US"/>
        </w:rPr>
      </w:pPr>
      <w:r>
        <w:rPr>
          <w:rFonts w:hint="eastAsia" w:ascii="仿宋" w:hAnsi="仿宋" w:eastAsia="仿宋"/>
          <w:color w:val="auto"/>
          <w:kern w:val="2"/>
          <w:sz w:val="32"/>
          <w:szCs w:val="24"/>
          <w:lang w:val="en-US"/>
        </w:rPr>
        <w:t>十三、财政拨款</w:t>
      </w:r>
      <w:r>
        <w:rPr>
          <w:rFonts w:hint="default" w:ascii="仿宋" w:hAnsi="仿宋" w:eastAsia="仿宋"/>
          <w:color w:val="auto"/>
          <w:kern w:val="2"/>
          <w:sz w:val="32"/>
          <w:szCs w:val="24"/>
          <w:lang w:val="en-US"/>
        </w:rPr>
        <w:t>“</w:t>
      </w:r>
      <w:r>
        <w:rPr>
          <w:rFonts w:hint="eastAsia" w:ascii="仿宋" w:hAnsi="仿宋" w:eastAsia="仿宋"/>
          <w:color w:val="auto"/>
          <w:kern w:val="2"/>
          <w:sz w:val="32"/>
          <w:szCs w:val="24"/>
          <w:lang w:val="en-US"/>
        </w:rPr>
        <w:t>三公</w:t>
      </w:r>
      <w:r>
        <w:rPr>
          <w:rFonts w:hint="default" w:ascii="仿宋" w:hAnsi="仿宋" w:eastAsia="仿宋"/>
          <w:color w:val="auto"/>
          <w:kern w:val="2"/>
          <w:sz w:val="32"/>
          <w:szCs w:val="24"/>
          <w:lang w:val="en-US"/>
        </w:rPr>
        <w:t>”</w:t>
      </w:r>
      <w:r>
        <w:rPr>
          <w:rFonts w:hint="eastAsia" w:ascii="仿宋" w:hAnsi="仿宋" w:eastAsia="仿宋"/>
          <w:color w:val="auto"/>
          <w:kern w:val="2"/>
          <w:sz w:val="32"/>
          <w:szCs w:val="24"/>
          <w:lang w:val="en-US"/>
        </w:rPr>
        <w:t>经费支出决算表</w:t>
      </w:r>
    </w:p>
    <w:p w14:paraId="079077A7"/>
    <w:sectPr>
      <w:footerReference r:id="rId4" w:type="default"/>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E2C916-A063-476F-9F7F-884ECDADA2A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FBF9F12F-C12A-4D21-A243-43F41C6F8F85}"/>
  </w:font>
  <w:font w:name="仿宋_GB2312">
    <w:panose1 w:val="02010609030101010101"/>
    <w:charset w:val="86"/>
    <w:family w:val="modern"/>
    <w:pitch w:val="default"/>
    <w:sig w:usb0="00000001" w:usb1="080E0000" w:usb2="00000000" w:usb3="00000000" w:csb0="00040000" w:csb1="00000000"/>
    <w:embedRegular r:id="rId3" w:fontKey="{6F6E2688-B56D-47A7-897D-B0A1CD8097E3}"/>
  </w:font>
  <w:font w:name="微软雅黑">
    <w:panose1 w:val="020B0503020204020204"/>
    <w:charset w:val="86"/>
    <w:family w:val="auto"/>
    <w:pitch w:val="default"/>
    <w:sig w:usb0="80000287" w:usb1="280F3C52" w:usb2="00000016" w:usb3="00000000" w:csb0="0004001F" w:csb1="00000000"/>
    <w:embedRegular r:id="rId4" w:fontKey="{7EB88560-C3C0-4DA5-9C5C-16C70502B9AF}"/>
  </w:font>
  <w:font w:name="Cambria">
    <w:panose1 w:val="02040503050406030204"/>
    <w:charset w:val="00"/>
    <w:family w:val="roman"/>
    <w:pitch w:val="default"/>
    <w:sig w:usb0="E00002FF" w:usb1="400004FF" w:usb2="00000000" w:usb3="00000000" w:csb0="2000019F" w:csb1="00000000"/>
    <w:embedRegular r:id="rId5" w:fontKey="{812A5F35-DE3C-4EF3-A39A-0C2E00B2ED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42F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2EBAD">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92EBAD">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F3053"/>
    <w:multiLevelType w:val="singleLevel"/>
    <w:tmpl w:val="987F3053"/>
    <w:lvl w:ilvl="0" w:tentative="0">
      <w:start w:val="1"/>
      <w:numFmt w:val="chineseCounting"/>
      <w:suff w:val="nothing"/>
      <w:lvlText w:val="（%1）"/>
      <w:lvlJc w:val="left"/>
      <w:rPr>
        <w:rFonts w:hint="eastAsia"/>
      </w:rPr>
    </w:lvl>
  </w:abstractNum>
  <w:abstractNum w:abstractNumId="1">
    <w:nsid w:val="9927BB43"/>
    <w:multiLevelType w:val="singleLevel"/>
    <w:tmpl w:val="9927BB43"/>
    <w:lvl w:ilvl="0" w:tentative="0">
      <w:start w:val="2"/>
      <w:numFmt w:val="chineseCounting"/>
      <w:suff w:val="nothing"/>
      <w:lvlText w:val="%1、"/>
      <w:lvlJc w:val="left"/>
      <w:rPr>
        <w:rFonts w:hint="eastAsia"/>
      </w:rPr>
    </w:lvl>
  </w:abstractNum>
  <w:abstractNum w:abstractNumId="2">
    <w:nsid w:val="AA9C114B"/>
    <w:multiLevelType w:val="singleLevel"/>
    <w:tmpl w:val="AA9C114B"/>
    <w:lvl w:ilvl="0" w:tentative="0">
      <w:start w:val="3"/>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172A27"/>
    <w:rsid w:val="03820711"/>
    <w:rsid w:val="06781795"/>
    <w:rsid w:val="07991E8F"/>
    <w:rsid w:val="0A067AB9"/>
    <w:rsid w:val="158D46B1"/>
    <w:rsid w:val="183E53EF"/>
    <w:rsid w:val="1E937715"/>
    <w:rsid w:val="240D458F"/>
    <w:rsid w:val="2571315B"/>
    <w:rsid w:val="26263D5E"/>
    <w:rsid w:val="287F66B8"/>
    <w:rsid w:val="295C3AB4"/>
    <w:rsid w:val="2AE47EB5"/>
    <w:rsid w:val="2B5B583D"/>
    <w:rsid w:val="2E8C7FDC"/>
    <w:rsid w:val="328D0D01"/>
    <w:rsid w:val="33BA0329"/>
    <w:rsid w:val="35BE7316"/>
    <w:rsid w:val="36902853"/>
    <w:rsid w:val="36B6675D"/>
    <w:rsid w:val="37E17F05"/>
    <w:rsid w:val="3AAA4A42"/>
    <w:rsid w:val="3B277C2D"/>
    <w:rsid w:val="3B6E5F47"/>
    <w:rsid w:val="3ED05E09"/>
    <w:rsid w:val="3FF742C5"/>
    <w:rsid w:val="40657075"/>
    <w:rsid w:val="500C1968"/>
    <w:rsid w:val="50DE5DA1"/>
    <w:rsid w:val="51010D79"/>
    <w:rsid w:val="5E2960C6"/>
    <w:rsid w:val="67180F63"/>
    <w:rsid w:val="6BE26BB3"/>
    <w:rsid w:val="74701707"/>
    <w:rsid w:val="75F72BAD"/>
    <w:rsid w:val="77D902A7"/>
    <w:rsid w:val="7EF00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spacing w:beforeLines="0" w:afterLines="0"/>
    </w:pPr>
    <w:rPr>
      <w:rFonts w:hint="default" w:asciiTheme="minorHAnsi" w:hAnsiTheme="minorHAnsi" w:eastAsiaTheme="minorEastAsia" w:cstheme="minorBidi"/>
      <w:sz w:val="24"/>
      <w:szCs w:val="24"/>
    </w:rPr>
  </w:style>
  <w:style w:type="paragraph" w:styleId="2">
    <w:name w:val="heading 1"/>
    <w:next w:val="1"/>
    <w:unhideWhenUsed/>
    <w:qFormat/>
    <w:uiPriority w:val="99"/>
    <w:pPr>
      <w:widowControl w:val="0"/>
      <w:autoSpaceDE w:val="0"/>
      <w:autoSpaceDN w:val="0"/>
      <w:adjustRightInd w:val="0"/>
      <w:spacing w:beforeLines="0" w:afterLines="0"/>
    </w:pPr>
    <w:rPr>
      <w:rFonts w:hint="default" w:asciiTheme="minorHAnsi" w:hAnsiTheme="minorHAnsi" w:eastAsiaTheme="minorEastAsia" w:cstheme="minorBidi"/>
      <w:sz w:val="24"/>
      <w:szCs w:val="24"/>
    </w:rPr>
  </w:style>
  <w:style w:type="paragraph" w:styleId="3">
    <w:name w:val="heading 2"/>
    <w:basedOn w:val="1"/>
    <w:next w:val="1"/>
    <w:link w:val="13"/>
    <w:unhideWhenUsed/>
    <w:qFormat/>
    <w:uiPriority w:val="99"/>
    <w:pPr>
      <w:widowControl w:val="0"/>
      <w:autoSpaceDE w:val="0"/>
      <w:autoSpaceDN w:val="0"/>
      <w:adjustRightInd w:val="0"/>
      <w:spacing w:beforeLines="0" w:afterLines="0"/>
    </w:pPr>
    <w:rPr>
      <w:rFonts w:hint="default" w:asciiTheme="minorHAnsi" w:hAnsiTheme="minorHAnsi" w:eastAsiaTheme="minorEastAsia" w:cstheme="minorBidi"/>
      <w:sz w:val="24"/>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99"/>
    <w:pPr>
      <w:spacing w:beforeLines="30"/>
    </w:pPr>
    <w:rPr>
      <w:rFonts w:ascii="仿宋_GB2312" w:eastAsia="仿宋_GB2312"/>
      <w:kern w:val="0"/>
      <w:sz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jc w:val="left"/>
    </w:pPr>
    <w:rPr>
      <w:kern w:val="0"/>
      <w:sz w:val="24"/>
    </w:rPr>
  </w:style>
  <w:style w:type="character" w:styleId="10">
    <w:name w:val="Strong"/>
    <w:basedOn w:val="9"/>
    <w:qFormat/>
    <w:uiPriority w:val="99"/>
    <w:rPr>
      <w:b/>
    </w:rPr>
  </w:style>
  <w:style w:type="paragraph" w:styleId="11">
    <w:name w:val="Quote"/>
    <w:basedOn w:val="1"/>
    <w:next w:val="1"/>
    <w:qFormat/>
    <w:uiPriority w:val="29"/>
    <w:rPr>
      <w:i/>
      <w:iCs/>
      <w:color w:val="000000"/>
    </w:rPr>
  </w:style>
  <w:style w:type="paragraph" w:styleId="12">
    <w:name w:val="List Paragraph"/>
    <w:basedOn w:val="1"/>
    <w:qFormat/>
    <w:uiPriority w:val="34"/>
    <w:pPr>
      <w:ind w:firstLine="420" w:firstLineChars="200"/>
    </w:pPr>
  </w:style>
  <w:style w:type="character" w:customStyle="1" w:styleId="13">
    <w:name w:val="标题 2 Char"/>
    <w:basedOn w:val="9"/>
    <w:link w:val="3"/>
    <w:qFormat/>
    <w:uiPriority w:val="9"/>
    <w:rPr>
      <w:rFonts w:hint="default" w:asciiTheme="minorHAnsi" w:hAnsiTheme="minorHAnsi" w:eastAsiaTheme="minorEastAsia" w:cstheme="minorBidi"/>
      <w:sz w:val="24"/>
      <w:szCs w:val="24"/>
    </w:rPr>
  </w:style>
  <w:style w:type="paragraph" w:customStyle="1" w:styleId="1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195271207466"/>
          <c:y val="0.168128931290403"/>
          <c:w val="0.874143960031094"/>
          <c:h val="0.823128823926743"/>
        </c:manualLayout>
      </c:layout>
      <c:barChart>
        <c:barDir val="col"/>
        <c:grouping val="clustered"/>
        <c:varyColors val="0"/>
        <c:ser>
          <c:idx val="0"/>
          <c:order val="0"/>
          <c:tx>
            <c:strRef>
              <c:f>Sheet1!$B$1</c:f>
              <c:strCache>
                <c:ptCount val="1"/>
                <c:pt idx="0">
                  <c:v>2023年度收、支总计（万元）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Sheet1!$B$2</c:f>
              <c:numCache>
                <c:formatCode>General</c:formatCode>
                <c:ptCount val="1"/>
                <c:pt idx="0">
                  <c:v>1959.53</c:v>
                </c:pt>
              </c:numCache>
            </c:numRef>
          </c:val>
        </c:ser>
        <c:ser>
          <c:idx val="1"/>
          <c:order val="1"/>
          <c:tx>
            <c:strRef>
              <c:f>Sheet1!$C$1</c:f>
              <c:strCache>
                <c:ptCount val="1"/>
                <c:pt idx="0">
                  <c:v>2022年度收、支总计（万元）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cat>
            <c:strRef>
              <c:f>Sheet1!$A$2</c:f>
              <c:strCache>
                <c:ptCount val="1"/>
                <c:pt idx="0">
                  <c:v>类别 1</c:v>
                </c:pt>
              </c:strCache>
            </c:strRef>
          </c:cat>
          <c:val>
            <c:numRef>
              <c:f>Sheet1!$C$2</c:f>
              <c:numCache>
                <c:formatCode>0.00_ </c:formatCode>
                <c:ptCount val="1"/>
                <c:pt idx="0">
                  <c:v>1819.19</c:v>
                </c:pt>
              </c:numCache>
            </c:numRef>
          </c:val>
        </c:ser>
        <c:dLbls>
          <c:showLegendKey val="0"/>
          <c:showVal val="1"/>
          <c:showCatName val="0"/>
          <c:showSerName val="0"/>
          <c:showPercent val="0"/>
          <c:showBubbleSize val="0"/>
        </c:dLbls>
        <c:gapWidth val="75"/>
        <c:overlap val="-25"/>
        <c:axId val="126798848"/>
        <c:axId val="57049856"/>
      </c:barChart>
      <c:catAx>
        <c:axId val="126798848"/>
        <c:scaling>
          <c:orientation val="minMax"/>
        </c:scaling>
        <c:delete val="1"/>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7049856"/>
        <c:crosses val="autoZero"/>
        <c:auto val="1"/>
        <c:lblAlgn val="ctr"/>
        <c:lblOffset val="100"/>
        <c:noMultiLvlLbl val="0"/>
      </c:catAx>
      <c:valAx>
        <c:axId val="57049856"/>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6798848"/>
        <c:crosses val="autoZero"/>
        <c:crossBetween val="between"/>
      </c:valAx>
    </c:plotArea>
    <c:legend>
      <c:legendPos val="b"/>
      <c:legendEntry>
        <c:idx val="2"/>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1ae470a-506c-4ce2-9434-acf7f999c691}"/>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0658838878017"/>
          <c:y val="0.102041259500543"/>
          <c:w val="0.478173515981735"/>
          <c:h val="0.795917480998914"/>
        </c:manualLayout>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Pt>
            <c:idx val="5"/>
            <c:bubble3D val="0"/>
          </c:dPt>
          <c:dLbls>
            <c:dLbl>
              <c:idx val="1"/>
              <c:layout>
                <c:manualLayout>
                  <c:x val="-0.119405467176388"/>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03392041748206"/>
                      <c:h val="0.221498371335505"/>
                    </c:manualLayout>
                  </c15:layout>
                </c:ext>
              </c:extLst>
            </c:dLbl>
            <c:dLbl>
              <c:idx val="2"/>
              <c:layout>
                <c:manualLayout>
                  <c:x val="-0.163323403543002"/>
                  <c:y val="0.27144408251900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43118069145466"/>
                      <c:h val="0.316395222584148"/>
                    </c:manualLayout>
                  </c15:layout>
                </c:ext>
              </c:extLst>
            </c:dLbl>
            <c:dLbl>
              <c:idx val="3"/>
              <c:layout>
                <c:manualLayout>
                  <c:x val="-0.170813367159674"/>
                  <c:y val="0.18154180238870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50228310502283"/>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5296803652968"/>
                      <c:h val="0.178067318132465"/>
                    </c:manualLayout>
                  </c15:layout>
                </c:ext>
              </c:extLst>
            </c:dLbl>
            <c:dLbl>
              <c:idx val="5"/>
              <c:layout>
                <c:manualLayout>
                  <c:x val="0.00743639921722078"/>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Sheet1!$B$2:$B$7</c:f>
              <c:numCache>
                <c:formatCode>General</c:formatCode>
                <c:ptCount val="6"/>
                <c:pt idx="0">
                  <c:v>1748.35</c:v>
                </c:pt>
                <c:pt idx="1">
                  <c:v>0</c:v>
                </c:pt>
                <c:pt idx="2">
                  <c:v>0</c:v>
                </c:pt>
                <c:pt idx="3">
                  <c:v>0</c:v>
                </c:pt>
                <c:pt idx="4">
                  <c:v>0</c:v>
                </c:pt>
                <c:pt idx="5">
                  <c:v>161.25</c:v>
                </c:pt>
              </c:numCache>
            </c:numRef>
          </c:val>
        </c:ser>
        <c:dLbls>
          <c:showLegendKey val="0"/>
          <c:showVal val="0"/>
          <c:showCatName val="1"/>
          <c:showSerName val="0"/>
          <c:showPercent val="1"/>
          <c:showBubbleSize val="0"/>
          <c:showLeaderLines val="1"/>
        </c:dLbls>
        <c:firstSliceAng val="0"/>
      </c:pieChart>
    </c:plotArea>
    <c:legend>
      <c:legendPos val="r"/>
      <c:layout>
        <c:manualLayout>
          <c:xMode val="edge"/>
          <c:yMode val="edge"/>
          <c:x val="0.654533594259622"/>
          <c:y val="0.14049945711183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33f5d12-d2e2-4751-bc6e-7feb44a0b534}"/>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Lbls>
            <c:dLbl>
              <c:idx val="0"/>
              <c:layout>
                <c:manualLayout>
                  <c:x val="0.0221660468730385"/>
                  <c:y val="-0.072884499323014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62869294760562"/>
                  <c:y val="0.0080380918193433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0.7786</c:v>
                </c:pt>
                <c:pt idx="1">
                  <c:v>0.2214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8eccb6be-08a9-4226-b9e3-6bbb60013cdd}"/>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177468570731"/>
          <c:y val="0.170997325181506"/>
          <c:w val="0.874160869034542"/>
          <c:h val="0.823079862437906"/>
        </c:manualLayout>
      </c:layout>
      <c:barChart>
        <c:barDir val="col"/>
        <c:grouping val="clustered"/>
        <c:varyColors val="0"/>
        <c:ser>
          <c:idx val="0"/>
          <c:order val="0"/>
          <c:tx>
            <c:strRef>
              <c:f>Sheet1!$B$1</c:f>
              <c:strCache>
                <c:ptCount val="1"/>
                <c:pt idx="0">
                  <c:v>2023年度收、支总计(万元）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Sheet1!$B$2</c:f>
              <c:numCache>
                <c:formatCode>General</c:formatCode>
                <c:ptCount val="1"/>
                <c:pt idx="0">
                  <c:v>1798.28</c:v>
                </c:pt>
              </c:numCache>
            </c:numRef>
          </c:val>
        </c:ser>
        <c:ser>
          <c:idx val="1"/>
          <c:order val="1"/>
          <c:tx>
            <c:strRef>
              <c:f>Sheet1!$C$1</c:f>
              <c:strCache>
                <c:ptCount val="1"/>
                <c:pt idx="0">
                  <c:v>2022年度收、支总计（万元）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trendline>
            <c:trendlineType val="linear"/>
            <c:dispRSqr val="0"/>
            <c:dispEq val="0"/>
          </c:trendline>
          <c:cat>
            <c:strRef>
              <c:f>Sheet1!$A$2</c:f>
              <c:strCache>
                <c:ptCount val="1"/>
                <c:pt idx="0">
                  <c:v>类别 1</c:v>
                </c:pt>
              </c:strCache>
            </c:strRef>
          </c:cat>
          <c:val>
            <c:numRef>
              <c:f>Sheet1!$C$2</c:f>
              <c:numCache>
                <c:formatCode>General</c:formatCode>
                <c:ptCount val="1"/>
                <c:pt idx="0">
                  <c:v>1739.78</c:v>
                </c:pt>
              </c:numCache>
            </c:numRef>
          </c:val>
        </c:ser>
        <c:dLbls>
          <c:showLegendKey val="0"/>
          <c:showVal val="1"/>
          <c:showCatName val="0"/>
          <c:showSerName val="0"/>
          <c:showPercent val="0"/>
          <c:showBubbleSize val="0"/>
        </c:dLbls>
        <c:gapWidth val="75"/>
        <c:overlap val="-25"/>
        <c:axId val="57060352"/>
        <c:axId val="57127680"/>
      </c:barChart>
      <c:catAx>
        <c:axId val="57060352"/>
        <c:scaling>
          <c:orientation val="minMax"/>
        </c:scaling>
        <c:delete val="1"/>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7127680"/>
        <c:crosses val="autoZero"/>
        <c:auto val="1"/>
        <c:lblAlgn val="ctr"/>
        <c:lblOffset val="100"/>
        <c:noMultiLvlLbl val="0"/>
      </c:catAx>
      <c:valAx>
        <c:axId val="57127680"/>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7060352"/>
        <c:crosses val="autoZero"/>
        <c:crossBetween val="between"/>
      </c:valAx>
    </c:plotArea>
    <c:legend>
      <c:legendPos val="b"/>
      <c:legendEntry>
        <c:idx val="2"/>
        <c:delete val="1"/>
      </c:legendEntry>
      <c:layout>
        <c:manualLayout>
          <c:xMode val="edge"/>
          <c:yMode val="edge"/>
          <c:x val="0.126327352618089"/>
          <c:y val="0.049675200611387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bcf0014e-21ee-4854-8ca6-534c456f081d}"/>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125740350417"/>
          <c:y val="0.212130454476823"/>
          <c:w val="0.763546925566343"/>
          <c:h val="0.778558558558559"/>
        </c:manualLayout>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Sheet1!$B$2</c:f>
              <c:numCache>
                <c:formatCode>General</c:formatCode>
                <c:ptCount val="1"/>
                <c:pt idx="0">
                  <c:v>1748.35</c:v>
                </c:pt>
              </c:numCache>
            </c:numRef>
          </c:val>
        </c:ser>
        <c:ser>
          <c:idx val="1"/>
          <c:order val="1"/>
          <c:tx>
            <c:strRef>
              <c:f>Sheet1!$C$1</c:f>
              <c:strCache>
                <c:ptCount val="1"/>
                <c:pt idx="0">
                  <c:v>2022</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类别 1</c:v>
                </c:pt>
              </c:strCache>
            </c:strRef>
          </c:cat>
          <c:val>
            <c:numRef>
              <c:f>Sheet1!$C$2</c:f>
              <c:numCache>
                <c:formatCode>General</c:formatCode>
                <c:ptCount val="1"/>
                <c:pt idx="0">
                  <c:v>1689.85</c:v>
                </c:pt>
              </c:numCache>
            </c:numRef>
          </c:val>
        </c:ser>
        <c:dLbls>
          <c:showLegendKey val="0"/>
          <c:showVal val="1"/>
          <c:showCatName val="0"/>
          <c:showSerName val="0"/>
          <c:showPercent val="0"/>
          <c:showBubbleSize val="0"/>
        </c:dLbls>
        <c:gapWidth val="75"/>
        <c:overlap val="-25"/>
        <c:axId val="57149312"/>
        <c:axId val="57150848"/>
      </c:barChart>
      <c:catAx>
        <c:axId val="57149312"/>
        <c:scaling>
          <c:orientation val="minMax"/>
        </c:scaling>
        <c:delete val="0"/>
        <c:axPos val="b"/>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57150848"/>
        <c:crosses val="autoZero"/>
        <c:auto val="1"/>
        <c:lblAlgn val="ctr"/>
        <c:lblOffset val="100"/>
        <c:noMultiLvlLbl val="0"/>
      </c:catAx>
      <c:valAx>
        <c:axId val="5715084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149312"/>
        <c:crosses val="autoZero"/>
        <c:crossBetween val="between"/>
      </c:valAx>
      <c:spPr>
        <a:noFill/>
        <a:ln>
          <a:noFill/>
        </a:ln>
        <a:effectLst/>
      </c:spPr>
    </c:plotArea>
    <c:legend>
      <c:legendPos val="b"/>
      <c:layout>
        <c:manualLayout>
          <c:xMode val="edge"/>
          <c:yMode val="edge"/>
          <c:x val="0.41169853768279"/>
          <c:y val="0.0757293606455618"/>
          <c:w val="0.176743532058493"/>
          <c:h val="0.10138630250362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c71aeea-8997-4b4f-8a18-edbb515a7e9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0"/>
              <c:layout>
                <c:manualLayout>
                  <c:x val="0.0883960279315258"/>
                  <c:y val="0.0236309205494108"/>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33381502890173"/>
                      <c:h val="0.0945426594926979"/>
                    </c:manualLayout>
                  </c15:layout>
                </c:ext>
              </c:extLst>
            </c:dLbl>
            <c:dLbl>
              <c:idx val="1"/>
              <c:layout>
                <c:manualLayout>
                  <c:x val="-0.108576350210888"/>
                  <c:y val="-0.130976404279004"/>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01589595375723"/>
                      <c:h val="0.0680245964642583"/>
                    </c:manualLayout>
                  </c15:layout>
                </c:ext>
              </c:extLst>
            </c:dLbl>
            <c:dLbl>
              <c:idx val="2"/>
              <c:layout>
                <c:manualLayout>
                  <c:x val="0.00127391052161585"/>
                  <c:y val="0.055302931436135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29260747149148"/>
                  <c:y val="-0.0193564498405684"/>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tx1"/>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prstDash val="solid"/>
                      <a:round/>
                    </a:ln>
                    <a:effectLst/>
                  </c:spPr>
                </c15:leaderLines>
              </c:ext>
            </c:extLst>
          </c:dLbls>
          <c:cat>
            <c:strRef>
              <c:f>Sheet1!$A$2:$A$5</c:f>
              <c:strCache>
                <c:ptCount val="4"/>
                <c:pt idx="0">
                  <c:v>教育支出（类）</c:v>
                </c:pt>
                <c:pt idx="1">
                  <c:v>社会保障和就业（类）</c:v>
                </c:pt>
                <c:pt idx="2">
                  <c:v>卫生健康支出（类）</c:v>
                </c:pt>
                <c:pt idx="3">
                  <c:v>住房保障支出（类）</c:v>
                </c:pt>
              </c:strCache>
            </c:strRef>
          </c:cat>
          <c:val>
            <c:numRef>
              <c:f>Sheet1!$B$2:$B$5</c:f>
              <c:numCache>
                <c:formatCode>General</c:formatCode>
                <c:ptCount val="4"/>
                <c:pt idx="0">
                  <c:v>1514.88</c:v>
                </c:pt>
                <c:pt idx="1">
                  <c:v>215.87</c:v>
                </c:pt>
                <c:pt idx="2">
                  <c:v>55.9</c:v>
                </c:pt>
                <c:pt idx="3">
                  <c:v>122.95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1a8f3992-254b-43f4-bfb4-e3485eb3ba54}"/>
      </c:ext>
    </c:extLst>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5306</Words>
  <Characters>5811</Characters>
  <Lines>0</Lines>
  <Paragraphs>0</Paragraphs>
  <TotalTime>1</TotalTime>
  <ScaleCrop>false</ScaleCrop>
  <LinksUpToDate>false</LinksUpToDate>
  <CharactersWithSpaces>5868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2023-10-19T07:14:00Z</dcterms:created>
  <dc:creator>Administrator</dc:creator>
  <cp:lastModifiedBy>碧云天</cp:lastModifiedBy>
  <cp:lastPrinted>2024-10-16T08:05:00Z</cp:lastPrinted>
  <dcterms:modified xsi:type="dcterms:W3CDTF">2024-11-01T01:16:42Z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02C36699783442288592EFEE1023BBCD</vt:lpwstr>
  </property>
</Properties>
</file>