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3745A">
      <w:pPr>
        <w:rPr>
          <w:rFonts w:ascii="Times New Roman" w:hAnsi="Times New Roman"/>
        </w:rPr>
      </w:pPr>
      <w:bookmarkStart w:id="0" w:name="_Toc15396475"/>
      <w:bookmarkStart w:id="1" w:name="_Toc15378441"/>
      <w:bookmarkStart w:id="2" w:name="_Toc15377193"/>
      <w:bookmarkStart w:id="3" w:name="_Toc15396597"/>
      <w:bookmarkStart w:id="4" w:name="_Toc15377425"/>
      <w:bookmarkStart w:id="5" w:name="_Toc15306267"/>
    </w:p>
    <w:bookmarkEnd w:id="0"/>
    <w:bookmarkEnd w:id="1"/>
    <w:bookmarkEnd w:id="2"/>
    <w:bookmarkEnd w:id="3"/>
    <w:bookmarkEnd w:id="4"/>
    <w:bookmarkEnd w:id="5"/>
    <w:p w14:paraId="064E330B">
      <w:pPr>
        <w:pStyle w:val="5"/>
        <w:jc w:val="both"/>
        <w:rPr>
          <w:rFonts w:hint="eastAsia" w:ascii="方正小标宋简体" w:hAnsi="宋体" w:eastAsia="方正小标宋简体" w:cs="Times New Roman"/>
          <w:color w:val="auto"/>
          <w:kern w:val="2"/>
          <w:sz w:val="44"/>
          <w:szCs w:val="44"/>
          <w:highlight w:val="none"/>
          <w:lang w:val="en-US" w:eastAsia="zh-CN" w:bidi="ar-SA"/>
        </w:rPr>
      </w:pPr>
    </w:p>
    <w:p w14:paraId="51441BF3">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7426"/>
      <w:bookmarkStart w:id="7" w:name="_Toc15377194"/>
      <w:bookmarkStart w:id="8" w:name="_Toc15396476"/>
      <w:bookmarkStart w:id="9" w:name="_Toc15396598"/>
      <w:bookmarkStart w:id="10" w:name="_Toc15378442"/>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红十字会</w:t>
      </w:r>
    </w:p>
    <w:p w14:paraId="29022E92">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p>
    <w:p w14:paraId="680A75F5">
      <w:pPr>
        <w:pStyle w:val="14"/>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仿宋_GB2312"/>
          <w:color w:val="FF0000"/>
          <w:sz w:val="32"/>
          <w:szCs w:val="32"/>
          <w:highlight w:val="none"/>
          <w:lang w:val="en-US" w:eastAsia="zh-CN"/>
        </w:rPr>
      </w:pPr>
    </w:p>
    <w:p w14:paraId="0F0B86F9">
      <w:pPr>
        <w:pStyle w:val="12"/>
        <w:rPr>
          <w:rFonts w:hint="eastAsia" w:ascii="黑体" w:hAnsi="黑体" w:eastAsia="黑体" w:cs="黑体"/>
          <w:b/>
          <w:bCs/>
          <w:color w:val="000000"/>
          <w:sz w:val="48"/>
          <w:szCs w:val="48"/>
          <w:lang w:val="en-US" w:eastAsia="zh-CN"/>
        </w:rPr>
      </w:pPr>
      <w:r>
        <w:rPr>
          <w:rFonts w:ascii="Times New Roman" w:hAnsi="Times New Roman" w:eastAsia="方正小标宋简体"/>
          <w:color w:val="auto"/>
          <w:sz w:val="36"/>
          <w:szCs w:val="36"/>
          <w:highlight w:val="none"/>
        </w:rPr>
        <w:br w:type="page"/>
      </w:r>
      <w:r>
        <w:rPr>
          <w:rFonts w:hint="eastAsia" w:ascii="黑体" w:hAnsi="黑体" w:eastAsia="黑体" w:cs="黑体"/>
          <w:b/>
          <w:bCs/>
          <w:color w:val="000000"/>
          <w:sz w:val="48"/>
          <w:szCs w:val="48"/>
          <w:lang w:val="en-US" w:eastAsia="zh-CN"/>
        </w:rPr>
        <w:t>目录</w:t>
      </w:r>
    </w:p>
    <w:p w14:paraId="2EC1A0E0">
      <w:pPr>
        <w:rPr>
          <w:rFonts w:hint="eastAsia"/>
          <w:lang w:val="en-US" w:eastAsia="zh-CN"/>
        </w:rPr>
      </w:pPr>
    </w:p>
    <w:p w14:paraId="670F207A">
      <w:pPr>
        <w:pStyle w:val="1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公开时间：202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3 </w:t>
      </w:r>
      <w:r>
        <w:rPr>
          <w:rFonts w:hint="eastAsia" w:ascii="仿宋_GB2312" w:hAnsi="仿宋_GB2312" w:eastAsia="仿宋_GB2312" w:cs="仿宋_GB2312"/>
          <w:color w:val="000000"/>
          <w:sz w:val="32"/>
          <w:szCs w:val="32"/>
        </w:rPr>
        <w:t>日</w:t>
      </w:r>
    </w:p>
    <w:p w14:paraId="06287693"/>
    <w:p w14:paraId="1D24006B">
      <w:pPr>
        <w:rPr>
          <w:color w:val="auto"/>
          <w:highlight w:val="none"/>
        </w:rPr>
      </w:pPr>
    </w:p>
    <w:p w14:paraId="34380037">
      <w:pPr>
        <w:spacing w:before="0" w:beforeLines="0" w:after="0" w:afterLines="0" w:line="240" w:lineRule="auto"/>
        <w:ind w:left="0" w:leftChars="0" w:right="0" w:rightChars="0" w:firstLine="0" w:firstLineChars="0"/>
        <w:jc w:val="center"/>
        <w:rPr>
          <w:b/>
        </w:rPr>
      </w:pPr>
      <w:r>
        <w:rPr>
          <w:rFonts w:ascii="宋体" w:hAnsi="宋体" w:eastAsia="宋体" w:cs="宋体"/>
          <w:sz w:val="24"/>
        </w:rPr>
        <w:fldChar w:fldCharType="begin"/>
      </w:r>
      <w:r>
        <w:rPr>
          <w:rFonts w:ascii="宋体" w:hAnsi="宋体" w:eastAsia="宋体" w:cs="宋体"/>
          <w:sz w:val="24"/>
        </w:rPr>
        <w:instrText xml:space="preserve">TOC \o "1-2" \h \u </w:instrText>
      </w:r>
      <w:r>
        <w:rPr>
          <w:rFonts w:ascii="宋体" w:hAnsi="宋体" w:eastAsia="宋体" w:cs="宋体"/>
          <w:sz w:val="24"/>
        </w:rPr>
        <w:fldChar w:fldCharType="separate"/>
      </w:r>
    </w:p>
    <w:p w14:paraId="6E3B36B2">
      <w:pPr>
        <w:pStyle w:val="35"/>
        <w:tabs>
          <w:tab w:val="right" w:leader="dot" w:pos="8306"/>
        </w:tabs>
        <w:rPr>
          <w:b/>
        </w:rPr>
      </w:pPr>
      <w:r>
        <w:rPr>
          <w:rFonts w:ascii="宋体" w:hAnsi="宋体" w:eastAsia="宋体" w:cs="宋体"/>
          <w:b/>
        </w:rPr>
        <w:fldChar w:fldCharType="begin"/>
      </w:r>
      <w:r>
        <w:rPr>
          <w:rFonts w:ascii="宋体" w:hAnsi="宋体" w:eastAsia="宋体" w:cs="宋体"/>
          <w:b/>
        </w:rPr>
        <w:instrText xml:space="preserve"> HYPERLINK \l _Toc9524 </w:instrText>
      </w:r>
      <w:r>
        <w:rPr>
          <w:rFonts w:ascii="宋体" w:hAnsi="宋体" w:eastAsia="宋体" w:cs="宋体"/>
          <w:b/>
        </w:rPr>
        <w:fldChar w:fldCharType="separate"/>
      </w:r>
      <w:r>
        <w:rPr>
          <w:rFonts w:hint="eastAsia" w:ascii="黑体" w:hAnsi="黑体" w:eastAsia="黑体"/>
          <w:b/>
        </w:rPr>
        <w:t xml:space="preserve">第一部分 </w:t>
      </w:r>
      <w:r>
        <w:rPr>
          <w:rFonts w:hint="eastAsia" w:ascii="黑体" w:hAnsi="黑体" w:eastAsia="黑体"/>
          <w:b/>
          <w:lang w:val="en-US" w:eastAsia="zh-CN"/>
        </w:rPr>
        <w:t>单位</w:t>
      </w:r>
      <w:r>
        <w:rPr>
          <w:rFonts w:hint="eastAsia" w:ascii="黑体" w:hAnsi="黑体" w:eastAsia="黑体"/>
          <w:b/>
          <w:bCs w:val="0"/>
        </w:rPr>
        <w:t>概况</w:t>
      </w:r>
      <w:r>
        <w:rPr>
          <w:b w:val="0"/>
          <w:bCs/>
        </w:rPr>
        <w:tab/>
      </w:r>
      <w:r>
        <w:rPr>
          <w:rFonts w:hint="eastAsia"/>
          <w:b w:val="0"/>
          <w:bCs/>
          <w:lang w:val="en-US" w:eastAsia="zh-CN"/>
        </w:rPr>
        <w:t>3</w:t>
      </w:r>
      <w:r>
        <w:rPr>
          <w:rFonts w:ascii="宋体" w:hAnsi="宋体" w:eastAsia="宋体" w:cs="宋体"/>
          <w:b/>
        </w:rPr>
        <w:fldChar w:fldCharType="end"/>
      </w:r>
    </w:p>
    <w:p w14:paraId="01BBD57D">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_Toc8212 </w:instrText>
      </w:r>
      <w:r>
        <w:rPr>
          <w:rFonts w:ascii="宋体" w:hAnsi="宋体" w:eastAsia="宋体" w:cs="宋体"/>
        </w:rPr>
        <w:fldChar w:fldCharType="separate"/>
      </w:r>
      <w:r>
        <w:rPr>
          <w:rFonts w:hint="eastAsia" w:ascii="黑体" w:hAnsi="黑体" w:eastAsia="黑体"/>
        </w:rPr>
        <w:t>一、</w:t>
      </w:r>
      <w:r>
        <w:rPr>
          <w:rFonts w:hint="eastAsia" w:ascii="黑体" w:hAnsi="黑体" w:eastAsia="黑体"/>
          <w:lang w:val="en-US" w:eastAsia="zh-CN"/>
        </w:rPr>
        <w:t>单位</w:t>
      </w:r>
      <w:r>
        <w:rPr>
          <w:rFonts w:hint="eastAsia" w:ascii="黑体" w:hAnsi="黑体" w:eastAsia="黑体"/>
        </w:rPr>
        <w:t>职责</w:t>
      </w:r>
      <w:r>
        <w:tab/>
      </w:r>
      <w:r>
        <w:rPr>
          <w:rFonts w:hint="eastAsia"/>
          <w:lang w:val="en-US" w:eastAsia="zh-CN"/>
        </w:rPr>
        <w:t>3</w:t>
      </w:r>
      <w:r>
        <w:rPr>
          <w:rFonts w:ascii="宋体" w:hAnsi="宋体" w:eastAsia="宋体" w:cs="宋体"/>
        </w:rPr>
        <w:fldChar w:fldCharType="end"/>
      </w:r>
    </w:p>
    <w:p w14:paraId="663DB64C">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_Toc6269 </w:instrText>
      </w:r>
      <w:r>
        <w:rPr>
          <w:rFonts w:ascii="宋体" w:hAnsi="宋体" w:eastAsia="宋体" w:cs="宋体"/>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4</w:t>
      </w:r>
      <w:r>
        <w:rPr>
          <w:rFonts w:ascii="宋体" w:hAnsi="宋体" w:eastAsia="宋体" w:cs="宋体"/>
        </w:rPr>
        <w:fldChar w:fldCharType="end"/>
      </w:r>
    </w:p>
    <w:p w14:paraId="2B2003A1">
      <w:pPr>
        <w:pStyle w:val="35"/>
        <w:tabs>
          <w:tab w:val="right" w:leader="dot" w:pos="8306"/>
        </w:tabs>
        <w:rPr>
          <w:b/>
        </w:rPr>
      </w:pPr>
      <w:r>
        <w:rPr>
          <w:rFonts w:ascii="宋体" w:hAnsi="宋体" w:eastAsia="宋体" w:cs="宋体"/>
          <w:b/>
        </w:rPr>
        <w:fldChar w:fldCharType="begin"/>
      </w:r>
      <w:r>
        <w:rPr>
          <w:rFonts w:ascii="宋体" w:hAnsi="宋体" w:eastAsia="宋体" w:cs="宋体"/>
          <w:b/>
        </w:rPr>
        <w:instrText xml:space="preserve"> HYPERLINK \l _Toc15193 </w:instrText>
      </w:r>
      <w:r>
        <w:rPr>
          <w:rFonts w:ascii="宋体" w:hAnsi="宋体" w:eastAsia="宋体" w:cs="宋体"/>
          <w:b/>
        </w:rPr>
        <w:fldChar w:fldCharType="separate"/>
      </w:r>
      <w:r>
        <w:rPr>
          <w:rFonts w:hint="eastAsia" w:ascii="黑体" w:hAnsi="黑体" w:eastAsia="黑体"/>
          <w:b/>
        </w:rPr>
        <w:t>第二部分 202</w:t>
      </w:r>
      <w:r>
        <w:rPr>
          <w:rFonts w:hint="eastAsia" w:ascii="黑体" w:hAnsi="黑体" w:eastAsia="黑体"/>
          <w:b/>
          <w:lang w:val="en-US" w:eastAsia="zh-CN"/>
        </w:rPr>
        <w:t>4</w:t>
      </w:r>
      <w:r>
        <w:rPr>
          <w:rFonts w:hint="eastAsia" w:ascii="黑体" w:hAnsi="黑体" w:eastAsia="黑体"/>
          <w:b/>
        </w:rPr>
        <w:t>年度</w:t>
      </w:r>
      <w:r>
        <w:rPr>
          <w:rFonts w:hint="eastAsia" w:ascii="黑体" w:hAnsi="黑体" w:eastAsia="黑体"/>
          <w:b/>
          <w:lang w:val="en-US" w:eastAsia="zh-CN"/>
        </w:rPr>
        <w:t>单位</w:t>
      </w:r>
      <w:r>
        <w:rPr>
          <w:rFonts w:hint="eastAsia" w:ascii="黑体" w:hAnsi="黑体" w:eastAsia="黑体"/>
          <w:b/>
          <w:bCs/>
        </w:rPr>
        <w:t>决算情况说明</w:t>
      </w:r>
      <w:r>
        <w:rPr>
          <w:b w:val="0"/>
          <w:bCs/>
        </w:rPr>
        <w:tab/>
      </w:r>
      <w:r>
        <w:rPr>
          <w:rFonts w:hint="eastAsia"/>
          <w:b w:val="0"/>
          <w:bCs/>
          <w:lang w:val="en-US" w:eastAsia="zh-CN"/>
        </w:rPr>
        <w:t>5</w:t>
      </w:r>
      <w:r>
        <w:rPr>
          <w:rFonts w:ascii="宋体" w:hAnsi="宋体" w:eastAsia="宋体" w:cs="宋体"/>
          <w:b/>
        </w:rPr>
        <w:fldChar w:fldCharType="end"/>
      </w:r>
    </w:p>
    <w:p w14:paraId="30237715">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_Toc6380 </w:instrText>
      </w:r>
      <w:r>
        <w:rPr>
          <w:rFonts w:ascii="宋体" w:hAnsi="宋体" w:eastAsia="宋体" w:cs="宋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5</w:t>
      </w:r>
      <w:r>
        <w:rPr>
          <w:rFonts w:ascii="宋体" w:hAnsi="宋体" w:eastAsia="宋体" w:cs="宋体"/>
        </w:rPr>
        <w:fldChar w:fldCharType="end"/>
      </w:r>
    </w:p>
    <w:p w14:paraId="00386BC5">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_Toc11884 </w:instrText>
      </w:r>
      <w:r>
        <w:rPr>
          <w:rFonts w:ascii="宋体" w:hAnsi="宋体" w:eastAsia="宋体" w:cs="宋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ascii="宋体" w:hAnsi="宋体" w:eastAsia="宋体" w:cs="宋体"/>
        </w:rPr>
        <w:fldChar w:fldCharType="end"/>
      </w:r>
      <w:r>
        <w:rPr>
          <w:rFonts w:hint="eastAsia" w:ascii="宋体" w:hAnsi="宋体" w:cs="宋体"/>
          <w:lang w:val="en-US" w:eastAsia="zh-CN"/>
        </w:rPr>
        <w:t>5</w:t>
      </w:r>
    </w:p>
    <w:p w14:paraId="343FABE1">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_Toc13600 </w:instrText>
      </w:r>
      <w:r>
        <w:rPr>
          <w:rFonts w:ascii="宋体" w:hAnsi="宋体" w:eastAsia="宋体" w:cs="宋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ascii="宋体" w:hAnsi="宋体" w:eastAsia="宋体" w:cs="宋体"/>
        </w:rPr>
        <w:fldChar w:fldCharType="end"/>
      </w:r>
      <w:r>
        <w:rPr>
          <w:rFonts w:hint="eastAsia" w:ascii="宋体" w:hAnsi="宋体" w:cs="宋体"/>
          <w:lang w:val="en-US" w:eastAsia="zh-CN"/>
        </w:rPr>
        <w:t>6</w:t>
      </w:r>
    </w:p>
    <w:p w14:paraId="30E2525A">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_Toc22928 </w:instrText>
      </w:r>
      <w:r>
        <w:rPr>
          <w:rFonts w:ascii="宋体" w:hAnsi="宋体" w:eastAsia="宋体" w:cs="宋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7</w:t>
      </w:r>
      <w:r>
        <w:rPr>
          <w:rFonts w:ascii="宋体" w:hAnsi="宋体" w:eastAsia="宋体" w:cs="宋体"/>
        </w:rPr>
        <w:fldChar w:fldCharType="end"/>
      </w:r>
    </w:p>
    <w:p w14:paraId="5F42F30B">
      <w:pPr>
        <w:pStyle w:val="36"/>
        <w:tabs>
          <w:tab w:val="right" w:leader="dot" w:pos="8306"/>
        </w:tabs>
      </w:pPr>
      <w:r>
        <w:rPr>
          <w:rFonts w:ascii="宋体" w:hAnsi="宋体" w:eastAsia="宋体" w:cs="宋体"/>
        </w:rPr>
        <w:fldChar w:fldCharType="begin"/>
      </w:r>
      <w:r>
        <w:rPr>
          <w:rFonts w:ascii="宋体" w:hAnsi="宋体" w:eastAsia="宋体" w:cs="宋体"/>
        </w:rPr>
        <w:instrText xml:space="preserve"> HYPERLINK \l _Toc4464 </w:instrText>
      </w:r>
      <w:r>
        <w:rPr>
          <w:rFonts w:ascii="宋体" w:hAnsi="宋体" w:eastAsia="宋体" w:cs="宋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7</w:t>
      </w:r>
      <w:r>
        <w:rPr>
          <w:rFonts w:ascii="宋体" w:hAnsi="宋体" w:eastAsia="宋体" w:cs="宋体"/>
        </w:rPr>
        <w:fldChar w:fldCharType="end"/>
      </w:r>
    </w:p>
    <w:p w14:paraId="0BEC37CC">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_Toc717 </w:instrText>
      </w:r>
      <w:r>
        <w:rPr>
          <w:rFonts w:ascii="宋体" w:hAnsi="宋体" w:eastAsia="宋体" w:cs="宋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ascii="宋体" w:hAnsi="宋体" w:eastAsia="宋体" w:cs="宋体"/>
        </w:rPr>
        <w:fldChar w:fldCharType="end"/>
      </w:r>
      <w:r>
        <w:rPr>
          <w:rFonts w:hint="eastAsia" w:ascii="宋体" w:hAnsi="宋体" w:cs="宋体"/>
          <w:lang w:val="en-US" w:eastAsia="zh-CN"/>
        </w:rPr>
        <w:t>10</w:t>
      </w:r>
    </w:p>
    <w:p w14:paraId="08749077">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_Toc17453 </w:instrText>
      </w:r>
      <w:r>
        <w:rPr>
          <w:rFonts w:ascii="宋体" w:hAnsi="宋体" w:eastAsia="宋体" w:cs="宋体"/>
        </w:rPr>
        <w:fldChar w:fldCharType="separate"/>
      </w:r>
      <w:r>
        <w:rPr>
          <w:rFonts w:hint="eastAsia" w:ascii="黑体" w:eastAsia="黑体"/>
          <w:szCs w:val="32"/>
        </w:rPr>
        <w:t>七、</w:t>
      </w:r>
      <w:r>
        <w:rPr>
          <w:rFonts w:hint="eastAsia" w:ascii="黑体" w:hAnsi="黑体" w:eastAsia="黑体"/>
        </w:rPr>
        <w:t>财政拨款“三公”经费支出决算情况说明</w:t>
      </w:r>
      <w:r>
        <w:tab/>
      </w:r>
      <w:r>
        <w:rPr>
          <w:rFonts w:ascii="宋体" w:hAnsi="宋体" w:eastAsia="宋体" w:cs="宋体"/>
        </w:rPr>
        <w:fldChar w:fldCharType="end"/>
      </w:r>
      <w:r>
        <w:rPr>
          <w:rFonts w:hint="eastAsia" w:ascii="宋体" w:hAnsi="宋体" w:cs="宋体"/>
          <w:lang w:val="en-US" w:eastAsia="zh-CN"/>
        </w:rPr>
        <w:t>10</w:t>
      </w:r>
    </w:p>
    <w:p w14:paraId="49BFE7F3">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_Toc24149 </w:instrText>
      </w:r>
      <w:r>
        <w:rPr>
          <w:rFonts w:ascii="宋体" w:hAnsi="宋体" w:eastAsia="宋体" w:cs="宋体"/>
        </w:rP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rPr>
          <w:rFonts w:ascii="宋体" w:hAnsi="宋体" w:eastAsia="宋体" w:cs="宋体"/>
        </w:rPr>
        <w:fldChar w:fldCharType="end"/>
      </w:r>
      <w:r>
        <w:rPr>
          <w:rFonts w:hint="eastAsia" w:ascii="宋体" w:hAnsi="宋体" w:cs="宋体"/>
          <w:lang w:val="en-US" w:eastAsia="zh-CN"/>
        </w:rPr>
        <w:t>1</w:t>
      </w:r>
    </w:p>
    <w:p w14:paraId="61595BDF">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_Toc22773 </w:instrText>
      </w:r>
      <w:r>
        <w:rPr>
          <w:rFonts w:ascii="宋体" w:hAnsi="宋体" w:eastAsia="宋体" w:cs="宋体"/>
        </w:rPr>
        <w:fldChar w:fldCharType="separate"/>
      </w:r>
      <w:r>
        <w:rPr>
          <w:rFonts w:hint="eastAsia" w:ascii="黑体" w:hAnsi="黑体" w:eastAsia="黑体"/>
        </w:rPr>
        <w:t>九、 国有资本经营预算支出决算情况说明</w:t>
      </w:r>
      <w:r>
        <w:tab/>
      </w:r>
      <w:r>
        <w:rPr>
          <w:rFonts w:ascii="宋体" w:hAnsi="宋体" w:eastAsia="宋体" w:cs="宋体"/>
        </w:rPr>
        <w:fldChar w:fldCharType="end"/>
      </w:r>
      <w:r>
        <w:rPr>
          <w:rFonts w:hint="eastAsia" w:ascii="宋体" w:hAnsi="宋体" w:cs="宋体"/>
          <w:lang w:val="en-US" w:eastAsia="zh-CN"/>
        </w:rPr>
        <w:t>12</w:t>
      </w:r>
    </w:p>
    <w:p w14:paraId="3CB19914">
      <w:pPr>
        <w:pStyle w:val="36"/>
        <w:tabs>
          <w:tab w:val="right" w:leader="dot" w:pos="8306"/>
        </w:tabs>
        <w:rPr>
          <w:rFonts w:hint="eastAsia" w:eastAsia="宋体"/>
          <w:lang w:val="en-US" w:eastAsia="zh-CN"/>
        </w:rPr>
      </w:pPr>
      <w:r>
        <w:rPr>
          <w:rFonts w:ascii="宋体" w:hAnsi="宋体" w:eastAsia="宋体" w:cs="宋体"/>
        </w:rPr>
        <w:fldChar w:fldCharType="begin"/>
      </w:r>
      <w:r>
        <w:rPr>
          <w:rFonts w:ascii="宋体" w:hAnsi="宋体" w:eastAsia="宋体" w:cs="宋体"/>
        </w:rPr>
        <w:instrText xml:space="preserve"> HYPERLINK \l _Toc8704 </w:instrText>
      </w:r>
      <w:r>
        <w:rPr>
          <w:rFonts w:ascii="宋体" w:hAnsi="宋体" w:eastAsia="宋体" w:cs="宋体"/>
        </w:rPr>
        <w:fldChar w:fldCharType="separate"/>
      </w:r>
      <w:r>
        <w:rPr>
          <w:rFonts w:hint="eastAsia" w:ascii="黑体" w:hAnsi="黑体" w:eastAsia="黑体"/>
        </w:rPr>
        <w:t>十、 其他重要事项的情况说明</w:t>
      </w:r>
      <w:r>
        <w:tab/>
      </w:r>
      <w:r>
        <w:rPr>
          <w:rFonts w:hint="eastAsia"/>
          <w:lang w:val="en-US" w:eastAsia="zh-CN"/>
        </w:rPr>
        <w:t>1</w:t>
      </w:r>
      <w:r>
        <w:rPr>
          <w:rFonts w:ascii="宋体" w:hAnsi="宋体" w:eastAsia="宋体" w:cs="宋体"/>
        </w:rPr>
        <w:fldChar w:fldCharType="end"/>
      </w:r>
      <w:r>
        <w:rPr>
          <w:rFonts w:hint="eastAsia" w:ascii="宋体" w:hAnsi="宋体" w:cs="宋体"/>
          <w:lang w:val="en-US" w:eastAsia="zh-CN"/>
        </w:rPr>
        <w:t>2</w:t>
      </w:r>
    </w:p>
    <w:p w14:paraId="353D101A">
      <w:pPr>
        <w:pStyle w:val="35"/>
        <w:tabs>
          <w:tab w:val="right" w:leader="dot" w:pos="8306"/>
        </w:tabs>
        <w:rPr>
          <w:rFonts w:hint="default" w:eastAsia="宋体"/>
          <w:lang w:val="en-US" w:eastAsia="zh-CN"/>
        </w:rPr>
      </w:pPr>
      <w:r>
        <w:rPr>
          <w:rFonts w:ascii="宋体" w:hAnsi="宋体" w:eastAsia="宋体" w:cs="宋体"/>
          <w:b/>
        </w:rPr>
        <w:fldChar w:fldCharType="begin"/>
      </w:r>
      <w:r>
        <w:rPr>
          <w:rFonts w:ascii="宋体" w:hAnsi="宋体" w:eastAsia="宋体" w:cs="宋体"/>
          <w:b/>
        </w:rPr>
        <w:instrText xml:space="preserve"> HYPERLINK \l _Toc8080 </w:instrText>
      </w:r>
      <w:r>
        <w:rPr>
          <w:rFonts w:ascii="宋体" w:hAnsi="宋体" w:eastAsia="宋体" w:cs="宋体"/>
          <w:b/>
        </w:rPr>
        <w:fldChar w:fldCharType="separate"/>
      </w:r>
      <w:r>
        <w:rPr>
          <w:rFonts w:hint="eastAsia" w:ascii="黑体" w:hAnsi="黑体" w:eastAsia="黑体" w:cs="黑体"/>
          <w:b/>
        </w:rPr>
        <w:t>第三部分 名词解释</w:t>
      </w:r>
      <w:r>
        <w:rPr>
          <w:b/>
        </w:rPr>
        <w:tab/>
      </w:r>
      <w:r>
        <w:rPr>
          <w:rFonts w:ascii="宋体" w:hAnsi="宋体" w:eastAsia="宋体" w:cs="宋体"/>
          <w:b/>
        </w:rPr>
        <w:fldChar w:fldCharType="end"/>
      </w:r>
      <w:r>
        <w:rPr>
          <w:rFonts w:hint="eastAsia" w:ascii="宋体" w:hAnsi="宋体" w:eastAsia="宋体" w:cs="宋体"/>
          <w:b w:val="0"/>
          <w:bCs/>
          <w:lang w:val="en-US" w:eastAsia="zh-CN"/>
        </w:rPr>
        <w:t>1</w:t>
      </w:r>
      <w:r>
        <w:rPr>
          <w:rFonts w:hint="eastAsia" w:ascii="宋体" w:hAnsi="宋体" w:cs="宋体"/>
          <w:b w:val="0"/>
          <w:bCs/>
          <w:lang w:val="en-US" w:eastAsia="zh-CN"/>
        </w:rPr>
        <w:t>3</w:t>
      </w:r>
    </w:p>
    <w:p w14:paraId="698457A4">
      <w:pPr>
        <w:pStyle w:val="35"/>
        <w:tabs>
          <w:tab w:val="right" w:leader="dot" w:pos="8306"/>
        </w:tabs>
        <w:rPr>
          <w:rFonts w:hint="default" w:eastAsia="宋体"/>
          <w:b/>
          <w:lang w:val="en-US" w:eastAsia="zh-CN"/>
        </w:rPr>
      </w:pPr>
      <w:r>
        <w:rPr>
          <w:rFonts w:ascii="宋体" w:hAnsi="宋体" w:eastAsia="宋体" w:cs="宋体"/>
          <w:b/>
          <w:bCs w:val="0"/>
        </w:rPr>
        <w:fldChar w:fldCharType="begin"/>
      </w:r>
      <w:r>
        <w:rPr>
          <w:rFonts w:ascii="宋体" w:hAnsi="宋体" w:eastAsia="宋体" w:cs="宋体"/>
          <w:b/>
          <w:bCs w:val="0"/>
        </w:rPr>
        <w:instrText xml:space="preserve"> HYPERLINK \l _Toc21976 </w:instrText>
      </w:r>
      <w:r>
        <w:rPr>
          <w:rFonts w:ascii="宋体" w:hAnsi="宋体" w:eastAsia="宋体" w:cs="宋体"/>
          <w:b/>
          <w:bCs w:val="0"/>
        </w:rPr>
        <w:fldChar w:fldCharType="separate"/>
      </w:r>
      <w:r>
        <w:rPr>
          <w:rFonts w:hint="eastAsia" w:ascii="黑体" w:hAnsi="黑体" w:eastAsia="黑体"/>
          <w:b/>
          <w:bCs w:val="0"/>
        </w:rPr>
        <w:t>第四部分 附件</w:t>
      </w:r>
      <w:r>
        <w:rPr>
          <w:b/>
          <w:bCs w:val="0"/>
        </w:rPr>
        <w:tab/>
      </w:r>
      <w:r>
        <w:rPr>
          <w:rFonts w:ascii="宋体" w:hAnsi="宋体" w:eastAsia="宋体" w:cs="宋体"/>
          <w:b/>
          <w:bCs w:val="0"/>
        </w:rPr>
        <w:fldChar w:fldCharType="end"/>
      </w:r>
      <w:r>
        <w:rPr>
          <w:rFonts w:hint="eastAsia" w:ascii="宋体" w:hAnsi="宋体" w:eastAsia="宋体" w:cs="宋体"/>
          <w:b/>
          <w:bCs w:val="0"/>
          <w:lang w:val="en-US" w:eastAsia="zh-CN"/>
        </w:rPr>
        <w:t>1</w:t>
      </w:r>
      <w:r>
        <w:rPr>
          <w:rFonts w:hint="eastAsia" w:ascii="宋体" w:hAnsi="宋体" w:eastAsia="宋体" w:cs="宋体"/>
          <w:b w:val="0"/>
          <w:bCs/>
          <w:lang w:val="en-US" w:eastAsia="zh-CN"/>
        </w:rPr>
        <w:t>6</w:t>
      </w:r>
    </w:p>
    <w:p w14:paraId="393045E8">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_Toc23189 </w:instrText>
      </w:r>
      <w:r>
        <w:rPr>
          <w:rFonts w:ascii="宋体" w:hAnsi="宋体" w:eastAsia="宋体" w:cs="宋体"/>
        </w:rPr>
        <w:fldChar w:fldCharType="separate"/>
      </w:r>
      <w:r>
        <w:rPr>
          <w:rFonts w:hint="eastAsia" w:ascii="黑体" w:hAnsi="黑体" w:eastAsia="黑体"/>
          <w:szCs w:val="32"/>
        </w:rPr>
        <w:t>附件1</w:t>
      </w:r>
      <w:r>
        <w:tab/>
      </w:r>
      <w:r>
        <w:rPr>
          <w:rFonts w:ascii="宋体" w:hAnsi="宋体" w:eastAsia="宋体" w:cs="宋体"/>
        </w:rPr>
        <w:fldChar w:fldCharType="end"/>
      </w:r>
      <w:r>
        <w:rPr>
          <w:rFonts w:hint="eastAsia" w:ascii="宋体" w:hAnsi="宋体" w:cs="宋体"/>
          <w:lang w:val="en-US" w:eastAsia="zh-CN"/>
        </w:rPr>
        <w:t>16</w:t>
      </w:r>
    </w:p>
    <w:p w14:paraId="0CAF57B2">
      <w:pPr>
        <w:pStyle w:val="35"/>
        <w:tabs>
          <w:tab w:val="right" w:leader="dot" w:pos="8306"/>
        </w:tabs>
        <w:rPr>
          <w:rFonts w:hint="default" w:eastAsia="宋体"/>
          <w:b/>
          <w:lang w:val="en-US" w:eastAsia="zh-CN"/>
        </w:rPr>
      </w:pPr>
      <w:r>
        <w:rPr>
          <w:rFonts w:ascii="宋体" w:hAnsi="宋体" w:eastAsia="宋体" w:cs="宋体"/>
          <w:b/>
        </w:rPr>
        <w:fldChar w:fldCharType="begin"/>
      </w:r>
      <w:r>
        <w:rPr>
          <w:rFonts w:ascii="宋体" w:hAnsi="宋体" w:eastAsia="宋体" w:cs="宋体"/>
          <w:b/>
        </w:rPr>
        <w:instrText xml:space="preserve"> HYPERLINK \l _Toc13214 </w:instrText>
      </w:r>
      <w:r>
        <w:rPr>
          <w:rFonts w:ascii="宋体" w:hAnsi="宋体" w:eastAsia="宋体" w:cs="宋体"/>
          <w:b/>
        </w:rPr>
        <w:fldChar w:fldCharType="separate"/>
      </w:r>
      <w:r>
        <w:rPr>
          <w:rFonts w:hint="eastAsia" w:ascii="黑体" w:hAnsi="黑体" w:eastAsia="黑体"/>
          <w:b/>
        </w:rPr>
        <w:t>第五部分 附表</w:t>
      </w:r>
      <w:r>
        <w:rPr>
          <w:b/>
        </w:rPr>
        <w:tab/>
      </w:r>
      <w:r>
        <w:rPr>
          <w:rFonts w:ascii="宋体" w:hAnsi="宋体" w:eastAsia="宋体" w:cs="宋体"/>
          <w:b/>
        </w:rPr>
        <w:fldChar w:fldCharType="end"/>
      </w:r>
      <w:r>
        <w:rPr>
          <w:rFonts w:hint="eastAsia" w:ascii="宋体" w:hAnsi="宋体" w:cs="宋体"/>
          <w:b/>
          <w:lang w:val="en-US" w:eastAsia="zh-CN"/>
        </w:rPr>
        <w:t>1</w:t>
      </w:r>
      <w:r>
        <w:rPr>
          <w:rFonts w:hint="eastAsia" w:ascii="宋体" w:hAnsi="宋体" w:cs="宋体"/>
          <w:b w:val="0"/>
          <w:bCs/>
          <w:lang w:val="en-US" w:eastAsia="zh-CN"/>
        </w:rPr>
        <w:t>9</w:t>
      </w:r>
    </w:p>
    <w:p w14:paraId="41120507">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_Toc475 </w:instrText>
      </w:r>
      <w:r>
        <w:rPr>
          <w:rFonts w:ascii="宋体" w:hAnsi="宋体" w:eastAsia="宋体" w:cs="宋体"/>
        </w:rPr>
        <w:fldChar w:fldCharType="separate"/>
      </w:r>
      <w:r>
        <w:rPr>
          <w:rFonts w:hint="eastAsia" w:ascii="仿宋" w:hAnsi="仿宋" w:eastAsia="仿宋"/>
          <w:szCs w:val="32"/>
        </w:rPr>
        <w:t>一、收入支出决算总表</w:t>
      </w:r>
      <w:r>
        <w:tab/>
      </w:r>
      <w:r>
        <w:rPr>
          <w:rFonts w:ascii="宋体" w:hAnsi="宋体" w:eastAsia="宋体" w:cs="宋体"/>
        </w:rPr>
        <w:fldChar w:fldCharType="end"/>
      </w:r>
      <w:r>
        <w:rPr>
          <w:rFonts w:hint="eastAsia" w:ascii="宋体" w:hAnsi="宋体" w:cs="宋体"/>
          <w:lang w:val="en-US" w:eastAsia="zh-CN"/>
        </w:rPr>
        <w:t>19</w:t>
      </w:r>
    </w:p>
    <w:p w14:paraId="301E3060">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_Toc26965 </w:instrText>
      </w:r>
      <w:r>
        <w:rPr>
          <w:rFonts w:ascii="宋体" w:hAnsi="宋体" w:eastAsia="宋体" w:cs="宋体"/>
        </w:rPr>
        <w:fldChar w:fldCharType="separate"/>
      </w:r>
      <w:r>
        <w:rPr>
          <w:rFonts w:hint="eastAsia" w:ascii="仿宋" w:hAnsi="仿宋" w:eastAsia="仿宋"/>
          <w:szCs w:val="32"/>
        </w:rPr>
        <w:t>二、收入决算表</w:t>
      </w:r>
      <w:r>
        <w:tab/>
      </w:r>
      <w:r>
        <w:rPr>
          <w:rFonts w:ascii="宋体" w:hAnsi="宋体" w:eastAsia="宋体" w:cs="宋体"/>
        </w:rPr>
        <w:fldChar w:fldCharType="end"/>
      </w:r>
      <w:r>
        <w:rPr>
          <w:rFonts w:hint="eastAsia" w:ascii="宋体" w:hAnsi="宋体" w:cs="宋体"/>
          <w:lang w:val="en-US" w:eastAsia="zh-CN"/>
        </w:rPr>
        <w:t>19</w:t>
      </w:r>
    </w:p>
    <w:p w14:paraId="50D2B6A6">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_Toc3722 </w:instrText>
      </w:r>
      <w:r>
        <w:rPr>
          <w:rFonts w:ascii="宋体" w:hAnsi="宋体" w:eastAsia="宋体" w:cs="宋体"/>
        </w:rPr>
        <w:fldChar w:fldCharType="separate"/>
      </w:r>
      <w:r>
        <w:rPr>
          <w:rFonts w:hint="eastAsia" w:ascii="仿宋" w:hAnsi="仿宋" w:eastAsia="仿宋"/>
          <w:szCs w:val="32"/>
        </w:rPr>
        <w:t>三、支出决算表</w:t>
      </w:r>
      <w:r>
        <w:tab/>
      </w:r>
      <w:r>
        <w:rPr>
          <w:rFonts w:ascii="宋体" w:hAnsi="宋体" w:eastAsia="宋体" w:cs="宋体"/>
        </w:rPr>
        <w:fldChar w:fldCharType="end"/>
      </w:r>
      <w:r>
        <w:rPr>
          <w:rFonts w:hint="eastAsia" w:ascii="宋体" w:hAnsi="宋体" w:cs="宋体"/>
          <w:lang w:val="en-US" w:eastAsia="zh-CN"/>
        </w:rPr>
        <w:t>19</w:t>
      </w:r>
    </w:p>
    <w:p w14:paraId="726D9F1D">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_Toc21871 </w:instrText>
      </w:r>
      <w:r>
        <w:rPr>
          <w:rFonts w:ascii="宋体" w:hAnsi="宋体" w:eastAsia="宋体" w:cs="宋体"/>
        </w:rPr>
        <w:fldChar w:fldCharType="separate"/>
      </w:r>
      <w:r>
        <w:rPr>
          <w:rFonts w:hint="eastAsia" w:ascii="仿宋" w:hAnsi="仿宋" w:eastAsia="仿宋"/>
          <w:szCs w:val="32"/>
        </w:rPr>
        <w:t>四、财政拨款收入支出决算总表</w:t>
      </w:r>
      <w:r>
        <w:tab/>
      </w:r>
      <w:r>
        <w:rPr>
          <w:rFonts w:ascii="宋体" w:hAnsi="宋体" w:eastAsia="宋体" w:cs="宋体"/>
        </w:rPr>
        <w:fldChar w:fldCharType="end"/>
      </w:r>
      <w:r>
        <w:rPr>
          <w:rFonts w:hint="eastAsia" w:ascii="宋体" w:hAnsi="宋体" w:cs="宋体"/>
          <w:lang w:val="en-US" w:eastAsia="zh-CN"/>
        </w:rPr>
        <w:t>19</w:t>
      </w:r>
    </w:p>
    <w:p w14:paraId="01C48EC8">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_Toc16610 </w:instrText>
      </w:r>
      <w:r>
        <w:rPr>
          <w:rFonts w:ascii="宋体" w:hAnsi="宋体" w:eastAsia="宋体" w:cs="宋体"/>
        </w:rPr>
        <w:fldChar w:fldCharType="separate"/>
      </w:r>
      <w:r>
        <w:rPr>
          <w:rFonts w:hint="eastAsia" w:ascii="仿宋" w:hAnsi="仿宋" w:eastAsia="仿宋"/>
          <w:szCs w:val="32"/>
        </w:rPr>
        <w:t>五、财政拨款支出决算明细表</w:t>
      </w:r>
      <w:r>
        <w:tab/>
      </w:r>
      <w:r>
        <w:rPr>
          <w:rFonts w:ascii="宋体" w:hAnsi="宋体" w:eastAsia="宋体" w:cs="宋体"/>
        </w:rPr>
        <w:fldChar w:fldCharType="end"/>
      </w:r>
      <w:r>
        <w:rPr>
          <w:rFonts w:hint="eastAsia" w:ascii="宋体" w:hAnsi="宋体" w:cs="宋体"/>
          <w:lang w:val="en-US" w:eastAsia="zh-CN"/>
        </w:rPr>
        <w:t>19</w:t>
      </w:r>
    </w:p>
    <w:p w14:paraId="20AC9C92">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_Toc21269 </w:instrText>
      </w:r>
      <w:r>
        <w:rPr>
          <w:rFonts w:ascii="宋体" w:hAnsi="宋体" w:eastAsia="宋体" w:cs="宋体"/>
        </w:rPr>
        <w:fldChar w:fldCharType="separate"/>
      </w:r>
      <w:r>
        <w:rPr>
          <w:rFonts w:hint="eastAsia" w:ascii="仿宋" w:hAnsi="仿宋" w:eastAsia="仿宋"/>
          <w:szCs w:val="32"/>
        </w:rPr>
        <w:t>六、一般公共预算财政拨款支出决算表</w:t>
      </w:r>
      <w:r>
        <w:tab/>
      </w:r>
      <w:r>
        <w:rPr>
          <w:rFonts w:ascii="宋体" w:hAnsi="宋体" w:eastAsia="宋体" w:cs="宋体"/>
        </w:rPr>
        <w:fldChar w:fldCharType="end"/>
      </w:r>
      <w:r>
        <w:rPr>
          <w:rFonts w:hint="eastAsia" w:ascii="宋体" w:hAnsi="宋体" w:cs="宋体"/>
          <w:lang w:val="en-US" w:eastAsia="zh-CN"/>
        </w:rPr>
        <w:t>19</w:t>
      </w:r>
    </w:p>
    <w:p w14:paraId="00A730D2">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_Toc8193 </w:instrText>
      </w:r>
      <w:r>
        <w:rPr>
          <w:rFonts w:ascii="宋体" w:hAnsi="宋体" w:eastAsia="宋体" w:cs="宋体"/>
        </w:rPr>
        <w:fldChar w:fldCharType="separate"/>
      </w:r>
      <w:r>
        <w:rPr>
          <w:rFonts w:hint="eastAsia" w:ascii="仿宋" w:hAnsi="仿宋" w:eastAsia="仿宋"/>
          <w:szCs w:val="32"/>
        </w:rPr>
        <w:t>七、一般公共预算财政拨款支出决算明细表</w:t>
      </w:r>
      <w:r>
        <w:tab/>
      </w:r>
      <w:r>
        <w:rPr>
          <w:rFonts w:ascii="宋体" w:hAnsi="宋体" w:eastAsia="宋体" w:cs="宋体"/>
        </w:rPr>
        <w:fldChar w:fldCharType="end"/>
      </w:r>
      <w:r>
        <w:rPr>
          <w:rFonts w:hint="eastAsia" w:ascii="宋体" w:hAnsi="宋体" w:cs="宋体"/>
          <w:lang w:val="en-US" w:eastAsia="zh-CN"/>
        </w:rPr>
        <w:t>19</w:t>
      </w:r>
    </w:p>
    <w:p w14:paraId="60A91FD5">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_Toc27426 </w:instrText>
      </w:r>
      <w:r>
        <w:rPr>
          <w:rFonts w:ascii="宋体" w:hAnsi="宋体" w:eastAsia="宋体" w:cs="宋体"/>
        </w:rPr>
        <w:fldChar w:fldCharType="separate"/>
      </w:r>
      <w:r>
        <w:rPr>
          <w:rFonts w:hint="eastAsia" w:ascii="仿宋" w:hAnsi="仿宋" w:eastAsia="仿宋"/>
          <w:szCs w:val="32"/>
        </w:rPr>
        <w:t>八、一般公共预算财政拨款基本支出决算</w:t>
      </w:r>
      <w:r>
        <w:rPr>
          <w:rFonts w:hint="eastAsia" w:ascii="仿宋" w:hAnsi="仿宋" w:eastAsia="仿宋"/>
          <w:szCs w:val="32"/>
          <w:lang w:val="en-US" w:eastAsia="zh-CN"/>
        </w:rPr>
        <w:t>明细</w:t>
      </w:r>
      <w:r>
        <w:rPr>
          <w:rFonts w:hint="eastAsia" w:ascii="仿宋" w:hAnsi="仿宋" w:eastAsia="仿宋"/>
          <w:szCs w:val="32"/>
        </w:rPr>
        <w:t>表</w:t>
      </w:r>
      <w:r>
        <w:tab/>
      </w:r>
      <w:r>
        <w:rPr>
          <w:rFonts w:ascii="宋体" w:hAnsi="宋体" w:eastAsia="宋体" w:cs="宋体"/>
        </w:rPr>
        <w:fldChar w:fldCharType="end"/>
      </w:r>
      <w:r>
        <w:rPr>
          <w:rFonts w:hint="eastAsia" w:ascii="宋体" w:hAnsi="宋体" w:cs="宋体"/>
          <w:lang w:val="en-US" w:eastAsia="zh-CN"/>
        </w:rPr>
        <w:t>19</w:t>
      </w:r>
    </w:p>
    <w:p w14:paraId="47288D3F">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_Toc32455 </w:instrText>
      </w:r>
      <w:r>
        <w:rPr>
          <w:rFonts w:ascii="宋体" w:hAnsi="宋体" w:eastAsia="宋体" w:cs="宋体"/>
        </w:rPr>
        <w:fldChar w:fldCharType="separate"/>
      </w:r>
      <w:r>
        <w:rPr>
          <w:rFonts w:hint="eastAsia" w:ascii="仿宋" w:hAnsi="仿宋" w:eastAsia="仿宋"/>
          <w:szCs w:val="32"/>
        </w:rPr>
        <w:t>九、一般公共预算财政拨款项目支出决算表</w:t>
      </w:r>
      <w:r>
        <w:tab/>
      </w:r>
      <w:r>
        <w:rPr>
          <w:rFonts w:ascii="宋体" w:hAnsi="宋体" w:eastAsia="宋体" w:cs="宋体"/>
        </w:rPr>
        <w:fldChar w:fldCharType="end"/>
      </w:r>
      <w:r>
        <w:rPr>
          <w:rFonts w:hint="eastAsia" w:ascii="宋体" w:hAnsi="宋体" w:cs="宋体"/>
          <w:lang w:val="en-US" w:eastAsia="zh-CN"/>
        </w:rPr>
        <w:t>19</w:t>
      </w:r>
    </w:p>
    <w:p w14:paraId="2F64DB91">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_Toc1202 </w:instrText>
      </w:r>
      <w:r>
        <w:rPr>
          <w:rFonts w:ascii="宋体" w:hAnsi="宋体" w:eastAsia="宋体" w:cs="宋体"/>
        </w:rPr>
        <w:fldChar w:fldCharType="separate"/>
      </w:r>
      <w:r>
        <w:rPr>
          <w:rFonts w:hint="eastAsia" w:ascii="仿宋" w:hAnsi="仿宋" w:eastAsia="仿宋"/>
          <w:szCs w:val="32"/>
        </w:rPr>
        <w:t>十、政府性基金预算财政拨款收入支出决算表</w:t>
      </w:r>
      <w:r>
        <w:tab/>
      </w:r>
      <w:r>
        <w:rPr>
          <w:rFonts w:ascii="宋体" w:hAnsi="宋体" w:eastAsia="宋体" w:cs="宋体"/>
        </w:rPr>
        <w:fldChar w:fldCharType="end"/>
      </w:r>
      <w:r>
        <w:rPr>
          <w:rFonts w:hint="eastAsia" w:ascii="宋体" w:hAnsi="宋体" w:cs="宋体"/>
          <w:lang w:val="en-US" w:eastAsia="zh-CN"/>
        </w:rPr>
        <w:t>19</w:t>
      </w:r>
    </w:p>
    <w:p w14:paraId="1856442A">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_Toc4241 </w:instrText>
      </w:r>
      <w:r>
        <w:rPr>
          <w:rFonts w:ascii="宋体" w:hAnsi="宋体" w:eastAsia="宋体" w:cs="宋体"/>
        </w:rPr>
        <w:fldChar w:fldCharType="separate"/>
      </w:r>
      <w:r>
        <w:rPr>
          <w:rFonts w:hint="eastAsia" w:ascii="仿宋" w:hAnsi="仿宋" w:eastAsia="仿宋"/>
          <w:szCs w:val="32"/>
        </w:rPr>
        <w:t>十一、国有资本经营预算财政拨款收入支出决算表</w:t>
      </w:r>
      <w:r>
        <w:tab/>
      </w:r>
      <w:r>
        <w:rPr>
          <w:rFonts w:ascii="宋体" w:hAnsi="宋体" w:eastAsia="宋体" w:cs="宋体"/>
        </w:rPr>
        <w:fldChar w:fldCharType="end"/>
      </w:r>
      <w:r>
        <w:rPr>
          <w:rFonts w:hint="eastAsia" w:ascii="宋体" w:hAnsi="宋体" w:cs="宋体"/>
          <w:lang w:val="en-US" w:eastAsia="zh-CN"/>
        </w:rPr>
        <w:t>19</w:t>
      </w:r>
    </w:p>
    <w:p w14:paraId="7F1EC55A">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_Toc13185 </w:instrText>
      </w:r>
      <w:r>
        <w:rPr>
          <w:rFonts w:ascii="宋体" w:hAnsi="宋体" w:eastAsia="宋体" w:cs="宋体"/>
        </w:rPr>
        <w:fldChar w:fldCharType="separate"/>
      </w:r>
      <w:r>
        <w:rPr>
          <w:rFonts w:hint="eastAsia" w:ascii="仿宋" w:hAnsi="仿宋" w:eastAsia="仿宋"/>
          <w:szCs w:val="32"/>
        </w:rPr>
        <w:t>十二、国有资本经营预算财政拨款支出决算表</w:t>
      </w:r>
      <w:r>
        <w:tab/>
      </w:r>
      <w:r>
        <w:rPr>
          <w:rFonts w:ascii="宋体" w:hAnsi="宋体" w:eastAsia="宋体" w:cs="宋体"/>
        </w:rPr>
        <w:fldChar w:fldCharType="end"/>
      </w:r>
      <w:r>
        <w:rPr>
          <w:rFonts w:hint="eastAsia" w:ascii="宋体" w:hAnsi="宋体" w:cs="宋体"/>
          <w:lang w:val="en-US" w:eastAsia="zh-CN"/>
        </w:rPr>
        <w:t>19</w:t>
      </w:r>
    </w:p>
    <w:p w14:paraId="323DBB88">
      <w:pPr>
        <w:pStyle w:val="36"/>
        <w:tabs>
          <w:tab w:val="right" w:leader="dot" w:pos="8306"/>
        </w:tabs>
        <w:rPr>
          <w:rFonts w:hint="default" w:eastAsia="宋体"/>
          <w:lang w:val="en-US" w:eastAsia="zh-CN"/>
        </w:rPr>
      </w:pPr>
      <w:r>
        <w:rPr>
          <w:rFonts w:ascii="宋体" w:hAnsi="宋体" w:eastAsia="宋体" w:cs="宋体"/>
        </w:rPr>
        <w:fldChar w:fldCharType="begin"/>
      </w:r>
      <w:r>
        <w:rPr>
          <w:rFonts w:ascii="宋体" w:hAnsi="宋体" w:eastAsia="宋体" w:cs="宋体"/>
        </w:rPr>
        <w:instrText xml:space="preserve"> HYPERLINK \l _Toc22716 </w:instrText>
      </w:r>
      <w:r>
        <w:rPr>
          <w:rFonts w:ascii="宋体" w:hAnsi="宋体" w:eastAsia="宋体" w:cs="宋体"/>
        </w:rPr>
        <w:fldChar w:fldCharType="separate"/>
      </w:r>
      <w:r>
        <w:rPr>
          <w:rFonts w:hint="eastAsia" w:ascii="仿宋" w:hAnsi="仿宋" w:eastAsia="仿宋"/>
          <w:szCs w:val="32"/>
        </w:rPr>
        <w:t>十三、财政拨款“三公”经费支出决算表</w:t>
      </w:r>
      <w:r>
        <w:tab/>
      </w:r>
      <w:r>
        <w:rPr>
          <w:rFonts w:ascii="宋体" w:hAnsi="宋体" w:eastAsia="宋体" w:cs="宋体"/>
        </w:rPr>
        <w:fldChar w:fldCharType="end"/>
      </w:r>
      <w:r>
        <w:rPr>
          <w:rFonts w:hint="eastAsia" w:ascii="宋体" w:hAnsi="宋体" w:cs="宋体"/>
          <w:lang w:val="en-US" w:eastAsia="zh-CN"/>
        </w:rPr>
        <w:t>19</w:t>
      </w:r>
    </w:p>
    <w:p w14:paraId="03C9CC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2" w:firstLineChars="200"/>
        <w:jc w:val="left"/>
        <w:textAlignment w:val="auto"/>
        <w:rPr>
          <w:rFonts w:hint="eastAsia" w:ascii="Times New Roman" w:hAnsi="Times New Roman" w:eastAsia="仿宋_GB2312" w:cs="仿宋_GB2312"/>
          <w:color w:val="auto"/>
          <w:sz w:val="32"/>
          <w:szCs w:val="32"/>
          <w:highlight w:val="none"/>
        </w:rPr>
      </w:pPr>
      <w:r>
        <w:rPr>
          <w:rFonts w:ascii="宋体" w:hAnsi="宋体" w:eastAsia="宋体" w:cs="宋体"/>
          <w:b/>
        </w:rPr>
        <w:fldChar w:fldCharType="end"/>
      </w:r>
    </w:p>
    <w:p w14:paraId="7806A60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7B04A0E">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5DA9D67B">
      <w:pPr>
        <w:widowControl/>
        <w:jc w:val="left"/>
        <w:rPr>
          <w:rFonts w:ascii="Times New Roman" w:hAnsi="Times New Roman" w:eastAsia="黑体"/>
          <w:color w:val="auto"/>
          <w:sz w:val="32"/>
          <w:szCs w:val="32"/>
          <w:highlight w:val="none"/>
        </w:rPr>
      </w:pPr>
    </w:p>
    <w:p w14:paraId="4A60C5DC">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p>
    <w:p w14:paraId="1A3BE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color w:val="000000"/>
          <w:sz w:val="32"/>
          <w:szCs w:val="32"/>
        </w:rPr>
      </w:pPr>
      <w:r>
        <w:rPr>
          <w:rFonts w:hint="eastAsia" w:ascii="仿宋_GB2312" w:hAnsi="宋体" w:eastAsia="仿宋_GB2312" w:cs="宋体"/>
          <w:color w:val="000000"/>
          <w:kern w:val="0"/>
          <w:sz w:val="32"/>
          <w:szCs w:val="32"/>
          <w:shd w:val="clear" w:color="auto" w:fill="FFFFFF"/>
          <w:lang w:val="zh-CN" w:eastAsia="zh-CN"/>
        </w:rPr>
        <w:t>峨边彝族自治县红十字会（以下简称县红十字会）主要职能：</w:t>
      </w:r>
      <w:r>
        <w:rPr>
          <w:rFonts w:hint="eastAsia" w:ascii="仿宋_GB2312" w:hAnsi="仿宋_GB2312" w:eastAsia="仿宋_GB2312" w:cs="仿宋_GB2312"/>
          <w:b w:val="0"/>
          <w:color w:val="000000"/>
          <w:sz w:val="32"/>
          <w:szCs w:val="32"/>
        </w:rPr>
        <w:t>一是贯彻国家红十字会工作的有关</w:t>
      </w:r>
      <w:r>
        <w:rPr>
          <w:rFonts w:hint="eastAsia" w:ascii="仿宋_GB2312" w:hAnsi="仿宋_GB2312" w:eastAsia="仿宋_GB2312" w:cs="仿宋_GB2312"/>
          <w:b w:val="0"/>
          <w:color w:val="000000"/>
          <w:sz w:val="32"/>
          <w:szCs w:val="32"/>
          <w:lang w:eastAsia="zh-CN"/>
        </w:rPr>
        <w:t>法律法规</w:t>
      </w:r>
      <w:r>
        <w:rPr>
          <w:rFonts w:hint="eastAsia" w:ascii="仿宋_GB2312" w:hAnsi="仿宋_GB2312" w:eastAsia="仿宋_GB2312" w:cs="仿宋_GB2312"/>
          <w:b w:val="0"/>
          <w:color w:val="000000"/>
          <w:sz w:val="32"/>
          <w:szCs w:val="32"/>
        </w:rPr>
        <w:t>和政策、研究拟定峨边彝族自治县红十字会工作发展规划、实施计划并组织实施；二是按照《中国红十字会章程》规定，依法开展全县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救助工作；七是开展有益于青少年身心健康、弘扬人道主义精神的红十字会青少年活动；八是完成县委、县政府和中国红十字会总会、省市红十字会交办的其他工作。</w:t>
      </w:r>
    </w:p>
    <w:p w14:paraId="479F7E42">
      <w:pPr>
        <w:numPr>
          <w:ilvl w:val="0"/>
          <w:numId w:val="0"/>
        </w:numPr>
        <w:rPr>
          <w:rFonts w:hint="eastAsia"/>
          <w:lang w:eastAsia="zh-CN"/>
        </w:rPr>
      </w:pPr>
    </w:p>
    <w:p w14:paraId="54E1D28F">
      <w:pPr>
        <w:pStyle w:val="3"/>
        <w:rPr>
          <w:rStyle w:val="29"/>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30ACB94D">
      <w:pPr>
        <w:pageBreakBefore w:val="0"/>
        <w:kinsoku/>
        <w:wordWrap/>
        <w:overflowPunct/>
        <w:topLinePunct w:val="0"/>
        <w:autoSpaceDE w:val="0"/>
        <w:bidi w:val="0"/>
        <w:spacing w:line="60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中共峨边彝族自治县委办公室关于印发《峨边彝族自治县红十字会职能配置、内设机构和人员编制规定》（峨委办〔2019〕60号）通知精神，县红十字会属县委正科级群团组织，核定事业编制5名，设常务副会长1名，副会长（秘书长）1名，监事长1名。现有科级干部3人，</w:t>
      </w:r>
      <w:r>
        <w:rPr>
          <w:rFonts w:hint="eastAsia" w:ascii="仿宋_GB2312" w:hAnsi="仿宋_GB2312" w:eastAsia="仿宋_GB2312" w:cs="仿宋_GB2312"/>
          <w:bCs/>
          <w:color w:val="000000"/>
          <w:sz w:val="32"/>
          <w:szCs w:val="32"/>
          <w:lang w:val="en-US" w:eastAsia="zh-CN"/>
        </w:rPr>
        <w:t>一般工作人员2</w:t>
      </w:r>
      <w:r>
        <w:rPr>
          <w:rFonts w:hint="eastAsia" w:ascii="仿宋_GB2312" w:hAnsi="仿宋_GB2312" w:eastAsia="仿宋_GB2312" w:cs="仿宋_GB2312"/>
          <w:bCs/>
          <w:color w:val="000000"/>
          <w:sz w:val="32"/>
          <w:szCs w:val="32"/>
        </w:rPr>
        <w:t>人，共</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人。</w:t>
      </w:r>
    </w:p>
    <w:p w14:paraId="7039F53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671DFB8">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5359A3A3">
      <w:pPr>
        <w:rPr>
          <w:rFonts w:ascii="Times New Roman" w:hAnsi="Times New Roman"/>
          <w:color w:val="auto"/>
          <w:highlight w:val="none"/>
        </w:rPr>
      </w:pPr>
    </w:p>
    <w:p w14:paraId="645FDB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0C6B4AE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98.7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10.65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9.7</w:t>
      </w:r>
      <w:r>
        <w:rPr>
          <w:rFonts w:hint="eastAsia" w:ascii="Times New Roman" w:hAnsi="Times New Roman" w:eastAsia="仿宋_GB2312" w:cs="仿宋_GB2312"/>
          <w:color w:val="auto"/>
          <w:sz w:val="32"/>
          <w:szCs w:val="32"/>
          <w:highlight w:val="none"/>
        </w:rPr>
        <w:t>%。主要原因是</w:t>
      </w:r>
      <w:r>
        <w:rPr>
          <w:rFonts w:hint="eastAsia" w:eastAsia="仿宋_GB2312" w:cs="仿宋_GB2312"/>
          <w:color w:val="auto"/>
          <w:sz w:val="32"/>
          <w:szCs w:val="32"/>
          <w:highlight w:val="none"/>
          <w:lang w:val="en-US" w:eastAsia="zh-CN"/>
        </w:rPr>
        <w:t>人员变动</w:t>
      </w:r>
    </w:p>
    <w:p w14:paraId="6F52450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285115</wp:posOffset>
            </wp:positionH>
            <wp:positionV relativeFrom="paragraph">
              <wp:posOffset>466090</wp:posOffset>
            </wp:positionV>
            <wp:extent cx="4838700" cy="3175000"/>
            <wp:effectExtent l="0" t="0" r="0" b="6350"/>
            <wp:wrapSquare wrapText="bothSides"/>
            <wp:docPr id="5" name="图片 5" descr="246e7ee8-6de2-405e-9d12-db1b11998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6e7ee8-6de2-405e-9d12-db1b11998ec4"/>
                    <pic:cNvPicPr>
                      <a:picLocks noChangeAspect="1"/>
                    </pic:cNvPicPr>
                  </pic:nvPicPr>
                  <pic:blipFill>
                    <a:blip r:embed="rId7"/>
                    <a:stretch>
                      <a:fillRect/>
                    </a:stretch>
                  </pic:blipFill>
                  <pic:spPr>
                    <a:xfrm>
                      <a:off x="0" y="0"/>
                      <a:ext cx="4838700" cy="3175000"/>
                    </a:xfrm>
                    <a:prstGeom prst="rect">
                      <a:avLst/>
                    </a:prstGeom>
                  </pic:spPr>
                </pic:pic>
              </a:graphicData>
            </a:graphic>
          </wp:anchor>
        </w:drawing>
      </w:r>
    </w:p>
    <w:p w14:paraId="1EEBA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06954E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3017FA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70F5C4B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98.7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98.7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193B05D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14605</wp:posOffset>
            </wp:positionH>
            <wp:positionV relativeFrom="paragraph">
              <wp:posOffset>62865</wp:posOffset>
            </wp:positionV>
            <wp:extent cx="4826000" cy="2288540"/>
            <wp:effectExtent l="5080" t="4445" r="7620" b="50165"/>
            <wp:wrapTight wrapText="bothSides">
              <wp:wrapPolygon>
                <wp:start x="-23" y="-42"/>
                <wp:lineTo x="-23" y="21534"/>
                <wp:lineTo x="21549" y="21534"/>
                <wp:lineTo x="21549" y="-42"/>
                <wp:lineTo x="-23" y="-42"/>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E09D10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DE3194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C4C68B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2093092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67664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084CE8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2C2A2AA3">
      <w:pPr>
        <w:ind w:firstLine="800" w:firstLineChars="250"/>
        <w:rPr>
          <w:rFonts w:hint="eastAsia" w:ascii="Times New Roman" w:hAnsi="Times New Roman" w:eastAsia="仿宋_GB2312" w:cs="仿宋_GB2312"/>
          <w:color w:val="auto"/>
          <w:sz w:val="32"/>
          <w:szCs w:val="32"/>
          <w:highlight w:val="none"/>
          <w:lang w:eastAsia="zh-CN"/>
        </w:rPr>
      </w:pPr>
    </w:p>
    <w:p w14:paraId="0F0E529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5E84C41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98.71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94.01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95.2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lang w:eastAsia="zh-CN"/>
        </w:rPr>
        <w:t>%。</w:t>
      </w:r>
    </w:p>
    <w:p w14:paraId="6E8CEE1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1" locked="0" layoutInCell="1" allowOverlap="1">
            <wp:simplePos x="0" y="0"/>
            <wp:positionH relativeFrom="column">
              <wp:posOffset>141605</wp:posOffset>
            </wp:positionH>
            <wp:positionV relativeFrom="paragraph">
              <wp:posOffset>118745</wp:posOffset>
            </wp:positionV>
            <wp:extent cx="4826000" cy="2098040"/>
            <wp:effectExtent l="4445" t="4445" r="8255" b="69215"/>
            <wp:wrapTight wrapText="bothSides">
              <wp:wrapPolygon>
                <wp:start x="-20" y="-46"/>
                <wp:lineTo x="-20" y="21528"/>
                <wp:lineTo x="21552" y="21528"/>
                <wp:lineTo x="21552" y="-46"/>
                <wp:lineTo x="-20" y="-46"/>
              </wp:wrapPolygon>
            </wp:wrapTight>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11C118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79F61C4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2ABDC70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6D1B254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5D7EE3D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04AC754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061F0D44">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6D60B79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98.7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10.65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人员调动。</w:t>
      </w:r>
    </w:p>
    <w:p w14:paraId="6CCD391A">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-20955</wp:posOffset>
            </wp:positionH>
            <wp:positionV relativeFrom="paragraph">
              <wp:posOffset>102235</wp:posOffset>
            </wp:positionV>
            <wp:extent cx="5286375" cy="2914650"/>
            <wp:effectExtent l="0" t="0" r="9525" b="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5286375" cy="291465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7C57E0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F63000">
      <w:pPr>
        <w:spacing w:line="600" w:lineRule="exact"/>
        <w:ind w:firstLine="640" w:firstLineChars="200"/>
        <w:outlineLvl w:val="1"/>
        <w:rPr>
          <w:rStyle w:val="29"/>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3718EE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597700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2024年度一般公共预算财政拨款支出98.7万元，占本年支出合计的100%。与2023年度相比，一般公共预算财政拨款支出减少10.65万元，下降9.7%。主要变动原因是</w:t>
      </w:r>
      <w:r>
        <w:rPr>
          <w:rFonts w:hint="eastAsia" w:eastAsia="仿宋_GB2312" w:cs="仿宋_GB2312"/>
          <w:color w:val="auto"/>
          <w:kern w:val="2"/>
          <w:sz w:val="32"/>
          <w:szCs w:val="32"/>
          <w:highlight w:val="none"/>
          <w:lang w:val="en-US" w:eastAsia="zh-CN" w:bidi="ar-SA"/>
        </w:rPr>
        <w:t>人员调动。</w:t>
      </w:r>
    </w:p>
    <w:p w14:paraId="08784EC6">
      <w:pPr>
        <w:spacing w:line="600" w:lineRule="exact"/>
        <w:ind w:firstLine="640"/>
        <w:rPr>
          <w:rFonts w:hint="eastAsia" w:eastAsia="仿宋_GB2312" w:cs="仿宋_GB2312"/>
          <w:color w:val="auto"/>
          <w:kern w:val="2"/>
          <w:sz w:val="32"/>
          <w:szCs w:val="32"/>
          <w:highlight w:val="none"/>
          <w:lang w:val="en-US" w:eastAsia="zh-CN" w:bidi="ar-SA"/>
        </w:rPr>
      </w:pPr>
    </w:p>
    <w:p w14:paraId="647F3530">
      <w:pPr>
        <w:spacing w:line="600" w:lineRule="exact"/>
        <w:ind w:firstLine="640"/>
        <w:rPr>
          <w:rFonts w:hint="eastAsia" w:eastAsia="仿宋_GB2312" w:cs="仿宋_GB2312"/>
          <w:color w:val="auto"/>
          <w:kern w:val="2"/>
          <w:sz w:val="32"/>
          <w:szCs w:val="32"/>
          <w:highlight w:val="none"/>
          <w:lang w:val="en-US" w:eastAsia="zh-CN" w:bidi="ar-SA"/>
        </w:rPr>
      </w:pPr>
    </w:p>
    <w:p w14:paraId="66E2CBCE">
      <w:pPr>
        <w:spacing w:line="600" w:lineRule="exact"/>
        <w:ind w:firstLine="640"/>
        <w:rPr>
          <w:rFonts w:hint="eastAsia" w:eastAsia="仿宋_GB2312" w:cs="仿宋_GB2312"/>
          <w:color w:val="auto"/>
          <w:kern w:val="2"/>
          <w:sz w:val="32"/>
          <w:szCs w:val="32"/>
          <w:highlight w:val="none"/>
          <w:lang w:val="en-US" w:eastAsia="zh-CN" w:bidi="ar-SA"/>
        </w:rPr>
      </w:pPr>
    </w:p>
    <w:p w14:paraId="18A97C0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264795</wp:posOffset>
            </wp:positionH>
            <wp:positionV relativeFrom="paragraph">
              <wp:posOffset>16510</wp:posOffset>
            </wp:positionV>
            <wp:extent cx="4762500" cy="1795780"/>
            <wp:effectExtent l="0" t="0" r="0" b="13970"/>
            <wp:wrapSquare wrapText="bothSides"/>
            <wp:docPr id="9" name="图片 9" descr="99a8deb53814980fba3262909b872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9a8deb53814980fba3262909b872cff"/>
                    <pic:cNvPicPr>
                      <a:picLocks noChangeAspect="1"/>
                    </pic:cNvPicPr>
                  </pic:nvPicPr>
                  <pic:blipFill>
                    <a:blip r:embed="rId11"/>
                    <a:stretch>
                      <a:fillRect/>
                    </a:stretch>
                  </pic:blipFill>
                  <pic:spPr>
                    <a:xfrm>
                      <a:off x="0" y="0"/>
                      <a:ext cx="4762500" cy="1795780"/>
                    </a:xfrm>
                    <a:prstGeom prst="rect">
                      <a:avLst/>
                    </a:prstGeom>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97BFE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93E8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2378C47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98.7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68.16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69.05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17.47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2.62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农林水支出3.67万元，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560EF953">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88900</wp:posOffset>
            </wp:positionH>
            <wp:positionV relativeFrom="paragraph">
              <wp:posOffset>59690</wp:posOffset>
            </wp:positionV>
            <wp:extent cx="4826000" cy="2712085"/>
            <wp:effectExtent l="4445" t="4445" r="8255" b="7620"/>
            <wp:wrapSquare wrapText="bothSides"/>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B5262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1EEA8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DDEC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1A773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5E1E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10FCC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p>
    <w:p w14:paraId="37C157C1">
      <w:pPr>
        <w:spacing w:line="600" w:lineRule="exact"/>
        <w:ind w:firstLine="640"/>
        <w:rPr>
          <w:rFonts w:hint="eastAsia" w:eastAsia="仿宋_GB2312" w:cs="仿宋_GB2312"/>
          <w:color w:val="auto"/>
          <w:kern w:val="2"/>
          <w:sz w:val="32"/>
          <w:szCs w:val="32"/>
          <w:highlight w:val="none"/>
          <w:lang w:val="en-US" w:eastAsia="zh-CN" w:bidi="ar-SA"/>
        </w:rPr>
      </w:pPr>
    </w:p>
    <w:p w14:paraId="391F8E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12D7F63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1DC57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94.01</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9B589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群众团体事务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hAnsi="仿宋_GB2312" w:eastAsia="仿宋_GB2312" w:cs="仿宋_GB2312"/>
          <w:b w:val="0"/>
          <w:bCs w:val="0"/>
          <w:color w:val="000000"/>
          <w:kern w:val="0"/>
          <w:sz w:val="32"/>
          <w:szCs w:val="32"/>
        </w:rPr>
        <w:t>其他群众团体事务支出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C1C764C">
      <w:pPr>
        <w:spacing w:line="600" w:lineRule="exact"/>
        <w:ind w:firstLine="640"/>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w:t>
      </w:r>
      <w:r>
        <w:rPr>
          <w:rStyle w:val="17"/>
          <w:rFonts w:hint="eastAsia" w:ascii="仿宋_GB2312" w:hAnsi="仿宋_GB2312" w:eastAsia="仿宋_GB2312" w:cs="仿宋_GB2312"/>
          <w:b w:val="0"/>
          <w:bCs/>
          <w:color w:val="auto"/>
          <w:sz w:val="32"/>
          <w:szCs w:val="32"/>
          <w:highlight w:val="none"/>
          <w:lang w:val="en-US" w:eastAsia="zh-CN"/>
        </w:rPr>
        <w:t>行政事业单位养老支出</w:t>
      </w:r>
      <w:r>
        <w:rPr>
          <w:rFonts w:hint="eastAsia" w:ascii="Times New Roman" w:hAnsi="Times New Roman" w:eastAsia="仿宋_GB2312" w:cs="仿宋_GB2312"/>
          <w:b w:val="0"/>
          <w:bCs/>
          <w:color w:val="auto"/>
          <w:kern w:val="2"/>
          <w:sz w:val="32"/>
          <w:szCs w:val="32"/>
          <w:highlight w:val="none"/>
          <w:lang w:val="en-US" w:eastAsia="zh-CN" w:bidi="ar-SA"/>
        </w:rPr>
        <w:t>（款）</w:t>
      </w:r>
      <w:r>
        <w:rPr>
          <w:rStyle w:val="17"/>
          <w:rFonts w:hint="eastAsia" w:ascii="仿宋_GB2312" w:hAnsi="仿宋_GB2312" w:eastAsia="仿宋_GB2312" w:cs="仿宋_GB2312"/>
          <w:b w:val="0"/>
          <w:bCs/>
          <w:color w:val="auto"/>
          <w:sz w:val="32"/>
          <w:szCs w:val="32"/>
          <w:highlight w:val="none"/>
          <w:lang w:eastAsia="zh-CN"/>
        </w:rPr>
        <w:t>机关事业单位基本养老保险</w:t>
      </w:r>
      <w:r>
        <w:rPr>
          <w:rStyle w:val="17"/>
          <w:rFonts w:hint="eastAsia" w:ascii="仿宋_GB2312" w:hAnsi="仿宋_GB2312" w:eastAsia="仿宋_GB2312" w:cs="仿宋_GB2312"/>
          <w:b w:val="0"/>
          <w:bCs/>
          <w:color w:val="auto"/>
          <w:sz w:val="32"/>
          <w:szCs w:val="32"/>
          <w:highlight w:val="none"/>
          <w:lang w:val="en-US" w:eastAsia="zh-CN"/>
        </w:rPr>
        <w:t>缴费支出</w:t>
      </w:r>
      <w:r>
        <w:rPr>
          <w:rFonts w:hint="eastAsia" w:ascii="Times New Roman" w:hAnsi="Times New Roman" w:eastAsia="仿宋_GB2312" w:cs="仿宋_GB2312"/>
          <w:b w:val="0"/>
          <w:bCs/>
          <w:color w:val="auto"/>
          <w:kern w:val="2"/>
          <w:sz w:val="32"/>
          <w:szCs w:val="32"/>
          <w:highlight w:val="none"/>
          <w:lang w:val="en-US" w:eastAsia="zh-CN" w:bidi="ar-SA"/>
        </w:rPr>
        <w:t>（项）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w:t>
      </w:r>
      <w:r>
        <w:rPr>
          <w:rFonts w:hint="eastAsia" w:eastAsia="仿宋_GB2312" w:cs="仿宋_GB2312"/>
          <w:b w:val="0"/>
          <w:bCs/>
          <w:color w:val="auto"/>
          <w:kern w:val="2"/>
          <w:sz w:val="32"/>
          <w:szCs w:val="32"/>
          <w:highlight w:val="none"/>
          <w:lang w:val="en-US" w:eastAsia="zh-CN" w:bidi="ar-SA"/>
        </w:rPr>
        <w:t>7.71</w:t>
      </w:r>
      <w:r>
        <w:rPr>
          <w:rFonts w:hint="eastAsia" w:ascii="Times New Roman" w:hAnsi="Times New Roman" w:eastAsia="仿宋_GB2312" w:cs="仿宋_GB2312"/>
          <w:b w:val="0"/>
          <w:bCs/>
          <w:color w:val="auto"/>
          <w:kern w:val="2"/>
          <w:sz w:val="32"/>
          <w:szCs w:val="32"/>
          <w:highlight w:val="none"/>
          <w:lang w:val="en-US" w:eastAsia="zh-CN" w:bidi="ar-SA"/>
        </w:rPr>
        <w:t>万元，完成预算</w:t>
      </w:r>
      <w:r>
        <w:rPr>
          <w:rFonts w:hint="eastAsia" w:eastAsia="仿宋_GB2312" w:cs="仿宋_GB2312"/>
          <w:b w:val="0"/>
          <w:bCs/>
          <w:color w:val="auto"/>
          <w:kern w:val="2"/>
          <w:sz w:val="32"/>
          <w:szCs w:val="32"/>
          <w:highlight w:val="none"/>
          <w:lang w:val="en-US" w:eastAsia="zh-CN" w:bidi="ar-SA"/>
        </w:rPr>
        <w:t>100</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597A7D8E">
      <w:pPr>
        <w:numPr>
          <w:ilvl w:val="0"/>
          <w:numId w:val="0"/>
        </w:numPr>
        <w:spacing w:line="600" w:lineRule="exact"/>
        <w:ind w:firstLine="640" w:firstLineChars="20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 w:val="0"/>
          <w:bCs/>
          <w:color w:val="auto"/>
          <w:sz w:val="32"/>
          <w:szCs w:val="32"/>
          <w:highlight w:val="none"/>
          <w:lang w:val="en-US" w:eastAsia="zh-CN"/>
        </w:rPr>
        <w:t>3.社会保障和就业（类）行政事业单位养老支出（款）机关事业单位职业年金缴费支出（项）：</w:t>
      </w:r>
      <w:r>
        <w:rPr>
          <w:rFonts w:hint="eastAsia" w:ascii="Times New Roman" w:hAnsi="Times New Roman" w:eastAsia="仿宋_GB2312" w:cs="仿宋_GB2312"/>
          <w:b w:val="0"/>
          <w:bCs/>
          <w:color w:val="auto"/>
          <w:kern w:val="2"/>
          <w:sz w:val="32"/>
          <w:szCs w:val="32"/>
          <w:highlight w:val="none"/>
          <w:lang w:val="en-US" w:eastAsia="zh-CN" w:bidi="ar-SA"/>
        </w:rPr>
        <w:t>支出决算为</w:t>
      </w:r>
      <w:r>
        <w:rPr>
          <w:rFonts w:hint="eastAsia" w:eastAsia="仿宋_GB2312" w:cs="仿宋_GB2312"/>
          <w:b w:val="0"/>
          <w:bCs/>
          <w:color w:val="auto"/>
          <w:kern w:val="2"/>
          <w:sz w:val="32"/>
          <w:szCs w:val="32"/>
          <w:highlight w:val="none"/>
          <w:lang w:val="en-US" w:eastAsia="zh-CN" w:bidi="ar-SA"/>
        </w:rPr>
        <w:t>3.86</w:t>
      </w:r>
      <w:r>
        <w:rPr>
          <w:rFonts w:hint="eastAsia" w:ascii="Times New Roman" w:hAnsi="Times New Roman" w:eastAsia="仿宋_GB2312" w:cs="仿宋_GB2312"/>
          <w:b w:val="0"/>
          <w:bCs/>
          <w:color w:val="auto"/>
          <w:kern w:val="2"/>
          <w:sz w:val="32"/>
          <w:szCs w:val="32"/>
          <w:highlight w:val="none"/>
          <w:lang w:val="en-US" w:eastAsia="zh-CN" w:bidi="ar-SA"/>
        </w:rPr>
        <w:t>万元，完成预算</w:t>
      </w:r>
      <w:r>
        <w:rPr>
          <w:rFonts w:hint="eastAsia" w:eastAsia="仿宋_GB2312" w:cs="仿宋_GB2312"/>
          <w:b w:val="0"/>
          <w:bCs/>
          <w:color w:val="auto"/>
          <w:kern w:val="2"/>
          <w:sz w:val="32"/>
          <w:szCs w:val="32"/>
          <w:highlight w:val="none"/>
          <w:lang w:val="en-US" w:eastAsia="zh-CN" w:bidi="ar-SA"/>
        </w:rPr>
        <w:t>100</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4542EE7D">
      <w:pPr>
        <w:numPr>
          <w:ilvl w:val="0"/>
          <w:numId w:val="0"/>
        </w:numPr>
        <w:spacing w:line="600" w:lineRule="exact"/>
        <w:ind w:firstLine="640" w:firstLineChars="200"/>
        <w:rPr>
          <w:rFonts w:hint="default"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4.</w:t>
      </w:r>
      <w:r>
        <w:rPr>
          <w:rStyle w:val="17"/>
          <w:rFonts w:hint="eastAsia" w:ascii="仿宋_GB2312" w:hAnsi="仿宋_GB2312" w:eastAsia="仿宋_GB2312" w:cs="仿宋_GB2312"/>
          <w:b w:val="0"/>
          <w:bCs/>
          <w:color w:val="auto"/>
          <w:sz w:val="32"/>
          <w:szCs w:val="32"/>
          <w:highlight w:val="none"/>
          <w:lang w:val="en-US" w:eastAsia="zh-CN"/>
        </w:rPr>
        <w:t>社会保障和就业（类）红十字事业（款）其他红十字事业支出（项）</w:t>
      </w:r>
      <w:r>
        <w:rPr>
          <w:rFonts w:hint="eastAsia"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color w:val="auto"/>
          <w:kern w:val="2"/>
          <w:sz w:val="32"/>
          <w:szCs w:val="32"/>
          <w:highlight w:val="none"/>
          <w:lang w:val="en-US" w:eastAsia="zh-CN" w:bidi="ar-SA"/>
        </w:rPr>
        <w:t>支出决算为</w:t>
      </w:r>
      <w:r>
        <w:rPr>
          <w:rFonts w:hint="eastAsia" w:eastAsia="仿宋_GB2312" w:cs="仿宋_GB2312"/>
          <w:b w:val="0"/>
          <w:bCs/>
          <w:color w:val="auto"/>
          <w:kern w:val="2"/>
          <w:sz w:val="32"/>
          <w:szCs w:val="32"/>
          <w:highlight w:val="none"/>
          <w:lang w:val="en-US" w:eastAsia="zh-CN" w:bidi="ar-SA"/>
        </w:rPr>
        <w:t>4.7</w:t>
      </w:r>
      <w:r>
        <w:rPr>
          <w:rFonts w:hint="eastAsia" w:ascii="Times New Roman" w:hAnsi="Times New Roman" w:eastAsia="仿宋_GB2312" w:cs="仿宋_GB2312"/>
          <w:b w:val="0"/>
          <w:bCs/>
          <w:color w:val="auto"/>
          <w:kern w:val="2"/>
          <w:sz w:val="32"/>
          <w:szCs w:val="32"/>
          <w:highlight w:val="none"/>
          <w:lang w:val="en-US" w:eastAsia="zh-CN" w:bidi="ar-SA"/>
        </w:rPr>
        <w:t>万元，完成预算</w:t>
      </w:r>
      <w:r>
        <w:rPr>
          <w:rFonts w:hint="eastAsia" w:eastAsia="仿宋_GB2312" w:cs="仿宋_GB2312"/>
          <w:b w:val="0"/>
          <w:bCs/>
          <w:color w:val="auto"/>
          <w:kern w:val="2"/>
          <w:sz w:val="32"/>
          <w:szCs w:val="32"/>
          <w:highlight w:val="none"/>
          <w:lang w:val="en-US" w:eastAsia="zh-CN" w:bidi="ar-SA"/>
        </w:rPr>
        <w:t>94</w:t>
      </w:r>
      <w:r>
        <w:rPr>
          <w:rFonts w:hint="eastAsia" w:ascii="Times New Roman" w:hAnsi="Times New Roman" w:eastAsia="仿宋_GB2312" w:cs="仿宋_GB2312"/>
          <w:b w:val="0"/>
          <w:bCs/>
          <w:color w:val="auto"/>
          <w:kern w:val="2"/>
          <w:sz w:val="32"/>
          <w:szCs w:val="32"/>
          <w:highlight w:val="none"/>
          <w:lang w:val="en-US" w:eastAsia="zh-CN" w:bidi="ar-SA"/>
        </w:rPr>
        <w:t>%，决算数小于预算数的主要原因是</w:t>
      </w:r>
      <w:r>
        <w:rPr>
          <w:rFonts w:hint="eastAsia" w:eastAsia="仿宋_GB2312" w:cs="仿宋_GB2312"/>
          <w:b w:val="0"/>
          <w:bCs/>
          <w:color w:val="auto"/>
          <w:kern w:val="2"/>
          <w:sz w:val="32"/>
          <w:szCs w:val="32"/>
          <w:highlight w:val="none"/>
          <w:lang w:val="en-US" w:eastAsia="zh-CN" w:bidi="ar-SA"/>
        </w:rPr>
        <w:t>2024年未召开监事会理事会。</w:t>
      </w:r>
    </w:p>
    <w:p w14:paraId="0B7878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5.</w:t>
      </w:r>
      <w:r>
        <w:rPr>
          <w:rStyle w:val="17"/>
          <w:rFonts w:hint="eastAsia" w:ascii="仿宋_GB2312" w:hAnsi="仿宋_GB2312" w:eastAsia="仿宋_GB2312" w:cs="仿宋_GB2312"/>
          <w:b w:val="0"/>
          <w:bCs/>
          <w:color w:val="auto"/>
          <w:sz w:val="32"/>
          <w:szCs w:val="32"/>
          <w:highlight w:val="none"/>
          <w:lang w:val="en-US" w:eastAsia="zh-CN"/>
        </w:rPr>
        <w:t>社会保障和就业（类）其他社会保障和就业支出（款）其他社会保障和就业支出（项）：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1.21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2947BF8F">
      <w:pPr>
        <w:spacing w:line="600" w:lineRule="exact"/>
        <w:ind w:firstLine="640"/>
        <w:rPr>
          <w:rFonts w:hint="eastAsia" w:eastAsia="仿宋_GB2312" w:cs="仿宋_GB2312"/>
          <w:b w:val="0"/>
          <w:bCs/>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6.</w:t>
      </w:r>
      <w:r>
        <w:rPr>
          <w:rStyle w:val="17"/>
          <w:rFonts w:hint="eastAsia" w:ascii="仿宋_GB2312" w:hAnsi="仿宋_GB2312" w:eastAsia="仿宋_GB2312" w:cs="仿宋_GB2312"/>
          <w:b w:val="0"/>
          <w:bCs/>
          <w:color w:val="auto"/>
          <w:sz w:val="32"/>
          <w:szCs w:val="32"/>
          <w:highlight w:val="none"/>
          <w:lang w:val="en-US" w:eastAsia="zh-CN"/>
        </w:rPr>
        <w:t>卫生健康支出（类）行政事业单位医疗（款）事业单位医疗（项）：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2.62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仿宋_GB2312"/>
          <w:b w:val="0"/>
          <w:bCs/>
          <w:color w:val="auto"/>
          <w:kern w:val="2"/>
          <w:sz w:val="32"/>
          <w:szCs w:val="32"/>
          <w:highlight w:val="none"/>
          <w:lang w:val="en-US" w:eastAsia="zh-CN" w:bidi="ar-SA"/>
        </w:rPr>
        <w:t>决算数等于预算数</w:t>
      </w:r>
      <w:r>
        <w:rPr>
          <w:rFonts w:hint="eastAsia" w:eastAsia="仿宋_GB2312" w:cs="仿宋_GB2312"/>
          <w:b w:val="0"/>
          <w:bCs/>
          <w:color w:val="auto"/>
          <w:kern w:val="2"/>
          <w:sz w:val="32"/>
          <w:szCs w:val="32"/>
          <w:highlight w:val="none"/>
          <w:lang w:val="en-US" w:eastAsia="zh-CN" w:bidi="ar-SA"/>
        </w:rPr>
        <w:t>。</w:t>
      </w:r>
    </w:p>
    <w:p w14:paraId="5DD1AAA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7.农林水支出（类）</w:t>
      </w:r>
      <w:bookmarkStart w:id="68" w:name="_GoBack"/>
      <w:r>
        <w:rPr>
          <w:rFonts w:hint="eastAsia" w:eastAsia="仿宋_GB2312" w:cs="仿宋_GB2312"/>
          <w:color w:val="auto"/>
          <w:kern w:val="2"/>
          <w:sz w:val="32"/>
          <w:szCs w:val="32"/>
          <w:highlight w:val="none"/>
          <w:lang w:val="en-US" w:eastAsia="zh-CN" w:bidi="ar-SA"/>
        </w:rPr>
        <w:t>巩固脱贫攻坚成果</w:t>
      </w:r>
      <w:bookmarkEnd w:id="68"/>
      <w:r>
        <w:rPr>
          <w:rFonts w:hint="eastAsia" w:eastAsia="仿宋_GB2312" w:cs="仿宋_GB2312"/>
          <w:color w:val="auto"/>
          <w:kern w:val="2"/>
          <w:sz w:val="32"/>
          <w:szCs w:val="32"/>
          <w:highlight w:val="none"/>
          <w:lang w:val="en-US" w:eastAsia="zh-CN" w:bidi="ar-SA"/>
        </w:rPr>
        <w:t>衔接乡村振兴（款）其他巩固脱贫攻坚成果衔接乡村振兴支出（项）：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3.67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E0985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8.住房保障支出（类）住房改革支出（款）住房公积金（项）：</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6.79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48DD8EF">
      <w:pPr>
        <w:tabs>
          <w:tab w:val="right" w:pos="8306"/>
        </w:tabs>
        <w:spacing w:line="600" w:lineRule="exact"/>
        <w:ind w:firstLine="640"/>
        <w:outlineLvl w:val="1"/>
        <w:rPr>
          <w:rStyle w:val="29"/>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7A60FD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94.01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E9ED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83.34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基本工资、津贴补贴、奖金、伙食补助费、绩效工资、机关事业单位基本养老保险缴费、职业年金缴费、</w:t>
      </w:r>
      <w:r>
        <w:rPr>
          <w:rFonts w:hint="eastAsia" w:ascii="仿宋" w:hAnsi="仿宋" w:eastAsia="仿宋"/>
          <w:color w:val="auto"/>
          <w:sz w:val="32"/>
          <w:szCs w:val="32"/>
          <w:highlight w:val="none"/>
          <w:lang w:val="en-US" w:eastAsia="zh-CN"/>
        </w:rPr>
        <w:t>职工基本医疗保险费、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val="en-US" w:eastAsia="zh-CN"/>
        </w:rPr>
        <w:t>商品和服务支出、</w:t>
      </w:r>
      <w:r>
        <w:rPr>
          <w:rFonts w:hint="eastAsia" w:ascii="Times New Roman" w:hAnsi="Times New Roman" w:eastAsia="仿宋_GB2312" w:cs="仿宋_GB2312"/>
          <w:color w:val="auto"/>
          <w:kern w:val="2"/>
          <w:sz w:val="32"/>
          <w:szCs w:val="32"/>
          <w:highlight w:val="none"/>
          <w:lang w:val="en-US" w:eastAsia="zh-CN" w:bidi="ar-SA"/>
        </w:rPr>
        <w:t>其他对个人和家庭的补助支出</w:t>
      </w:r>
      <w:r>
        <w:rPr>
          <w:rFonts w:hint="eastAsia" w:eastAsia="仿宋_GB2312" w:cs="仿宋_GB2312"/>
          <w:color w:val="auto"/>
          <w:kern w:val="2"/>
          <w:sz w:val="32"/>
          <w:szCs w:val="32"/>
          <w:highlight w:val="none"/>
          <w:lang w:val="en-US" w:eastAsia="zh-CN" w:bidi="ar-SA"/>
        </w:rPr>
        <w:t>、生活补助</w:t>
      </w:r>
      <w:r>
        <w:rPr>
          <w:rFonts w:hint="eastAsia" w:ascii="仿宋" w:hAnsi="仿宋" w:eastAsia="仿宋"/>
          <w:color w:val="auto"/>
          <w:sz w:val="32"/>
          <w:szCs w:val="32"/>
          <w:highlight w:val="none"/>
        </w:rPr>
        <w:t>等</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10.67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办公费、邮电费、</w:t>
      </w:r>
      <w:r>
        <w:rPr>
          <w:rFonts w:hint="eastAsia" w:ascii="仿宋" w:hAnsi="仿宋" w:eastAsia="仿宋"/>
          <w:color w:val="auto"/>
          <w:sz w:val="32"/>
          <w:szCs w:val="32"/>
          <w:highlight w:val="none"/>
          <w:lang w:val="en-US" w:eastAsia="zh-CN"/>
        </w:rPr>
        <w:t>租赁费、</w:t>
      </w:r>
      <w:r>
        <w:rPr>
          <w:rFonts w:hint="eastAsia" w:ascii="仿宋" w:hAnsi="仿宋" w:eastAsia="仿宋"/>
          <w:color w:val="auto"/>
          <w:sz w:val="32"/>
          <w:szCs w:val="32"/>
          <w:highlight w:val="none"/>
        </w:rPr>
        <w:t>差旅费、工会经费、福利费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其他交通费、其他商品和服务支出</w:t>
      </w:r>
      <w:r>
        <w:rPr>
          <w:rFonts w:hint="eastAsia" w:ascii="仿宋" w:hAnsi="仿宋" w:eastAsia="仿宋"/>
          <w:color w:val="auto"/>
          <w:sz w:val="32"/>
          <w:szCs w:val="32"/>
          <w:highlight w:val="none"/>
        </w:rPr>
        <w:t>等</w:t>
      </w:r>
      <w:r>
        <w:rPr>
          <w:rFonts w:hint="eastAsia" w:ascii="Times New Roman" w:hAnsi="Times New Roman" w:eastAsia="仿宋_GB2312" w:cs="仿宋_GB2312"/>
          <w:color w:val="auto"/>
          <w:kern w:val="2"/>
          <w:sz w:val="32"/>
          <w:szCs w:val="32"/>
          <w:highlight w:val="none"/>
          <w:lang w:val="en-US" w:eastAsia="zh-CN" w:bidi="ar-SA"/>
        </w:rPr>
        <w:t>。</w:t>
      </w:r>
    </w:p>
    <w:p w14:paraId="5BFB3FD4">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3F4B98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AF8FB5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万元，完成预算0%，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0CB12D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650B65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，占0%；公务用车购置及运行维护费支出决算0万元，占0%；公务接待费支出决算0万元，占0%。</w:t>
      </w:r>
    </w:p>
    <w:p w14:paraId="27F0148C">
      <w:pPr>
        <w:numPr>
          <w:ilvl w:val="0"/>
          <w:numId w:val="2"/>
        </w:numPr>
        <w:spacing w:line="600" w:lineRule="exact"/>
        <w:ind w:firstLine="640"/>
        <w:rPr>
          <w:rFonts w:hint="eastAsia" w:ascii="仿宋_GB2312" w:eastAsia="仿宋_GB2312"/>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eastAsia="zh-CN"/>
        </w:rPr>
        <w:t>因公出国（境）支出决算比202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lang w:val="en-US" w:eastAsia="zh-CN"/>
        </w:rPr>
        <w:t>持平。</w:t>
      </w:r>
    </w:p>
    <w:p w14:paraId="68166EA4">
      <w:pPr>
        <w:numPr>
          <w:ilvl w:val="0"/>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37DEBF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252D9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Times New Roman" w:hAnsi="Times New Roman" w:eastAsia="仿宋_GB2312" w:cs="仿宋_GB2312"/>
          <w:color w:val="auto"/>
          <w:kern w:val="2"/>
          <w:sz w:val="32"/>
          <w:szCs w:val="32"/>
          <w:highlight w:val="none"/>
          <w:lang w:val="en-US" w:eastAsia="zh-CN" w:bidi="ar-SA"/>
        </w:rPr>
        <w:t>万元。</w:t>
      </w:r>
    </w:p>
    <w:p w14:paraId="22408C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2024年度未预算公务接待费用</w:t>
      </w:r>
      <w:r>
        <w:rPr>
          <w:rFonts w:hint="eastAsia" w:ascii="Times New Roman" w:hAnsi="Times New Roman" w:eastAsia="仿宋_GB2312" w:cs="仿宋_GB2312"/>
          <w:color w:val="auto"/>
          <w:kern w:val="2"/>
          <w:sz w:val="32"/>
          <w:szCs w:val="32"/>
          <w:highlight w:val="none"/>
          <w:lang w:val="en-US" w:eastAsia="zh-CN" w:bidi="ar-SA"/>
        </w:rPr>
        <w:t>。其中：</w:t>
      </w:r>
    </w:p>
    <w:p w14:paraId="09AD6F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出0万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待0批次，0</w:t>
      </w:r>
      <w:r>
        <w:rPr>
          <w:rFonts w:hint="eastAsia" w:ascii="Times New Roman" w:hAnsi="Times New Roman" w:eastAsia="仿宋_GB2312" w:cs="仿宋_GB2312"/>
          <w:color w:val="auto"/>
          <w:kern w:val="2"/>
          <w:sz w:val="32"/>
          <w:szCs w:val="32"/>
          <w:highlight w:val="none"/>
          <w:lang w:val="en-US" w:eastAsia="zh-CN" w:bidi="ar-SA"/>
        </w:rPr>
        <w:t>人次。</w:t>
      </w:r>
    </w:p>
    <w:p w14:paraId="60CCC2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。外事接待0批次，0人次</w:t>
      </w:r>
      <w:r>
        <w:rPr>
          <w:rFonts w:hint="eastAsia" w:ascii="Times New Roman" w:hAnsi="Times New Roman" w:eastAsia="仿宋_GB2312" w:cs="仿宋_GB2312"/>
          <w:color w:val="auto"/>
          <w:kern w:val="2"/>
          <w:sz w:val="32"/>
          <w:szCs w:val="32"/>
          <w:highlight w:val="none"/>
          <w:lang w:val="en-US" w:eastAsia="zh-CN" w:bidi="ar-SA"/>
        </w:rPr>
        <w:t>。</w:t>
      </w:r>
    </w:p>
    <w:p w14:paraId="70CC17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7218"/>
      <w:bookmarkStart w:id="41" w:name="_Toc15396610"/>
    </w:p>
    <w:p w14:paraId="66C34E6B">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52C1B0B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6C8A64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D7DA59">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77219"/>
      <w:bookmarkStart w:id="4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0AABE9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5B835E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25F009B">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08F1C5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A9BFD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，机关运行经费支出0万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3B144D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6B2F01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2024年度，政府采购支出总额0万元，其中：政府采购货物支出0万元、政府采购工程支出0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6C160D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2FB4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2D4FE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截至2024年12月31日，共有车辆0辆，其中：主要负责人用车0辆、机要通信用车0辆、应急保障用车0辆、其他用车0辆。单价100万元（含）以上设备（不含车辆）0台（套）</w:t>
      </w:r>
      <w:r>
        <w:rPr>
          <w:rFonts w:hint="eastAsia" w:ascii="Times New Roman" w:hAnsi="Times New Roman" w:eastAsia="仿宋_GB2312" w:cs="仿宋_GB2312"/>
          <w:color w:val="auto"/>
          <w:kern w:val="2"/>
          <w:sz w:val="32"/>
          <w:szCs w:val="32"/>
          <w:highlight w:val="none"/>
          <w:lang w:val="en-US" w:eastAsia="zh-CN" w:bidi="ar-SA"/>
        </w:rPr>
        <w:t>。</w:t>
      </w:r>
    </w:p>
    <w:p w14:paraId="6621CE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FB0F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999EF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峨边彝族自治县红十字会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红十字慈善工作</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EDFDD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峨边彝族自治县红十字会</w:t>
      </w:r>
      <w:r>
        <w:rPr>
          <w:rFonts w:hint="eastAsia" w:ascii="Times New Roman" w:hAnsi="Times New Roman" w:eastAsia="仿宋_GB2312" w:cs="仿宋_GB2312"/>
          <w:color w:val="auto"/>
          <w:kern w:val="2"/>
          <w:sz w:val="32"/>
          <w:szCs w:val="32"/>
          <w:highlight w:val="none"/>
          <w:lang w:val="en-US" w:eastAsia="zh-CN" w:bidi="ar-SA"/>
        </w:rPr>
        <w:t>部门整体绩效自评报告、</w:t>
      </w:r>
      <w:r>
        <w:rPr>
          <w:rFonts w:hint="eastAsia" w:eastAsia="仿宋_GB2312" w:cs="仿宋_GB2312"/>
          <w:color w:val="auto"/>
          <w:kern w:val="2"/>
          <w:sz w:val="32"/>
          <w:szCs w:val="32"/>
          <w:highlight w:val="none"/>
          <w:lang w:val="en-US" w:eastAsia="zh-CN" w:bidi="ar-SA"/>
        </w:rPr>
        <w:t>峨边彝族自治县</w:t>
      </w:r>
      <w:r>
        <w:rPr>
          <w:rFonts w:hint="eastAsia" w:ascii="Times New Roman" w:hAnsi="Times New Roman" w:eastAsia="仿宋_GB2312" w:cs="仿宋_GB2312"/>
          <w:color w:val="auto"/>
          <w:kern w:val="2"/>
          <w:sz w:val="32"/>
          <w:szCs w:val="32"/>
          <w:highlight w:val="none"/>
          <w:lang w:val="en-US" w:eastAsia="zh-CN" w:bidi="ar-SA"/>
        </w:rPr>
        <w:t>部门整体绩效自评得分为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宋体" w:eastAsia="仿宋_GB2312" w:cs="宋体"/>
          <w:color w:val="000000"/>
          <w:kern w:val="0"/>
          <w:sz w:val="32"/>
          <w:szCs w:val="32"/>
          <w:shd w:val="clear" w:color="auto" w:fill="FFFFFF"/>
          <w:lang w:val="zh-CN"/>
        </w:rPr>
        <w:t>县红十字会认真组织开展了部门整体支出绩效评价工作，较好地完成了各项绩效目标</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75D029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E3B09D">
      <w:pPr>
        <w:numPr>
          <w:ilvl w:val="0"/>
          <w:numId w:val="0"/>
        </w:numPr>
        <w:spacing w:line="600" w:lineRule="exact"/>
        <w:jc w:val="center"/>
        <w:outlineLvl w:val="0"/>
        <w:rPr>
          <w:rFonts w:ascii="Times New Roman" w:hAnsi="Times New Roman"/>
          <w:b/>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D5D93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30253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4C4108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645FB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6B752A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B0559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6FD2A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DDD22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818D5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w:t>
      </w:r>
      <w:r>
        <w:rPr>
          <w:rFonts w:hint="eastAsia" w:eastAsia="仿宋_GB2312" w:cs="仿宋_GB2312"/>
          <w:color w:val="auto"/>
          <w:kern w:val="2"/>
          <w:sz w:val="32"/>
          <w:szCs w:val="32"/>
          <w:highlight w:val="none"/>
          <w:lang w:val="en-US" w:eastAsia="zh-CN" w:bidi="ar-SA"/>
        </w:rPr>
        <w:t>群众团体事务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_GB2312" w:hAnsi="仿宋_GB2312" w:eastAsia="仿宋_GB2312" w:cs="仿宋_GB2312"/>
          <w:b w:val="0"/>
          <w:bCs w:val="0"/>
          <w:color w:val="000000"/>
          <w:kern w:val="0"/>
          <w:sz w:val="32"/>
          <w:szCs w:val="32"/>
        </w:rPr>
        <w:t>其他群众团体事务支出</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ascii="仿宋_GB2312" w:hAnsi="仿宋_GB2312" w:eastAsia="仿宋_GB2312" w:cs="仿宋_GB2312"/>
          <w:b w:val="0"/>
          <w:bCs w:val="0"/>
          <w:color w:val="000000"/>
          <w:kern w:val="0"/>
          <w:sz w:val="32"/>
          <w:szCs w:val="32"/>
        </w:rPr>
        <w:t>其他群众团体事务支出</w:t>
      </w:r>
    </w:p>
    <w:p w14:paraId="008819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10.社会保障和就业（类）</w:t>
      </w:r>
      <w:r>
        <w:rPr>
          <w:rStyle w:val="17"/>
          <w:rFonts w:hint="eastAsia" w:ascii="仿宋_GB2312" w:hAnsi="仿宋_GB2312" w:eastAsia="仿宋_GB2312" w:cs="仿宋_GB2312"/>
          <w:b w:val="0"/>
          <w:bCs/>
          <w:color w:val="auto"/>
          <w:sz w:val="32"/>
          <w:szCs w:val="32"/>
          <w:highlight w:val="none"/>
          <w:lang w:val="en-US" w:eastAsia="zh-CN"/>
        </w:rPr>
        <w:t>行政事业单位养老支出</w:t>
      </w:r>
      <w:r>
        <w:rPr>
          <w:rFonts w:hint="eastAsia" w:ascii="Times New Roman" w:hAnsi="Times New Roman" w:eastAsia="仿宋_GB2312" w:cs="仿宋_GB2312"/>
          <w:b w:val="0"/>
          <w:bCs/>
          <w:color w:val="auto"/>
          <w:kern w:val="2"/>
          <w:sz w:val="32"/>
          <w:szCs w:val="32"/>
          <w:highlight w:val="none"/>
          <w:lang w:val="en-US" w:eastAsia="zh-CN" w:bidi="ar-SA"/>
        </w:rPr>
        <w:t>（款）</w:t>
      </w:r>
      <w:r>
        <w:rPr>
          <w:rStyle w:val="17"/>
          <w:rFonts w:hint="eastAsia" w:ascii="仿宋_GB2312" w:hAnsi="仿宋_GB2312" w:eastAsia="仿宋_GB2312" w:cs="仿宋_GB2312"/>
          <w:b w:val="0"/>
          <w:bCs/>
          <w:color w:val="auto"/>
          <w:sz w:val="32"/>
          <w:szCs w:val="32"/>
          <w:highlight w:val="none"/>
          <w:lang w:eastAsia="zh-CN"/>
        </w:rPr>
        <w:t>机关事业单位基本养老保险</w:t>
      </w:r>
      <w:r>
        <w:rPr>
          <w:rStyle w:val="17"/>
          <w:rFonts w:hint="eastAsia" w:ascii="仿宋_GB2312" w:hAnsi="仿宋_GB2312" w:eastAsia="仿宋_GB2312" w:cs="仿宋_GB2312"/>
          <w:b w:val="0"/>
          <w:bCs/>
          <w:color w:val="auto"/>
          <w:sz w:val="32"/>
          <w:szCs w:val="32"/>
          <w:highlight w:val="none"/>
          <w:lang w:val="en-US" w:eastAsia="zh-CN"/>
        </w:rPr>
        <w:t>缴费支出</w:t>
      </w:r>
      <w:r>
        <w:rPr>
          <w:rFonts w:hint="eastAsia" w:ascii="Times New Roman" w:hAnsi="Times New Roman" w:eastAsia="仿宋_GB2312" w:cs="仿宋_GB2312"/>
          <w:b w:val="0"/>
          <w:bCs/>
          <w:color w:val="auto"/>
          <w:kern w:val="2"/>
          <w:sz w:val="32"/>
          <w:szCs w:val="32"/>
          <w:highlight w:val="none"/>
          <w:lang w:val="en-US" w:eastAsia="zh-CN" w:bidi="ar-SA"/>
        </w:rPr>
        <w:t>（项）</w:t>
      </w:r>
      <w:r>
        <w:rPr>
          <w:rFonts w:hint="eastAsia" w:ascii="Times New Roman" w:hAnsi="Times New Roman" w:eastAsia="仿宋_GB2312" w:cs="仿宋_GB2312"/>
          <w:color w:val="auto"/>
          <w:kern w:val="2"/>
          <w:sz w:val="32"/>
          <w:szCs w:val="32"/>
          <w:highlight w:val="none"/>
          <w:lang w:val="en-US" w:eastAsia="zh-CN" w:bidi="ar-SA"/>
        </w:rPr>
        <w:t>：指</w:t>
      </w:r>
      <w:r>
        <w:rPr>
          <w:rStyle w:val="17"/>
          <w:rFonts w:hint="eastAsia" w:ascii="仿宋_GB2312" w:hAnsi="仿宋_GB2312" w:eastAsia="仿宋_GB2312" w:cs="仿宋_GB2312"/>
          <w:b w:val="0"/>
          <w:bCs/>
          <w:color w:val="auto"/>
          <w:sz w:val="32"/>
          <w:szCs w:val="32"/>
          <w:highlight w:val="none"/>
          <w:lang w:eastAsia="zh-CN"/>
        </w:rPr>
        <w:t>机关事业单位基本养老保险</w:t>
      </w:r>
      <w:r>
        <w:rPr>
          <w:rStyle w:val="17"/>
          <w:rFonts w:hint="eastAsia" w:ascii="仿宋_GB2312" w:hAnsi="仿宋_GB2312" w:eastAsia="仿宋_GB2312" w:cs="仿宋_GB2312"/>
          <w:b w:val="0"/>
          <w:bCs/>
          <w:color w:val="auto"/>
          <w:sz w:val="32"/>
          <w:szCs w:val="32"/>
          <w:highlight w:val="none"/>
          <w:lang w:val="en-US" w:eastAsia="zh-CN"/>
        </w:rPr>
        <w:t>缴费支出</w:t>
      </w:r>
    </w:p>
    <w:p w14:paraId="72978747">
      <w:pPr>
        <w:spacing w:line="600" w:lineRule="exact"/>
        <w:ind w:firstLine="640"/>
        <w:rPr>
          <w:rStyle w:val="17"/>
          <w:rFonts w:hint="eastAsia" w:ascii="仿宋_GB2312" w:hAnsi="仿宋_GB2312" w:eastAsia="仿宋_GB2312" w:cs="仿宋_GB2312"/>
          <w:b w:val="0"/>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11.</w:t>
      </w:r>
      <w:r>
        <w:rPr>
          <w:rStyle w:val="17"/>
          <w:rFonts w:hint="eastAsia" w:ascii="仿宋_GB2312" w:hAnsi="仿宋_GB2312" w:eastAsia="仿宋_GB2312" w:cs="仿宋_GB2312"/>
          <w:b w:val="0"/>
          <w:bCs/>
          <w:color w:val="auto"/>
          <w:sz w:val="32"/>
          <w:szCs w:val="32"/>
          <w:highlight w:val="none"/>
          <w:lang w:val="en-US" w:eastAsia="zh-CN"/>
        </w:rPr>
        <w:t>社会保障和就业（类）行政事业单位养老支出（款）机关事业单位职业年金缴费支出（项）</w:t>
      </w:r>
      <w:r>
        <w:rPr>
          <w:rFonts w:hint="eastAsia" w:ascii="Times New Roman" w:hAnsi="Times New Roman" w:eastAsia="仿宋_GB2312" w:cs="仿宋_GB2312"/>
          <w:color w:val="auto"/>
          <w:kern w:val="2"/>
          <w:sz w:val="32"/>
          <w:szCs w:val="32"/>
          <w:highlight w:val="none"/>
          <w:lang w:val="en-US" w:eastAsia="zh-CN" w:bidi="ar-SA"/>
        </w:rPr>
        <w:t>：指</w:t>
      </w:r>
      <w:r>
        <w:rPr>
          <w:rStyle w:val="17"/>
          <w:rFonts w:hint="eastAsia" w:ascii="仿宋_GB2312" w:hAnsi="仿宋_GB2312" w:eastAsia="仿宋_GB2312" w:cs="仿宋_GB2312"/>
          <w:b w:val="0"/>
          <w:bCs/>
          <w:color w:val="auto"/>
          <w:sz w:val="32"/>
          <w:szCs w:val="32"/>
          <w:highlight w:val="none"/>
          <w:lang w:val="en-US" w:eastAsia="zh-CN"/>
        </w:rPr>
        <w:t>机关事业单位职业年金缴费支出</w:t>
      </w:r>
    </w:p>
    <w:p w14:paraId="2852E697">
      <w:pPr>
        <w:spacing w:line="600" w:lineRule="exact"/>
        <w:ind w:firstLine="640"/>
        <w:rPr>
          <w:rStyle w:val="17"/>
          <w:rFonts w:hint="eastAsia" w:ascii="仿宋_GB2312" w:hAnsi="仿宋_GB2312" w:eastAsia="仿宋_GB2312" w:cs="仿宋_GB2312"/>
          <w:b w:val="0"/>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12.</w:t>
      </w:r>
      <w:r>
        <w:rPr>
          <w:rStyle w:val="17"/>
          <w:rFonts w:hint="eastAsia" w:ascii="仿宋_GB2312" w:hAnsi="仿宋_GB2312" w:eastAsia="仿宋_GB2312" w:cs="仿宋_GB2312"/>
          <w:b w:val="0"/>
          <w:bCs/>
          <w:color w:val="auto"/>
          <w:sz w:val="32"/>
          <w:szCs w:val="32"/>
          <w:highlight w:val="none"/>
          <w:lang w:val="en-US" w:eastAsia="zh-CN"/>
        </w:rPr>
        <w:t>社会保障和就业（类）红十字事业（款）其他红十字事业支出（项）</w:t>
      </w:r>
      <w:r>
        <w:rPr>
          <w:rFonts w:hint="eastAsia" w:ascii="Times New Roman" w:hAnsi="Times New Roman" w:eastAsia="仿宋_GB2312" w:cs="仿宋_GB2312"/>
          <w:color w:val="auto"/>
          <w:kern w:val="2"/>
          <w:sz w:val="32"/>
          <w:szCs w:val="32"/>
          <w:highlight w:val="none"/>
          <w:lang w:val="en-US" w:eastAsia="zh-CN" w:bidi="ar-SA"/>
        </w:rPr>
        <w:t>：指</w:t>
      </w:r>
      <w:r>
        <w:rPr>
          <w:rStyle w:val="17"/>
          <w:rFonts w:hint="eastAsia" w:ascii="仿宋_GB2312" w:hAnsi="仿宋_GB2312" w:eastAsia="仿宋_GB2312" w:cs="仿宋_GB2312"/>
          <w:b w:val="0"/>
          <w:bCs/>
          <w:color w:val="auto"/>
          <w:sz w:val="32"/>
          <w:szCs w:val="32"/>
          <w:highlight w:val="none"/>
          <w:lang w:val="en-US" w:eastAsia="zh-CN"/>
        </w:rPr>
        <w:t>其他红十字事业支出</w:t>
      </w:r>
    </w:p>
    <w:p w14:paraId="3AF5F28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w:t>
      </w:r>
      <w:r>
        <w:rPr>
          <w:rStyle w:val="17"/>
          <w:rFonts w:hint="eastAsia" w:ascii="仿宋_GB2312" w:hAnsi="仿宋_GB2312" w:eastAsia="仿宋_GB2312" w:cs="仿宋_GB2312"/>
          <w:b w:val="0"/>
          <w:bCs/>
          <w:color w:val="auto"/>
          <w:sz w:val="32"/>
          <w:szCs w:val="32"/>
          <w:highlight w:val="none"/>
          <w:lang w:val="en-US" w:eastAsia="zh-CN"/>
        </w:rPr>
        <w:t>社会保障和就业（类）其他社会保障和就业支出（款）其他社会保障和就业支出（项）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其他保障和就业支出</w:t>
      </w:r>
    </w:p>
    <w:p w14:paraId="0090BC7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w:t>
      </w:r>
      <w:r>
        <w:rPr>
          <w:rStyle w:val="17"/>
          <w:rFonts w:hint="eastAsia" w:ascii="仿宋_GB2312" w:hAnsi="仿宋_GB2312" w:eastAsia="仿宋_GB2312" w:cs="仿宋_GB2312"/>
          <w:b w:val="0"/>
          <w:bCs/>
          <w:color w:val="auto"/>
          <w:sz w:val="32"/>
          <w:szCs w:val="32"/>
          <w:highlight w:val="none"/>
          <w:lang w:val="en-US" w:eastAsia="zh-CN"/>
        </w:rPr>
        <w:t>卫生健康支出（类）行政事业单位医疗（款）事业单位医疗（项）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医疗支出</w:t>
      </w:r>
    </w:p>
    <w:p w14:paraId="5E543E5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其他巩固脱贫攻坚成果衔接乡村振兴支出</w:t>
      </w:r>
    </w:p>
    <w:p w14:paraId="757391C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w:t>
      </w:r>
      <w:r>
        <w:rPr>
          <w:rFonts w:hint="eastAsia" w:eastAsia="仿宋_GB2312" w:cs="仿宋_GB2312"/>
          <w:color w:val="auto"/>
          <w:kern w:val="2"/>
          <w:sz w:val="32"/>
          <w:szCs w:val="32"/>
          <w:highlight w:val="none"/>
          <w:lang w:val="en-US" w:eastAsia="zh-CN" w:bidi="ar-SA"/>
        </w:rPr>
        <w:t>住房保障支出（类）住房改革支出（款）住房公积金（项）</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住房公积金支出</w:t>
      </w:r>
    </w:p>
    <w:p w14:paraId="0A3091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7.基本支出：指为保障机构正常运转、完成日常工作任务而发生的人员支出和公用支出。</w:t>
      </w:r>
    </w:p>
    <w:p w14:paraId="19C4F4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8.项目支出：指在基本支出之外为完成特定行政任务和事业发展目标所发生的支出。 </w:t>
      </w:r>
    </w:p>
    <w:p w14:paraId="15BC62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9.经营支出：指事业单位在专业业务活动及其辅助活动之外开展非独立核算经营活动发生的支出。</w:t>
      </w:r>
    </w:p>
    <w:p w14:paraId="2A6B6F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4AA8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8384F5">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0F32F7C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4810F6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 w:eastAsia="zh-CN" w:bidi="ar"/>
        </w:rPr>
      </w:pPr>
      <w:bookmarkStart w:id="53" w:name="_Hlk110546638"/>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bookmarkEnd w:id="53"/>
    <w:tbl>
      <w:tblPr>
        <w:tblStyle w:val="15"/>
        <w:tblpPr w:leftFromText="180" w:rightFromText="180" w:vertAnchor="text" w:horzAnchor="page" w:tblpX="1258" w:tblpY="1047"/>
        <w:tblOverlap w:val="never"/>
        <w:tblW w:w="10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909"/>
        <w:gridCol w:w="1836"/>
        <w:gridCol w:w="1303"/>
        <w:gridCol w:w="156"/>
        <w:gridCol w:w="947"/>
        <w:gridCol w:w="208"/>
        <w:gridCol w:w="96"/>
        <w:gridCol w:w="754"/>
        <w:gridCol w:w="480"/>
        <w:gridCol w:w="211"/>
        <w:gridCol w:w="519"/>
        <w:gridCol w:w="304"/>
        <w:gridCol w:w="268"/>
        <w:gridCol w:w="236"/>
        <w:gridCol w:w="268"/>
        <w:gridCol w:w="1522"/>
      </w:tblGrid>
      <w:tr w14:paraId="5F7A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045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4E95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94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83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1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75ED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51113224T000011502300-红十字慈善工作经费</w:t>
            </w:r>
          </w:p>
        </w:tc>
      </w:tr>
      <w:tr w14:paraId="389E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0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峨边彝族自治县红十字会本级</w:t>
            </w:r>
          </w:p>
        </w:tc>
        <w:tc>
          <w:tcPr>
            <w:tcW w:w="3464" w:type="dxa"/>
            <w:gridSpan w:val="6"/>
            <w:tcBorders>
              <w:top w:val="nil"/>
              <w:left w:val="nil"/>
              <w:bottom w:val="nil"/>
              <w:right w:val="nil"/>
            </w:tcBorders>
            <w:shd w:val="clear" w:color="auto" w:fill="auto"/>
            <w:vAlign w:val="center"/>
          </w:tcPr>
          <w:p w14:paraId="6201926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CA5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峨边彝族自治县红十字会</w:t>
            </w:r>
          </w:p>
        </w:tc>
      </w:tr>
      <w:tr w14:paraId="1FC6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DB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87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727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88D6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B4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9A1B">
            <w:pP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right w:val="single" w:color="000000" w:sz="4" w:space="0"/>
            </w:tcBorders>
            <w:shd w:val="clear" w:color="auto" w:fill="auto"/>
            <w:vAlign w:val="center"/>
          </w:tcPr>
          <w:p w14:paraId="060D4008">
            <w:pPr>
              <w:rPr>
                <w:rFonts w:hint="eastAsia" w:ascii="宋体" w:hAnsi="宋体" w:eastAsia="宋体" w:cs="宋体"/>
                <w:i w:val="0"/>
                <w:iCs w:val="0"/>
                <w:color w:val="000000"/>
                <w:sz w:val="18"/>
                <w:szCs w:val="18"/>
                <w:u w:val="none"/>
              </w:rPr>
            </w:pPr>
          </w:p>
        </w:tc>
        <w:tc>
          <w:tcPr>
            <w:tcW w:w="26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EA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普及应急救护知识，储备备灾救灾物资，开展红十字青少年、世界红十字日、世界急救日等系列活动，“三献”宣传等活动，召开理事会、监事会等</w:t>
            </w:r>
          </w:p>
        </w:tc>
        <w:tc>
          <w:tcPr>
            <w:tcW w:w="46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697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本年度已完成开展红十字青少年、世界红十字日、世界急救日等系列宣传活动，开展无偿献血、造血干细胞、遗体和器官捐献的宣传推动工作，完成应急救护培训等</w:t>
            </w:r>
          </w:p>
        </w:tc>
      </w:tr>
      <w:tr w14:paraId="5AC5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BA9D">
            <w:pP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3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7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172394">
            <w:pPr>
              <w:rPr>
                <w:rFonts w:hint="eastAsia" w:ascii="宋体" w:hAnsi="宋体" w:eastAsia="宋体" w:cs="宋体"/>
                <w:i w:val="0"/>
                <w:iCs w:val="0"/>
                <w:color w:val="000000"/>
                <w:sz w:val="18"/>
                <w:szCs w:val="18"/>
                <w:u w:val="none"/>
              </w:rPr>
            </w:pPr>
          </w:p>
        </w:tc>
      </w:tr>
      <w:tr w14:paraId="4365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2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53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F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C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9C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5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2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D1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6BA2">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E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D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D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9D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C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04E0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2024年未召开理事会、监事会</w:t>
            </w:r>
          </w:p>
        </w:tc>
      </w:tr>
      <w:tr w14:paraId="345D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4B2B">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B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AE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C0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A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4A5C">
            <w:pPr>
              <w:rPr>
                <w:rFonts w:hint="eastAsia" w:ascii="黑体" w:hAnsi="黑体" w:eastAsia="黑体" w:cs="黑体"/>
                <w:i/>
                <w:iCs/>
                <w:color w:val="000000"/>
                <w:sz w:val="18"/>
                <w:szCs w:val="18"/>
                <w:u w:val="none"/>
              </w:rPr>
            </w:pPr>
          </w:p>
        </w:tc>
      </w:tr>
      <w:tr w14:paraId="3FED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C22A">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CF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D7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A8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0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C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D5B8">
            <w:pPr>
              <w:rPr>
                <w:rFonts w:hint="eastAsia" w:ascii="黑体" w:hAnsi="黑体" w:eastAsia="黑体" w:cs="黑体"/>
                <w:i/>
                <w:iCs/>
                <w:color w:val="000000"/>
                <w:sz w:val="18"/>
                <w:szCs w:val="18"/>
                <w:u w:val="none"/>
              </w:rPr>
            </w:pPr>
          </w:p>
        </w:tc>
      </w:tr>
      <w:tr w14:paraId="7255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9327">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6F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2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F2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9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9634">
            <w:pPr>
              <w:rPr>
                <w:rFonts w:hint="eastAsia" w:ascii="黑体" w:hAnsi="黑体" w:eastAsia="黑体" w:cs="黑体"/>
                <w:i/>
                <w:iCs/>
                <w:color w:val="000000"/>
                <w:sz w:val="18"/>
                <w:szCs w:val="18"/>
                <w:u w:val="none"/>
              </w:rPr>
            </w:pPr>
          </w:p>
        </w:tc>
      </w:tr>
      <w:tr w14:paraId="5B2D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CE863">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02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2A6D5">
            <w:pPr>
              <w:jc w:val="center"/>
              <w:rPr>
                <w:rFonts w:hint="eastAsia" w:ascii="微软雅黑" w:hAnsi="微软雅黑" w:eastAsia="微软雅黑" w:cs="微软雅黑"/>
                <w:i/>
                <w:iCs/>
                <w:color w:val="000000"/>
                <w:sz w:val="16"/>
                <w:szCs w:val="16"/>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6746">
            <w:pPr>
              <w:jc w:val="center"/>
              <w:rPr>
                <w:rFonts w:hint="eastAsia" w:ascii="微软雅黑" w:hAnsi="微软雅黑" w:eastAsia="微软雅黑" w:cs="微软雅黑"/>
                <w:i/>
                <w:iCs/>
                <w:color w:val="000000"/>
                <w:sz w:val="16"/>
                <w:szCs w:val="16"/>
                <w:u w:val="none"/>
              </w:rPr>
            </w:pPr>
          </w:p>
        </w:tc>
        <w:tc>
          <w:tcPr>
            <w:tcW w:w="1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13B97">
            <w:pPr>
              <w:jc w:val="center"/>
              <w:rPr>
                <w:rFonts w:hint="eastAsia" w:ascii="微软雅黑" w:hAnsi="微软雅黑" w:eastAsia="微软雅黑" w:cs="微软雅黑"/>
                <w:i/>
                <w:iCs/>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88EC">
            <w:pPr>
              <w:jc w:val="center"/>
              <w:rPr>
                <w:rFonts w:hint="eastAsia" w:ascii="微软雅黑" w:hAnsi="微软雅黑" w:eastAsia="微软雅黑" w:cs="微软雅黑"/>
                <w:i/>
                <w:iCs/>
                <w:color w:val="000000"/>
                <w:sz w:val="16"/>
                <w:szCs w:val="16"/>
                <w:u w:val="none"/>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C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A91E">
            <w:pPr>
              <w:rPr>
                <w:rFonts w:hint="eastAsia" w:ascii="黑体" w:hAnsi="黑体" w:eastAsia="黑体" w:cs="黑体"/>
                <w:i/>
                <w:iCs/>
                <w:color w:val="000000"/>
                <w:sz w:val="18"/>
                <w:szCs w:val="18"/>
                <w:u w:val="none"/>
              </w:rPr>
            </w:pPr>
          </w:p>
        </w:tc>
      </w:tr>
      <w:tr w14:paraId="2962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7A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B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0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B8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A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6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68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035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E52B">
            <w:pPr>
              <w:jc w:val="center"/>
              <w:rPr>
                <w:rFonts w:hint="eastAsia" w:ascii="宋体" w:hAnsi="宋体" w:eastAsia="宋体" w:cs="宋体"/>
                <w:i w:val="0"/>
                <w:iCs w:val="0"/>
                <w:color w:val="000000"/>
                <w:sz w:val="18"/>
                <w:szCs w:val="18"/>
                <w:u w:val="none"/>
              </w:rPr>
            </w:pPr>
          </w:p>
        </w:tc>
        <w:tc>
          <w:tcPr>
            <w:tcW w:w="2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1E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C9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开展红十字青少年，世界红十字日，世界急救日等系列活动</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3B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8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443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8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98A5">
            <w:pPr>
              <w:jc w:val="center"/>
              <w:rPr>
                <w:rFonts w:hint="eastAsia" w:ascii="微软雅黑" w:hAnsi="微软雅黑" w:eastAsia="微软雅黑" w:cs="微软雅黑"/>
                <w:i/>
                <w:iCs/>
                <w:color w:val="000000"/>
                <w:sz w:val="16"/>
                <w:szCs w:val="16"/>
                <w:u w:val="none"/>
              </w:rPr>
            </w:pPr>
          </w:p>
        </w:tc>
      </w:tr>
      <w:tr w14:paraId="64CD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6223">
            <w:pPr>
              <w:jc w:val="center"/>
              <w:rPr>
                <w:rFonts w:hint="eastAsia" w:ascii="宋体" w:hAnsi="宋体" w:eastAsia="宋体" w:cs="宋体"/>
                <w:i w:val="0"/>
                <w:iCs w:val="0"/>
                <w:color w:val="000000"/>
                <w:sz w:val="18"/>
                <w:szCs w:val="18"/>
                <w:u w:val="none"/>
              </w:rPr>
            </w:pPr>
          </w:p>
        </w:tc>
        <w:tc>
          <w:tcPr>
            <w:tcW w:w="2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E5BD">
            <w:pPr>
              <w:jc w:val="center"/>
              <w:rPr>
                <w:rFonts w:hint="eastAsia" w:ascii="宋体" w:hAnsi="宋体" w:eastAsia="宋体" w:cs="宋体"/>
                <w:i w:val="0"/>
                <w:iCs w:val="0"/>
                <w:color w:val="000000"/>
                <w:sz w:val="18"/>
                <w:szCs w:val="18"/>
                <w:u w:val="none"/>
              </w:rPr>
            </w:pP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A6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8F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A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47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B9A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4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3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06B4">
            <w:pPr>
              <w:jc w:val="center"/>
              <w:rPr>
                <w:rFonts w:hint="eastAsia" w:ascii="微软雅黑" w:hAnsi="微软雅黑" w:eastAsia="微软雅黑" w:cs="微软雅黑"/>
                <w:i/>
                <w:iCs/>
                <w:color w:val="000000"/>
                <w:sz w:val="16"/>
                <w:szCs w:val="16"/>
                <w:u w:val="none"/>
              </w:rPr>
            </w:pPr>
          </w:p>
        </w:tc>
      </w:tr>
      <w:tr w14:paraId="097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85B9">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8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87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开展红十字精神传播，弘扬红十字精神</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A2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1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6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145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A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462">
            <w:pPr>
              <w:jc w:val="center"/>
              <w:rPr>
                <w:rFonts w:hint="eastAsia" w:ascii="微软雅黑" w:hAnsi="微软雅黑" w:eastAsia="微软雅黑" w:cs="微软雅黑"/>
                <w:i/>
                <w:iCs/>
                <w:color w:val="000000"/>
                <w:sz w:val="16"/>
                <w:szCs w:val="16"/>
                <w:u w:val="none"/>
              </w:rPr>
            </w:pPr>
          </w:p>
        </w:tc>
      </w:tr>
      <w:tr w14:paraId="33AD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5666">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F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A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0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44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E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53F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3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9EB9">
            <w:pPr>
              <w:jc w:val="center"/>
              <w:rPr>
                <w:rFonts w:hint="eastAsia" w:ascii="微软雅黑" w:hAnsi="微软雅黑" w:eastAsia="微软雅黑" w:cs="微软雅黑"/>
                <w:i/>
                <w:iCs/>
                <w:color w:val="000000"/>
                <w:sz w:val="16"/>
                <w:szCs w:val="16"/>
                <w:u w:val="none"/>
              </w:rPr>
            </w:pPr>
          </w:p>
        </w:tc>
      </w:tr>
      <w:tr w14:paraId="08D2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BA1E">
            <w:pPr>
              <w:jc w:val="center"/>
              <w:rPr>
                <w:rFonts w:hint="eastAsia" w:ascii="宋体" w:hAnsi="宋体" w:eastAsia="宋体" w:cs="宋体"/>
                <w:i w:val="0"/>
                <w:iCs w:val="0"/>
                <w:color w:val="000000"/>
                <w:sz w:val="18"/>
                <w:szCs w:val="18"/>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7A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FE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开展三献的宣传推动，艾滋病预防宣传和教育</w:t>
            </w:r>
          </w:p>
        </w:tc>
        <w:tc>
          <w:tcPr>
            <w:tcW w:w="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0D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7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1AD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47000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F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4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4DA">
            <w:pPr>
              <w:jc w:val="center"/>
              <w:rPr>
                <w:rFonts w:hint="eastAsia" w:ascii="微软雅黑" w:hAnsi="微软雅黑" w:eastAsia="微软雅黑" w:cs="微软雅黑"/>
                <w:i/>
                <w:iCs/>
                <w:color w:val="000000"/>
                <w:sz w:val="16"/>
                <w:szCs w:val="16"/>
                <w:u w:val="none"/>
              </w:rPr>
            </w:pPr>
          </w:p>
        </w:tc>
      </w:tr>
      <w:tr w14:paraId="00E5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026" w:type="dxa"/>
          <w:trHeight w:val="948" w:hRule="atLeast"/>
        </w:trPr>
        <w:tc>
          <w:tcPr>
            <w:tcW w:w="66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58C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8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A7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0EAB">
            <w:pPr>
              <w:rPr>
                <w:rFonts w:hint="eastAsia" w:ascii="宋体" w:hAnsi="宋体" w:eastAsia="宋体" w:cs="宋体"/>
                <w:i w:val="0"/>
                <w:iCs w:val="0"/>
                <w:color w:val="000000"/>
                <w:sz w:val="18"/>
                <w:szCs w:val="18"/>
                <w:u w:val="none"/>
              </w:rPr>
            </w:pPr>
          </w:p>
        </w:tc>
      </w:tr>
      <w:tr w14:paraId="5FA3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3832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根据《峨边彝族自治县财政局关于开展2024年县级部门预算绩效自评工作的通知》文件精神，县红十字会认真组织开展了部门整体支出绩效评价工作，较好地完成了各项绩效目标，整体绩效评价得分：97分。</w:t>
            </w:r>
          </w:p>
        </w:tc>
      </w:tr>
      <w:tr w14:paraId="49FE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0B403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预算编制有待更精准。预算编制与实际支出项目有的仍存在细微差异。</w:t>
            </w:r>
          </w:p>
        </w:tc>
      </w:tr>
      <w:tr w14:paraId="0B30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1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5283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1.加大对资金的预算精准度和使用前瞻性预算；</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2.进一步完善各项内部控制制度，加大对资金风险点的排查。</w:t>
            </w:r>
          </w:p>
        </w:tc>
      </w:tr>
      <w:tr w14:paraId="68BA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1FE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项目负责人：王莹</w:t>
            </w:r>
          </w:p>
        </w:tc>
        <w:tc>
          <w:tcPr>
            <w:tcW w:w="596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ECACA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财务负责人：罗兰</w:t>
            </w:r>
          </w:p>
        </w:tc>
      </w:tr>
    </w:tbl>
    <w:p w14:paraId="4C6F51E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BCE4CCA">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2CAB16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2FADCE9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6C507DE">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54C1B06">
      <w:pPr>
        <w:pStyle w:val="5"/>
        <w:rPr>
          <w:rFonts w:hint="eastAsia" w:ascii="Times New Roman" w:hAnsi="Times New Roman" w:cs="宋体"/>
          <w:color w:val="FF0000"/>
          <w:kern w:val="0"/>
          <w:sz w:val="32"/>
          <w:szCs w:val="32"/>
          <w:highlight w:val="yellow"/>
          <w:shd w:val="clear" w:color="auto" w:fill="FFFFFF"/>
          <w:lang w:val="zh-CN"/>
        </w:rPr>
      </w:pPr>
    </w:p>
    <w:p w14:paraId="2EB28C51">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54" w:name="_Toc15396618"/>
    </w:p>
    <w:p w14:paraId="0AAD095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4"/>
      <w:bookmarkStart w:id="55" w:name="_Toc15396619"/>
    </w:p>
    <w:p w14:paraId="736E1E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7DA376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0C681EE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1931846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1CCB1B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0308453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2195B0C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674D17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622E7A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1054941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76165F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35434D7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D1C8E2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7B81E22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35742833">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BFEA">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F22C4">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0F22C4">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1F0641D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E86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00D0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200D0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ACA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6C02D"/>
    <w:multiLevelType w:val="singleLevel"/>
    <w:tmpl w:val="BE46C02D"/>
    <w:lvl w:ilvl="0" w:tentative="0">
      <w:start w:val="1"/>
      <w:numFmt w:val="decimal"/>
      <w:lvlText w:val="%1."/>
      <w:lvlJc w:val="left"/>
      <w:pPr>
        <w:tabs>
          <w:tab w:val="left" w:pos="312"/>
        </w:tabs>
      </w:pPr>
    </w:lvl>
  </w:abstractNum>
  <w:abstractNum w:abstractNumId="1">
    <w:nsid w:val="E932B079"/>
    <w:multiLevelType w:val="singleLevel"/>
    <w:tmpl w:val="E932B0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7C1DEE"/>
    <w:rsid w:val="08B655D0"/>
    <w:rsid w:val="097C160A"/>
    <w:rsid w:val="09867E8F"/>
    <w:rsid w:val="0A0566DC"/>
    <w:rsid w:val="0A2032A3"/>
    <w:rsid w:val="0CA8290A"/>
    <w:rsid w:val="0D35B1ED"/>
    <w:rsid w:val="0E254B6B"/>
    <w:rsid w:val="0F98263C"/>
    <w:rsid w:val="101860EC"/>
    <w:rsid w:val="101F47CC"/>
    <w:rsid w:val="10C055FF"/>
    <w:rsid w:val="11694EBD"/>
    <w:rsid w:val="11772AA4"/>
    <w:rsid w:val="118107EC"/>
    <w:rsid w:val="120C6499"/>
    <w:rsid w:val="12E24EE2"/>
    <w:rsid w:val="130C3E98"/>
    <w:rsid w:val="13D50BC4"/>
    <w:rsid w:val="14B17F78"/>
    <w:rsid w:val="165E0673"/>
    <w:rsid w:val="16B831D5"/>
    <w:rsid w:val="16BB723D"/>
    <w:rsid w:val="17127A9D"/>
    <w:rsid w:val="17E50567"/>
    <w:rsid w:val="186504BB"/>
    <w:rsid w:val="19A445FC"/>
    <w:rsid w:val="1BE8440E"/>
    <w:rsid w:val="1D155CEE"/>
    <w:rsid w:val="1D1638FE"/>
    <w:rsid w:val="1E312DEB"/>
    <w:rsid w:val="1E740ACF"/>
    <w:rsid w:val="1EBF5D85"/>
    <w:rsid w:val="1EE843BC"/>
    <w:rsid w:val="1FF35744"/>
    <w:rsid w:val="1FF6BC77"/>
    <w:rsid w:val="20495BF7"/>
    <w:rsid w:val="20B15F2E"/>
    <w:rsid w:val="2186353C"/>
    <w:rsid w:val="23860B96"/>
    <w:rsid w:val="23984D0E"/>
    <w:rsid w:val="240371BF"/>
    <w:rsid w:val="244F3473"/>
    <w:rsid w:val="24C97D99"/>
    <w:rsid w:val="25A718F0"/>
    <w:rsid w:val="25BB59F6"/>
    <w:rsid w:val="260F557C"/>
    <w:rsid w:val="26970054"/>
    <w:rsid w:val="26F343BA"/>
    <w:rsid w:val="281408E2"/>
    <w:rsid w:val="29C12A84"/>
    <w:rsid w:val="29FD04D3"/>
    <w:rsid w:val="2BFF7BC6"/>
    <w:rsid w:val="2C853C2F"/>
    <w:rsid w:val="2C8A61B5"/>
    <w:rsid w:val="2DF04E50"/>
    <w:rsid w:val="2E0A551A"/>
    <w:rsid w:val="2E586DFA"/>
    <w:rsid w:val="2F040D46"/>
    <w:rsid w:val="2F6B035B"/>
    <w:rsid w:val="2FAE5751"/>
    <w:rsid w:val="2FB1A395"/>
    <w:rsid w:val="2FD9A7D8"/>
    <w:rsid w:val="2FDBF714"/>
    <w:rsid w:val="30AB6865"/>
    <w:rsid w:val="31750675"/>
    <w:rsid w:val="319F7F4E"/>
    <w:rsid w:val="32847C00"/>
    <w:rsid w:val="32BD1EF1"/>
    <w:rsid w:val="3304709D"/>
    <w:rsid w:val="33277650"/>
    <w:rsid w:val="33A773CB"/>
    <w:rsid w:val="349D6851"/>
    <w:rsid w:val="3550069C"/>
    <w:rsid w:val="36AA5135"/>
    <w:rsid w:val="36BE0DA7"/>
    <w:rsid w:val="37335AE2"/>
    <w:rsid w:val="376B6AA6"/>
    <w:rsid w:val="376D39B2"/>
    <w:rsid w:val="37E16F03"/>
    <w:rsid w:val="37F53A3B"/>
    <w:rsid w:val="389B6C89"/>
    <w:rsid w:val="38D469F0"/>
    <w:rsid w:val="39627CCD"/>
    <w:rsid w:val="397BAF1F"/>
    <w:rsid w:val="3A042DE1"/>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14769A"/>
    <w:rsid w:val="42D44954"/>
    <w:rsid w:val="44E268DA"/>
    <w:rsid w:val="450D13D7"/>
    <w:rsid w:val="45506656"/>
    <w:rsid w:val="486A6C7A"/>
    <w:rsid w:val="4A627F82"/>
    <w:rsid w:val="4AEB5C37"/>
    <w:rsid w:val="4B0E749A"/>
    <w:rsid w:val="4B1F03FF"/>
    <w:rsid w:val="4B2477C4"/>
    <w:rsid w:val="4B4F25DA"/>
    <w:rsid w:val="4BE068DB"/>
    <w:rsid w:val="4D577224"/>
    <w:rsid w:val="4DBF1CEB"/>
    <w:rsid w:val="4DF0007C"/>
    <w:rsid w:val="4E2F2707"/>
    <w:rsid w:val="4EAB630A"/>
    <w:rsid w:val="4ECE2238"/>
    <w:rsid w:val="4F833267"/>
    <w:rsid w:val="4FB14DB7"/>
    <w:rsid w:val="4FE9BD67"/>
    <w:rsid w:val="4FFB052F"/>
    <w:rsid w:val="534821DA"/>
    <w:rsid w:val="537E6D0A"/>
    <w:rsid w:val="53F74C96"/>
    <w:rsid w:val="541F1B8B"/>
    <w:rsid w:val="54883464"/>
    <w:rsid w:val="55170BA8"/>
    <w:rsid w:val="553218C9"/>
    <w:rsid w:val="55796CDA"/>
    <w:rsid w:val="55A21A11"/>
    <w:rsid w:val="567E1AA5"/>
    <w:rsid w:val="56E47B74"/>
    <w:rsid w:val="57175D52"/>
    <w:rsid w:val="574E45F7"/>
    <w:rsid w:val="57BD3DD4"/>
    <w:rsid w:val="580F5357"/>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1880FD1"/>
    <w:rsid w:val="62BF3928"/>
    <w:rsid w:val="63B3701E"/>
    <w:rsid w:val="647F5392"/>
    <w:rsid w:val="65A21A5B"/>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0C4B5C"/>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7A4300"/>
    <w:rsid w:val="75DEEEC2"/>
    <w:rsid w:val="75E32345"/>
    <w:rsid w:val="76E3355F"/>
    <w:rsid w:val="76FF5125"/>
    <w:rsid w:val="776F6FFA"/>
    <w:rsid w:val="778769C8"/>
    <w:rsid w:val="778C3E77"/>
    <w:rsid w:val="77A75DCA"/>
    <w:rsid w:val="77DA2487"/>
    <w:rsid w:val="77DC22F5"/>
    <w:rsid w:val="783E271A"/>
    <w:rsid w:val="78616DE9"/>
    <w:rsid w:val="78E875D7"/>
    <w:rsid w:val="79086DAD"/>
    <w:rsid w:val="795A7086"/>
    <w:rsid w:val="79D7FD79"/>
    <w:rsid w:val="79EE5BA4"/>
    <w:rsid w:val="7A894339"/>
    <w:rsid w:val="7AD284E8"/>
    <w:rsid w:val="7AFF7572"/>
    <w:rsid w:val="7B4852D0"/>
    <w:rsid w:val="7B6C7DFB"/>
    <w:rsid w:val="7BBFBED0"/>
    <w:rsid w:val="7BC3E394"/>
    <w:rsid w:val="7C0712CF"/>
    <w:rsid w:val="7C1F3737"/>
    <w:rsid w:val="7CBFC87B"/>
    <w:rsid w:val="7CFE0F48"/>
    <w:rsid w:val="7D247715"/>
    <w:rsid w:val="7D272ABC"/>
    <w:rsid w:val="7D553689"/>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3.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一般公共预算财政拨款收入</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[工作簿1]Sheet1!$B$2:$B$3</c:f>
              <c:numCache>
                <c:formatCode>General</c:formatCode>
                <c:ptCount val="2"/>
                <c:pt idx="0">
                  <c:v>98.7</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689397-b704-4347-9fb1-f53ed9b1ee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a:t>
            </a:r>
          </a:p>
        </c:rich>
      </c:tx>
      <c:layout>
        <c:manualLayout>
          <c:xMode val="edge"/>
          <c:yMode val="edge"/>
          <c:x val="0.418421052631579"/>
          <c:y val="0.0243055555555556"/>
        </c:manualLayout>
      </c:layout>
      <c:overlay val="0"/>
      <c:spPr>
        <a:noFill/>
        <a:ln>
          <a:noFill/>
        </a:ln>
        <a:effectLst/>
      </c:spPr>
    </c:title>
    <c:autoTitleDeleted val="0"/>
    <c:plotArea>
      <c:layout>
        <c:manualLayout>
          <c:layoutTarget val="inner"/>
          <c:xMode val="edge"/>
          <c:yMode val="edge"/>
          <c:x val="0.312302631578947"/>
          <c:y val="0.278240740740741"/>
          <c:w val="0.379342105263158"/>
          <c:h val="0.667361111111111"/>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[工作簿2]Sheet1!$B$4:$C$4</c:f>
              <c:numCache>
                <c:formatCode>General</c:formatCode>
                <c:ptCount val="2"/>
                <c:pt idx="0">
                  <c:v>94.01</c:v>
                </c:pt>
                <c:pt idx="1">
                  <c:v>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157894736842105"/>
          <c:y val="0.149768518518519"/>
          <c:w val="0.929605263157895"/>
          <c:h val="0.10949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5e25f1-acaa-4a91-8097-b0e39fd32d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一般公共预算财政拨款支出结构图</a:t>
            </a:r>
          </a:p>
        </c:rich>
      </c:tx>
      <c:layout/>
      <c:overlay val="0"/>
      <c:spPr>
        <a:noFill/>
        <a:ln>
          <a:noFill/>
        </a:ln>
        <a:effectLst/>
      </c:spPr>
    </c:title>
    <c:autoTitleDeleted val="0"/>
    <c:plotArea>
      <c:layout>
        <c:manualLayout>
          <c:layoutTarget val="inner"/>
          <c:xMode val="edge"/>
          <c:yMode val="edge"/>
          <c:x val="0.308355263157895"/>
          <c:y val="0.281712962962963"/>
          <c:w val="0.379342105263158"/>
          <c:h val="0.667361111111111"/>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[工作簿2]Sheet1!$B$4:$F$4</c:f>
              <c:numCache>
                <c:formatCode>General</c:formatCode>
                <c:ptCount val="5"/>
                <c:pt idx="0">
                  <c:v>68.16</c:v>
                </c:pt>
                <c:pt idx="1">
                  <c:v>17.47</c:v>
                </c:pt>
                <c:pt idx="2">
                  <c:v>2.62</c:v>
                </c:pt>
                <c:pt idx="3">
                  <c:v>6.79</c:v>
                </c:pt>
                <c:pt idx="4">
                  <c:v>3.67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394736842105263"/>
          <c:y val="0.146296296296296"/>
          <c:w val="0.992105263157895"/>
          <c:h val="0.077546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258b42-b880-46e7-bea2-d29980c8ef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0.181578947368421</cdr:x>
      <cdr:y>0.123842592592593</cdr:y>
    </cdr:from>
    <cdr:to>
      <cdr:x>0.301973684210526</cdr:x>
      <cdr:y>0.238425925925926</cdr:y>
    </cdr:to>
    <cdr:sp>
      <cdr:nvSpPr>
        <cdr:cNvPr id="2" name="矩形 1"/>
        <cdr:cNvSpPr/>
      </cdr:nvSpPr>
      <cdr:spPr xmlns:a="http://schemas.openxmlformats.org/drawingml/2006/main">
        <a:xfrm xmlns:a="http://schemas.openxmlformats.org/drawingml/2006/main">
          <a:off x="876300" y="339725"/>
          <a:ext cx="581025" cy="314325"/>
        </a:xfrm>
        <a:prstGeom xmlns:a="http://schemas.openxmlformats.org/drawingml/2006/main" prst="rect">
          <a:avLst/>
        </a:prstGeom>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一般公共服务支出</a:t>
          </a:r>
          <a:endParaRPr lang="zh-CN" altLang="en-US" sz="600"/>
        </a:p>
      </cdr:txBody>
    </cdr:sp>
  </cdr:relSizeAnchor>
  <cdr:relSizeAnchor xmlns:cdr="http://schemas.openxmlformats.org/drawingml/2006/chartDrawing">
    <cdr:from>
      <cdr:x>0.355263157894737</cdr:x>
      <cdr:y>0.123842592592593</cdr:y>
    </cdr:from>
    <cdr:to>
      <cdr:x>0.473684210526316</cdr:x>
      <cdr:y>0.238425925925926</cdr:y>
    </cdr:to>
    <cdr:sp>
      <cdr:nvSpPr>
        <cdr:cNvPr id="3" name="矩形 2"/>
        <cdr:cNvSpPr/>
      </cdr:nvSpPr>
      <cdr:spPr xmlns:a="http://schemas.openxmlformats.org/drawingml/2006/main">
        <a:xfrm xmlns:a="http://schemas.openxmlformats.org/drawingml/2006/main">
          <a:off x="1714500" y="339725"/>
          <a:ext cx="571500" cy="314325"/>
        </a:xfrm>
        <a:prstGeom xmlns:a="http://schemas.openxmlformats.org/drawingml/2006/main" prst="rect">
          <a:avLst/>
        </a:prstGeom>
        <a:solidFill>
          <a:schemeClr val="accent2"/>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社会保障和就业支出</a:t>
          </a:r>
          <a:endParaRPr lang="zh-CN" altLang="en-US" sz="600"/>
        </a:p>
      </cdr:txBody>
    </cdr:sp>
  </cdr:relSizeAnchor>
  <cdr:relSizeAnchor xmlns:cdr="http://schemas.openxmlformats.org/drawingml/2006/chartDrawing">
    <cdr:from>
      <cdr:x>0.528947368421053</cdr:x>
      <cdr:y>0.124074074074074</cdr:y>
    </cdr:from>
    <cdr:to>
      <cdr:x>0.647368421052632</cdr:x>
      <cdr:y>0.231481481481481</cdr:y>
    </cdr:to>
    <cdr:sp>
      <cdr:nvSpPr>
        <cdr:cNvPr id="4" name="矩形 3"/>
        <cdr:cNvSpPr/>
      </cdr:nvSpPr>
      <cdr:spPr xmlns:a="http://schemas.openxmlformats.org/drawingml/2006/main">
        <a:xfrm xmlns:a="http://schemas.openxmlformats.org/drawingml/2006/main">
          <a:off x="2552700" y="340360"/>
          <a:ext cx="571500" cy="294640"/>
        </a:xfrm>
        <a:prstGeom xmlns:a="http://schemas.openxmlformats.org/drawingml/2006/main" prst="rect">
          <a:avLst/>
        </a:prstGeom>
        <a:solidFill>
          <a:schemeClr val="accent3"/>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卫生健康支出</a:t>
          </a:r>
          <a:endParaRPr lang="zh-CN" altLang="en-US" sz="600"/>
        </a:p>
      </cdr:txBody>
    </cdr:sp>
  </cdr:relSizeAnchor>
  <cdr:relSizeAnchor xmlns:cdr="http://schemas.openxmlformats.org/drawingml/2006/chartDrawing">
    <cdr:from>
      <cdr:x>0.694736842105263</cdr:x>
      <cdr:y>0.120601851851852</cdr:y>
    </cdr:from>
    <cdr:to>
      <cdr:x>0.819078947368421</cdr:x>
      <cdr:y>0.234722222222222</cdr:y>
    </cdr:to>
    <cdr:sp>
      <cdr:nvSpPr>
        <cdr:cNvPr id="5" name="矩形 4"/>
        <cdr:cNvSpPr/>
      </cdr:nvSpPr>
      <cdr:spPr xmlns:a="http://schemas.openxmlformats.org/drawingml/2006/main">
        <a:xfrm xmlns:a="http://schemas.openxmlformats.org/drawingml/2006/main">
          <a:off x="3352800" y="330835"/>
          <a:ext cx="600075" cy="313055"/>
        </a:xfrm>
        <a:prstGeom xmlns:a="http://schemas.openxmlformats.org/drawingml/2006/main" prst="rect">
          <a:avLst/>
        </a:prstGeom>
        <a:solidFill>
          <a:schemeClr val="accent4"/>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住房保障支出</a:t>
          </a:r>
          <a:endParaRPr lang="zh-CN" altLang="en-US" sz="600"/>
        </a:p>
      </cdr:txBody>
    </cdr:sp>
  </cdr:relSizeAnchor>
  <cdr:relSizeAnchor xmlns:cdr="http://schemas.openxmlformats.org/drawingml/2006/chartDrawing">
    <cdr:from>
      <cdr:x>0.866447368421053</cdr:x>
      <cdr:y>0.123842592592593</cdr:y>
    </cdr:from>
    <cdr:to>
      <cdr:x>0.980921052631579</cdr:x>
      <cdr:y>0.241898148148148</cdr:y>
    </cdr:to>
    <cdr:sp>
      <cdr:nvSpPr>
        <cdr:cNvPr id="6" name="矩形 5"/>
        <cdr:cNvSpPr/>
      </cdr:nvSpPr>
      <cdr:spPr xmlns:a="http://schemas.openxmlformats.org/drawingml/2006/main">
        <a:xfrm xmlns:a="http://schemas.openxmlformats.org/drawingml/2006/main">
          <a:off x="4181475" y="339725"/>
          <a:ext cx="552450" cy="323850"/>
        </a:xfrm>
        <a:prstGeom xmlns:a="http://schemas.openxmlformats.org/drawingml/2006/main" prst="rect">
          <a:avLst/>
        </a:prstGeom>
        <a:solidFill>
          <a:schemeClr val="accent5"/>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600"/>
            <a:t>农林水支出</a:t>
          </a:r>
          <a:endParaRPr lang="zh-CN" altLang="en-US" sz="600"/>
        </a:p>
      </cdr:txBody>
    </cdr:sp>
  </cdr:relSizeAnchor>
</c:userShapes>
</file>

<file path=word/drawings/drawing2.xml><?xml version="1.0" encoding="utf-8"?>
<c:userShapes xmlns:c="http://schemas.openxmlformats.org/drawingml/2006/chart">
  <cdr:relSizeAnchor xmlns:cdr="http://schemas.openxmlformats.org/drawingml/2006/chartDrawing">
    <cdr:from>
      <cdr:x>0.353157894736842</cdr:x>
      <cdr:y>0.158564814814815</cdr:y>
    </cdr:from>
    <cdr:to>
      <cdr:x>0.529078947368421</cdr:x>
      <cdr:y>0.248611111111111</cdr:y>
    </cdr:to>
    <cdr:sp>
      <cdr:nvSpPr>
        <cdr:cNvPr id="2" name="矩形 1"/>
        <cdr:cNvSpPr/>
      </cdr:nvSpPr>
      <cdr:spPr xmlns:a="http://schemas.openxmlformats.org/drawingml/2006/main">
        <a:xfrm xmlns:a="http://schemas.openxmlformats.org/drawingml/2006/main">
          <a:off x="1704340" y="434975"/>
          <a:ext cx="848995" cy="247015"/>
        </a:xfrm>
        <a:prstGeom xmlns:a="http://schemas.openxmlformats.org/drawingml/2006/main" prst="rect">
          <a:avLst/>
        </a:prstGeom>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1100"/>
            <a:t>基本支出</a:t>
          </a:r>
          <a:endParaRPr lang="zh-CN" altLang="en-US" sz="1100"/>
        </a:p>
      </cdr:txBody>
    </cdr:sp>
  </cdr:relSizeAnchor>
  <cdr:relSizeAnchor xmlns:cdr="http://schemas.openxmlformats.org/drawingml/2006/chartDrawing">
    <cdr:from>
      <cdr:x>0.671052631578947</cdr:x>
      <cdr:y>0.162037037037037</cdr:y>
    </cdr:from>
    <cdr:to>
      <cdr:x>0.828947368421053</cdr:x>
      <cdr:y>0.24537037037037</cdr:y>
    </cdr:to>
    <cdr:sp>
      <cdr:nvSpPr>
        <cdr:cNvPr id="3" name="矩形 2"/>
        <cdr:cNvSpPr/>
      </cdr:nvSpPr>
      <cdr:spPr xmlns:a="http://schemas.openxmlformats.org/drawingml/2006/main">
        <a:xfrm xmlns:a="http://schemas.openxmlformats.org/drawingml/2006/main">
          <a:off x="3238500" y="444500"/>
          <a:ext cx="762000" cy="228600"/>
        </a:xfrm>
        <a:prstGeom xmlns:a="http://schemas.openxmlformats.org/drawingml/2006/main" prst="rect">
          <a:avLst/>
        </a:prstGeom>
        <a:solidFill>
          <a:schemeClr val="accent2"/>
        </a:solidFill>
      </cdr:spPr>
      <cdr:style>
        <a:lnRef xmlns:a="http://schemas.openxmlformats.org/drawingml/2006/main" idx="2">
          <a:schemeClr val="accent1">
            <a:lumMod val="75000"/>
          </a:schemeClr>
        </a:lnRef>
        <a:fillRef xmlns:a="http://schemas.openxmlformats.org/drawingml/2006/main" idx="1">
          <a:schemeClr val="accent1"/>
        </a:fillRef>
        <a:effectRef xmlns:a="http://schemas.openxmlformats.org/drawingml/2006/main" idx="0">
          <a:srgbClr val="FFFFFF"/>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zh-CN" altLang="en-US" sz="1100">
              <a:solidFill>
                <a:schemeClr val="bg1"/>
              </a:solidFill>
            </a:rPr>
            <a:t>项目支出</a:t>
          </a:r>
          <a:endParaRPr lang="zh-CN" altLang="en-US" sz="1100">
            <a:solidFill>
              <a:schemeClr val="bg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3750d335-71e6-44db-babc-6a92d54d22fc</errorID>
      <errorWord>法律、法规</errorWord>
      <group>L1_Word</group>
      <groupName>字词问题</groupName>
      <ability>L2_Typo</ability>
      <abilityName>字词错误</abilityName>
      <candidateList>
        <item>法律法规</item>
      </candidateList>
      <explain/>
      <paraID>1A3BE8D4</paraID>
      <start>42</start>
      <end>46</end>
      <status>modified</status>
      <modifiedWord>法律法规</modifiedWord>
      <trackRevisions>false</trackRevisions>
    </reviewItem>
    <reviewItem>
      <errorID>a0d9fe28-6db1-4e0c-b07c-80370dcf0893</errorID>
      <errorWord>。。</errorWord>
      <group>L1_Punc</group>
      <groupName>标点问题</groupName>
      <ability>L2_Punc</ability>
      <abilityName>标点符号检查</abilityName>
      <candidateList>
        <item>。</item>
      </candidateList>
      <explain/>
      <paraID>79B5894A</paraID>
      <start>64</start>
      <end>65</end>
      <status>modified</status>
      <modifiedWord>。</modifiedWord>
      <trackRevisions>false</trackRevisions>
    </reviewItem>
    <reviewItem>
      <errorID>23d18464-9291-4bd6-b750-de9528b38857</errorID>
      <errorWord>:</errorWord>
      <group>L1_Format</group>
      <groupName>格式问题</groupName>
      <ability>L2_HalfPunc</ability>
      <abilityName>全半角检查</abilityName>
      <candidateList>
        <item>：</item>
      </candidateList>
      <explain>文本全半角错误。</explain>
      <paraID>2947BF8F</paraID>
      <start>31</start>
      <end>32</end>
      <status>modified</status>
      <modifiedWord>：</modifiedWord>
      <trackRevisions>false</trackRevisions>
    </reviewItem>
    <reviewItem>
      <errorID>7da93e12-23e8-4185-ae69-53de4756a198</errorID>
      <errorWord>巩固脱贫攻坚成果</errorWord>
      <group>L1_Word</group>
      <groupName>字词问题</groupName>
      <ability>L2_Typo</ability>
      <abilityName>字词错误</abilityName>
      <candidateList>
        <item>巩固拓展脱贫攻坚成果</item>
      </candidateList>
      <explain/>
      <paraID>5DD1AAA2</paraID>
      <start>10</start>
      <end>18</end>
      <status>ignored</status>
      <modifiedWord/>
      <trackRevisions>false</trackRevisions>
    </reviewItem>
    <reviewItem>
      <errorID>c867a877-34b0-44de-93de-1808aec133cf</errorID>
      <errorWord>巩固脱贫攻坚成果</errorWord>
      <group>L1_Word</group>
      <groupName>字词问题</groupName>
      <ability>L2_Typo</ability>
      <abilityName>字词错误</abilityName>
      <candidateList>
        <item>巩固拓展脱贫攻坚成果</item>
      </candidateList>
      <explain/>
      <paraID>5DD1AAA2</paraID>
      <start>29</start>
      <end>37</end>
      <status>ignored</status>
      <modifiedWord/>
      <trackRevisions>false</trackRevisions>
    </reviewItem>
    <reviewItem>
      <errorID>4f61c85c-99d8-485c-8f87-616c6d415901</errorID>
      <errorWord>，</errorWord>
      <group>L1_Word</group>
      <groupName>字词问题</groupName>
      <ability>L2_Typo</ability>
      <abilityName>字词错误</abilityName>
      <candidateList>
        <item>，在</item>
      </candidateList>
      <explain/>
      <paraID> 999EF8F</paraID>
      <start>75</start>
      <end>77</end>
      <status>modified</status>
      <modifiedWord>，在</modifiedWord>
      <trackRevisions>false</trackRevisions>
    </reviewItem>
    <reviewItem>
      <errorID>084d3e3b-1abe-4e34-b4b6-42276141a635</errorID>
      <errorWord>好的</errorWord>
      <group>L1_Word</group>
      <groupName>字词问题</groupName>
      <ability>L2_Typo</ability>
      <abilityName>字词错误</abilityName>
      <candidateList>
        <item>好地</item>
      </candidateList>
      <explain/>
      <paraID>6EDFDDD6</paraID>
      <start>103</start>
      <end>105</end>
      <status>modified</status>
      <modifiedWord>好地</modifiedWord>
      <trackRevisions>false</trackRevisions>
    </reviewItem>
    <reviewItem>
      <errorID>de4e7277-6f56-45df-8437-0cd20018230c</errorID>
      <errorWord>巩固脱贫攻坚成果</errorWord>
      <group>L1_Word</group>
      <groupName>字词问题</groupName>
      <ability>L2_Typo</ability>
      <abilityName>字词错误</abilityName>
      <candidateList>
        <item>巩固拓展脱贫攻坚成果</item>
      </candidateList>
      <explain/>
      <paraID>5E543E5A</paraID>
      <start>11</start>
      <end>19</end>
      <status>ignored</status>
      <modifiedWord/>
      <trackRevisions>false</trackRevisions>
    </reviewItem>
    <reviewItem>
      <errorID>7bf17a5f-2cb7-4c52-8a4d-c4be74919945</errorID>
      <errorWord>巩固脱贫攻坚成果</errorWord>
      <group>L1_Word</group>
      <groupName>字词问题</groupName>
      <ability>L2_Typo</ability>
      <abilityName>字词错误</abilityName>
      <candidateList>
        <item>巩固拓展脱贫攻坚成果</item>
      </candidateList>
      <explain/>
      <paraID>5E543E5A</paraID>
      <start>30</start>
      <end>38</end>
      <status>ignored</status>
      <modifiedWord/>
      <trackRevisions>false</trackRevisions>
    </reviewItem>
    <reviewItem>
      <errorID>022a33a1-ce34-44a7-9e18-c14615fe5f84</errorID>
      <errorWord>巩固脱贫攻坚成果</errorWord>
      <group>L1_Word</group>
      <groupName>字词问题</groupName>
      <ability>L2_Typo</ability>
      <abilityName>字词错误</abilityName>
      <candidateList>
        <item>巩固拓展脱贫攻坚成果</item>
      </candidateList>
      <explain/>
      <paraID>5E543E5A</paraID>
      <start>53</start>
      <end>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dd694-ab33-441c-ada5-55066d59577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5419</Words>
  <Characters>5916</Characters>
  <Lines>61</Lines>
  <Paragraphs>17</Paragraphs>
  <TotalTime>26</TotalTime>
  <ScaleCrop>false</ScaleCrop>
  <LinksUpToDate>false</LinksUpToDate>
  <CharactersWithSpaces>5977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2025-12-04T01:00:55Z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8234FB9A56034BBEAD30A6242979A5D6_13</vt:lpwstr>
  </property>
  <property fmtid="{D5CDD505-2E9C-101B-9397-08002B2CF9AE}" pid="4" name="KSOTemplateDocerSaveRecord">
    <vt:lpwstr>eyJoZGlkIjoiNzI2ZGI0OGUzMDAzMzk0YmE1OTYyMDVlZGMwMmYyODYiLCJ1c2VySWQiOiIxMTM5NjM2MTk5In0=</vt:lpwstr>
  </property>
</Properties>
</file>