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ADC4A">
      <w:pPr>
        <w:spacing w:line="600" w:lineRule="exact"/>
        <w:jc w:val="left"/>
        <w:outlineLvl w:val="9"/>
        <w:rPr>
          <w:rFonts w:ascii="方正小标宋简体" w:hAnsi="宋体" w:eastAsia="方正小标宋简体"/>
          <w:szCs w:val="21"/>
        </w:rPr>
      </w:pPr>
      <w:bookmarkStart w:id="0" w:name="_Toc15306267"/>
    </w:p>
    <w:p w14:paraId="358C00CD">
      <w:pPr>
        <w:pStyle w:val="5"/>
        <w:spacing w:before="93"/>
      </w:pPr>
    </w:p>
    <w:p w14:paraId="52DB256A">
      <w:pPr>
        <w:spacing w:line="600" w:lineRule="exact"/>
        <w:jc w:val="center"/>
        <w:outlineLvl w:val="9"/>
        <w:rPr>
          <w:rFonts w:ascii="方正小标宋简体" w:hAnsi="宋体" w:eastAsia="方正小标宋简体"/>
          <w:sz w:val="72"/>
          <w:szCs w:val="72"/>
        </w:rPr>
      </w:pPr>
    </w:p>
    <w:p w14:paraId="1534FD4B">
      <w:pPr>
        <w:spacing w:line="600" w:lineRule="exact"/>
        <w:jc w:val="center"/>
        <w:outlineLvl w:val="9"/>
        <w:rPr>
          <w:rFonts w:ascii="方正小标宋简体" w:hAnsi="宋体" w:eastAsia="方正小标宋简体"/>
          <w:sz w:val="72"/>
          <w:szCs w:val="72"/>
        </w:rPr>
      </w:pPr>
    </w:p>
    <w:p w14:paraId="034F3B89">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185"/>
      <w:bookmarkStart w:id="2" w:name="_Toc15396475"/>
      <w:bookmarkStart w:id="3" w:name="_Toc15378441"/>
      <w:bookmarkStart w:id="4" w:name="_Toc15377193"/>
      <w:bookmarkStart w:id="5" w:name="_Toc15396597"/>
      <w:bookmarkStart w:id="6" w:name="_Toc1537742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295577AD">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7" w:name="_Toc759"/>
      <w:bookmarkStart w:id="8" w:name="_Toc15378442"/>
      <w:bookmarkStart w:id="9" w:name="_Toc15377426"/>
      <w:bookmarkStart w:id="10" w:name="_Toc15396598"/>
      <w:bookmarkStart w:id="11" w:name="_Toc15377194"/>
      <w:bookmarkStart w:id="12" w:name="_Toc15396476"/>
      <w:bookmarkStart w:id="13" w:name="_Toc15306268"/>
      <w:r>
        <w:rPr>
          <w:rFonts w:hint="eastAsia" w:ascii="方正小标宋简体" w:hAnsi="方正小标宋简体" w:eastAsia="方正小标宋简体" w:cs="方正小标宋简体"/>
          <w:sz w:val="72"/>
          <w:szCs w:val="72"/>
        </w:rPr>
        <w:t>峨边彝族自治县卫生和计划生育监督执法大队</w:t>
      </w:r>
      <w:bookmarkEnd w:id="7"/>
    </w:p>
    <w:p w14:paraId="1156F3EE">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23345"/>
      <w:r>
        <w:rPr>
          <w:rFonts w:hint="eastAsia" w:ascii="方正小标宋简体" w:hAnsi="方正小标宋简体" w:eastAsia="方正小标宋简体" w:cs="方正小标宋简体"/>
          <w:sz w:val="72"/>
          <w:szCs w:val="72"/>
        </w:rPr>
        <w:t>单位决算</w:t>
      </w:r>
      <w:bookmarkEnd w:id="8"/>
      <w:bookmarkEnd w:id="9"/>
      <w:bookmarkEnd w:id="10"/>
      <w:bookmarkEnd w:id="11"/>
      <w:bookmarkEnd w:id="12"/>
      <w:bookmarkEnd w:id="13"/>
      <w:bookmarkEnd w:id="14"/>
    </w:p>
    <w:p w14:paraId="7F879CB7">
      <w:pPr>
        <w:adjustRightInd w:val="0"/>
        <w:snapToGrid w:val="0"/>
        <w:spacing w:line="360" w:lineRule="auto"/>
        <w:jc w:val="center"/>
        <w:outlineLvl w:val="9"/>
        <w:rPr>
          <w:rFonts w:ascii="方正小标宋简体" w:hAnsi="宋体" w:eastAsia="方正小标宋简体"/>
          <w:sz w:val="52"/>
          <w:szCs w:val="52"/>
        </w:rPr>
      </w:pPr>
    </w:p>
    <w:p w14:paraId="76D82F8E">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4631D601">
      <w:pPr>
        <w:widowControl/>
        <w:jc w:val="center"/>
        <w:rPr>
          <w:rFonts w:ascii="黑体" w:hAnsi="黑体" w:eastAsia="黑体" w:cstheme="minorBidi"/>
          <w:sz w:val="28"/>
          <w:szCs w:val="28"/>
        </w:rPr>
      </w:pPr>
    </w:p>
    <w:p w14:paraId="2786EF11">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w:t>
      </w:r>
    </w:p>
    <w:p w14:paraId="0EE4F5A4"/>
    <w:sdt>
      <w:sdtPr>
        <w:rPr>
          <w:rFonts w:ascii="宋体" w:hAnsi="宋体" w:eastAsia="宋体" w:cs="Times New Roman"/>
          <w:kern w:val="2"/>
          <w:sz w:val="21"/>
          <w:szCs w:val="24"/>
          <w:lang w:val="en-US" w:eastAsia="zh-CN" w:bidi="ar-SA"/>
        </w:rPr>
        <w:id w:val="147478033"/>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14:paraId="366D8281">
          <w:pPr>
            <w:spacing w:before="0" w:beforeLines="0" w:after="0" w:afterLines="0" w:line="240" w:lineRule="auto"/>
            <w:ind w:left="0" w:leftChars="0" w:right="0" w:rightChars="0" w:firstLine="0" w:firstLineChars="0"/>
            <w:jc w:val="center"/>
            <w:rPr>
              <w:b/>
            </w:rPr>
          </w:pPr>
          <w:r>
            <w:rPr>
              <w:sz w:val="24"/>
            </w:rPr>
            <w:fldChar w:fldCharType="begin"/>
          </w:r>
          <w:r>
            <w:rPr>
              <w:sz w:val="24"/>
            </w:rPr>
            <w:instrText xml:space="preserve">TOC \o "1-2" \h \u </w:instrText>
          </w:r>
          <w:r>
            <w:rPr>
              <w:sz w:val="24"/>
            </w:rPr>
            <w:fldChar w:fldCharType="separate"/>
          </w:r>
        </w:p>
        <w:p w14:paraId="00F34217">
          <w:pPr>
            <w:pStyle w:val="33"/>
            <w:tabs>
              <w:tab w:val="right" w:leader="dot" w:pos="8306"/>
            </w:tabs>
            <w:rPr>
              <w:b/>
            </w:rPr>
          </w:pPr>
          <w:r>
            <w:rPr>
              <w:b/>
            </w:rPr>
            <w:fldChar w:fldCharType="begin"/>
          </w:r>
          <w:r>
            <w:rPr>
              <w:b/>
            </w:rPr>
            <w:instrText xml:space="preserve"> HYPERLINK \l _Toc24565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_Toc24565 \h </w:instrText>
          </w:r>
          <w:r>
            <w:rPr>
              <w:b/>
            </w:rPr>
            <w:fldChar w:fldCharType="separate"/>
          </w:r>
          <w:r>
            <w:rPr>
              <w:b/>
            </w:rPr>
            <w:t>3</w:t>
          </w:r>
          <w:r>
            <w:rPr>
              <w:b/>
            </w:rPr>
            <w:fldChar w:fldCharType="end"/>
          </w:r>
          <w:r>
            <w:rPr>
              <w:b/>
            </w:rPr>
            <w:fldChar w:fldCharType="end"/>
          </w:r>
        </w:p>
        <w:p w14:paraId="3985F637">
          <w:pPr>
            <w:pStyle w:val="34"/>
            <w:tabs>
              <w:tab w:val="right" w:leader="dot" w:pos="8306"/>
            </w:tabs>
          </w:pPr>
          <w:r>
            <w:fldChar w:fldCharType="begin"/>
          </w:r>
          <w:r>
            <w:instrText xml:space="preserve"> HYPERLINK \l _Toc6273 </w:instrText>
          </w:r>
          <w:r>
            <w:fldChar w:fldCharType="separate"/>
          </w:r>
          <w:r>
            <w:rPr>
              <w:rFonts w:hint="eastAsia" w:ascii="黑体" w:hAnsi="黑体" w:eastAsia="黑体"/>
              <w:bCs w:val="0"/>
            </w:rPr>
            <w:t>一、 主要职责</w:t>
          </w:r>
          <w:r>
            <w:tab/>
          </w:r>
          <w:r>
            <w:fldChar w:fldCharType="begin"/>
          </w:r>
          <w:r>
            <w:instrText xml:space="preserve"> PAGEREF _Toc6273 \h </w:instrText>
          </w:r>
          <w:r>
            <w:fldChar w:fldCharType="separate"/>
          </w:r>
          <w:r>
            <w:t>3</w:t>
          </w:r>
          <w:r>
            <w:fldChar w:fldCharType="end"/>
          </w:r>
          <w:r>
            <w:fldChar w:fldCharType="end"/>
          </w:r>
        </w:p>
        <w:p w14:paraId="188F5B9C">
          <w:pPr>
            <w:pStyle w:val="34"/>
            <w:tabs>
              <w:tab w:val="right" w:leader="dot" w:pos="8306"/>
            </w:tabs>
          </w:pPr>
          <w:r>
            <w:fldChar w:fldCharType="begin"/>
          </w:r>
          <w:r>
            <w:instrText xml:space="preserve"> HYPERLINK \l _Toc3265 </w:instrText>
          </w:r>
          <w:r>
            <w:fldChar w:fldCharType="separate"/>
          </w:r>
          <w:r>
            <w:rPr>
              <w:rFonts w:hint="eastAsia" w:ascii="黑体" w:hAnsi="黑体" w:eastAsia="黑体"/>
            </w:rPr>
            <w:t>二、机构设置</w:t>
          </w:r>
          <w:r>
            <w:tab/>
          </w:r>
          <w:r>
            <w:fldChar w:fldCharType="begin"/>
          </w:r>
          <w:r>
            <w:instrText xml:space="preserve"> PAGEREF _Toc3265 \h </w:instrText>
          </w:r>
          <w:r>
            <w:fldChar w:fldCharType="separate"/>
          </w:r>
          <w:r>
            <w:t>3</w:t>
          </w:r>
          <w:r>
            <w:fldChar w:fldCharType="end"/>
          </w:r>
          <w:r>
            <w:fldChar w:fldCharType="end"/>
          </w:r>
        </w:p>
        <w:p w14:paraId="42204730">
          <w:pPr>
            <w:pStyle w:val="33"/>
            <w:tabs>
              <w:tab w:val="right" w:leader="dot" w:pos="8306"/>
            </w:tabs>
            <w:rPr>
              <w:b/>
            </w:rPr>
          </w:pPr>
          <w:r>
            <w:rPr>
              <w:b/>
            </w:rPr>
            <w:fldChar w:fldCharType="begin"/>
          </w:r>
          <w:r>
            <w:rPr>
              <w:b/>
            </w:rPr>
            <w:instrText xml:space="preserve"> HYPERLINK \l _Toc16137 </w:instrText>
          </w:r>
          <w:r>
            <w:rPr>
              <w:b/>
            </w:rPr>
            <w:fldChar w:fldCharType="separate"/>
          </w:r>
          <w:r>
            <w:rPr>
              <w:rFonts w:hint="eastAsia" w:ascii="黑体" w:hAnsi="黑体" w:eastAsia="黑体"/>
              <w:b/>
            </w:rPr>
            <w:t>第二部分 2023年度</w:t>
          </w:r>
          <w:r>
            <w:rPr>
              <w:rFonts w:hint="eastAsia" w:ascii="黑体" w:hAnsi="黑体" w:eastAsia="黑体"/>
              <w:b/>
              <w:bCs/>
            </w:rPr>
            <w:t>单位决算情况说明</w:t>
          </w:r>
          <w:r>
            <w:rPr>
              <w:b/>
            </w:rPr>
            <w:tab/>
          </w:r>
          <w:r>
            <w:rPr>
              <w:b/>
            </w:rPr>
            <w:fldChar w:fldCharType="begin"/>
          </w:r>
          <w:r>
            <w:rPr>
              <w:b/>
            </w:rPr>
            <w:instrText xml:space="preserve"> PAGEREF _Toc16137 \h </w:instrText>
          </w:r>
          <w:r>
            <w:rPr>
              <w:b/>
            </w:rPr>
            <w:fldChar w:fldCharType="separate"/>
          </w:r>
          <w:r>
            <w:rPr>
              <w:b/>
            </w:rPr>
            <w:t>4</w:t>
          </w:r>
          <w:r>
            <w:rPr>
              <w:b/>
            </w:rPr>
            <w:fldChar w:fldCharType="end"/>
          </w:r>
          <w:r>
            <w:rPr>
              <w:b/>
            </w:rPr>
            <w:fldChar w:fldCharType="end"/>
          </w:r>
        </w:p>
        <w:p w14:paraId="082E3B44">
          <w:pPr>
            <w:pStyle w:val="34"/>
            <w:tabs>
              <w:tab w:val="right" w:leader="dot" w:pos="8306"/>
            </w:tabs>
          </w:pPr>
          <w:r>
            <w:fldChar w:fldCharType="begin"/>
          </w:r>
          <w:r>
            <w:instrText xml:space="preserve"> HYPERLINK \l _Toc263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_Toc263 \h </w:instrText>
          </w:r>
          <w:r>
            <w:fldChar w:fldCharType="separate"/>
          </w:r>
          <w:r>
            <w:t>4</w:t>
          </w:r>
          <w:r>
            <w:fldChar w:fldCharType="end"/>
          </w:r>
          <w:r>
            <w:fldChar w:fldCharType="end"/>
          </w:r>
        </w:p>
        <w:p w14:paraId="52F5EFD9">
          <w:pPr>
            <w:pStyle w:val="34"/>
            <w:tabs>
              <w:tab w:val="right" w:leader="dot" w:pos="8306"/>
            </w:tabs>
          </w:pPr>
          <w:r>
            <w:fldChar w:fldCharType="begin"/>
          </w:r>
          <w:r>
            <w:instrText xml:space="preserve"> HYPERLINK \l _Toc24251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_Toc24251 \h </w:instrText>
          </w:r>
          <w:r>
            <w:fldChar w:fldCharType="separate"/>
          </w:r>
          <w:r>
            <w:t>4</w:t>
          </w:r>
          <w:r>
            <w:fldChar w:fldCharType="end"/>
          </w:r>
          <w:r>
            <w:fldChar w:fldCharType="end"/>
          </w:r>
        </w:p>
        <w:p w14:paraId="0F3236A9">
          <w:pPr>
            <w:pStyle w:val="34"/>
            <w:tabs>
              <w:tab w:val="right" w:leader="dot" w:pos="8306"/>
            </w:tabs>
          </w:pPr>
          <w:r>
            <w:fldChar w:fldCharType="begin"/>
          </w:r>
          <w:r>
            <w:instrText xml:space="preserve"> HYPERLINK \l _Toc15528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_Toc15528 \h </w:instrText>
          </w:r>
          <w:r>
            <w:fldChar w:fldCharType="separate"/>
          </w:r>
          <w:r>
            <w:t>5</w:t>
          </w:r>
          <w:r>
            <w:fldChar w:fldCharType="end"/>
          </w:r>
          <w:r>
            <w:fldChar w:fldCharType="end"/>
          </w:r>
        </w:p>
        <w:p w14:paraId="1A1BBB04">
          <w:pPr>
            <w:pStyle w:val="34"/>
            <w:tabs>
              <w:tab w:val="right" w:leader="dot" w:pos="8306"/>
            </w:tabs>
          </w:pPr>
          <w:r>
            <w:fldChar w:fldCharType="begin"/>
          </w:r>
          <w:r>
            <w:instrText xml:space="preserve"> HYPERLINK \l _Toc18604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_Toc18604 \h </w:instrText>
          </w:r>
          <w:r>
            <w:fldChar w:fldCharType="separate"/>
          </w:r>
          <w:r>
            <w:t>6</w:t>
          </w:r>
          <w:r>
            <w:fldChar w:fldCharType="end"/>
          </w:r>
          <w:r>
            <w:fldChar w:fldCharType="end"/>
          </w:r>
        </w:p>
        <w:p w14:paraId="32695CF0">
          <w:pPr>
            <w:pStyle w:val="34"/>
            <w:tabs>
              <w:tab w:val="right" w:leader="dot" w:pos="8306"/>
            </w:tabs>
          </w:pPr>
          <w:r>
            <w:fldChar w:fldCharType="begin"/>
          </w:r>
          <w:r>
            <w:instrText xml:space="preserve"> HYPERLINK \l _Toc7307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_Toc7307 \h </w:instrText>
          </w:r>
          <w:r>
            <w:fldChar w:fldCharType="separate"/>
          </w:r>
          <w:r>
            <w:t>6</w:t>
          </w:r>
          <w:r>
            <w:fldChar w:fldCharType="end"/>
          </w:r>
          <w:r>
            <w:fldChar w:fldCharType="end"/>
          </w:r>
        </w:p>
        <w:p w14:paraId="3FC2FBC8">
          <w:pPr>
            <w:pStyle w:val="34"/>
            <w:tabs>
              <w:tab w:val="right" w:leader="dot" w:pos="8306"/>
            </w:tabs>
          </w:pPr>
          <w:r>
            <w:fldChar w:fldCharType="begin"/>
          </w:r>
          <w:r>
            <w:instrText xml:space="preserve"> HYPERLINK \l _Toc10734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_Toc10734 \h </w:instrText>
          </w:r>
          <w:r>
            <w:fldChar w:fldCharType="separate"/>
          </w:r>
          <w:r>
            <w:t>9</w:t>
          </w:r>
          <w:r>
            <w:fldChar w:fldCharType="end"/>
          </w:r>
          <w:r>
            <w:fldChar w:fldCharType="end"/>
          </w:r>
        </w:p>
        <w:p w14:paraId="2AB4CFCA">
          <w:pPr>
            <w:pStyle w:val="34"/>
            <w:tabs>
              <w:tab w:val="right" w:leader="dot" w:pos="8306"/>
            </w:tabs>
          </w:pPr>
          <w:r>
            <w:fldChar w:fldCharType="begin"/>
          </w:r>
          <w:r>
            <w:instrText xml:space="preserve"> HYPERLINK \l _Toc31628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_Toc31628 \h </w:instrText>
          </w:r>
          <w:r>
            <w:fldChar w:fldCharType="separate"/>
          </w:r>
          <w:r>
            <w:t>9</w:t>
          </w:r>
          <w:r>
            <w:fldChar w:fldCharType="end"/>
          </w:r>
          <w:r>
            <w:fldChar w:fldCharType="end"/>
          </w:r>
        </w:p>
        <w:p w14:paraId="3FC2C0C8">
          <w:pPr>
            <w:pStyle w:val="34"/>
            <w:tabs>
              <w:tab w:val="right" w:leader="dot" w:pos="8306"/>
            </w:tabs>
          </w:pPr>
          <w:r>
            <w:fldChar w:fldCharType="begin"/>
          </w:r>
          <w:r>
            <w:instrText xml:space="preserve"> HYPERLINK \l _Toc29567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_Toc29567 \h </w:instrText>
          </w:r>
          <w:r>
            <w:fldChar w:fldCharType="separate"/>
          </w:r>
          <w:r>
            <w:t>11</w:t>
          </w:r>
          <w:r>
            <w:fldChar w:fldCharType="end"/>
          </w:r>
          <w:r>
            <w:fldChar w:fldCharType="end"/>
          </w:r>
        </w:p>
        <w:p w14:paraId="70D0A524">
          <w:pPr>
            <w:pStyle w:val="34"/>
            <w:tabs>
              <w:tab w:val="right" w:leader="dot" w:pos="8306"/>
            </w:tabs>
          </w:pPr>
          <w:r>
            <w:fldChar w:fldCharType="begin"/>
          </w:r>
          <w:r>
            <w:instrText xml:space="preserve"> HYPERLINK \l _Toc25331 </w:instrText>
          </w:r>
          <w:r>
            <w:fldChar w:fldCharType="separate"/>
          </w:r>
          <w:r>
            <w:rPr>
              <w:rFonts w:hint="eastAsia" w:ascii="黑体" w:hAnsi="黑体" w:eastAsia="黑体"/>
            </w:rPr>
            <w:t>九、 国有资本经营预算支出决算情况说明</w:t>
          </w:r>
          <w:r>
            <w:tab/>
          </w:r>
          <w:r>
            <w:fldChar w:fldCharType="begin"/>
          </w:r>
          <w:r>
            <w:instrText xml:space="preserve"> PAGEREF _Toc25331 \h </w:instrText>
          </w:r>
          <w:r>
            <w:fldChar w:fldCharType="separate"/>
          </w:r>
          <w:r>
            <w:t>11</w:t>
          </w:r>
          <w:r>
            <w:fldChar w:fldCharType="end"/>
          </w:r>
          <w:r>
            <w:fldChar w:fldCharType="end"/>
          </w:r>
        </w:p>
        <w:p w14:paraId="4A6B67B4">
          <w:pPr>
            <w:pStyle w:val="34"/>
            <w:tabs>
              <w:tab w:val="right" w:leader="dot" w:pos="8306"/>
            </w:tabs>
          </w:pPr>
          <w:r>
            <w:fldChar w:fldCharType="begin"/>
          </w:r>
          <w:r>
            <w:instrText xml:space="preserve"> HYPERLINK \l _Toc30113 </w:instrText>
          </w:r>
          <w:r>
            <w:fldChar w:fldCharType="separate"/>
          </w:r>
          <w:r>
            <w:rPr>
              <w:rFonts w:hint="eastAsia" w:ascii="黑体" w:hAnsi="黑体" w:eastAsia="黑体"/>
            </w:rPr>
            <w:t>十、 其他重要事项的情况说明</w:t>
          </w:r>
          <w:r>
            <w:tab/>
          </w:r>
          <w:r>
            <w:fldChar w:fldCharType="begin"/>
          </w:r>
          <w:r>
            <w:instrText xml:space="preserve"> PAGEREF _Toc30113 \h </w:instrText>
          </w:r>
          <w:r>
            <w:fldChar w:fldCharType="separate"/>
          </w:r>
          <w:r>
            <w:t>11</w:t>
          </w:r>
          <w:r>
            <w:fldChar w:fldCharType="end"/>
          </w:r>
          <w:r>
            <w:fldChar w:fldCharType="end"/>
          </w:r>
        </w:p>
        <w:p w14:paraId="65ACEE87">
          <w:pPr>
            <w:pStyle w:val="33"/>
            <w:tabs>
              <w:tab w:val="right" w:leader="dot" w:pos="8306"/>
            </w:tabs>
          </w:pPr>
          <w:r>
            <w:rPr>
              <w:b/>
            </w:rPr>
            <w:fldChar w:fldCharType="begin"/>
          </w:r>
          <w:r>
            <w:rPr>
              <w:b/>
            </w:rPr>
            <w:instrText xml:space="preserve"> HYPERLINK \l _Toc9644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_Toc9644 \h </w:instrText>
          </w:r>
          <w:r>
            <w:rPr>
              <w:b/>
            </w:rPr>
            <w:fldChar w:fldCharType="separate"/>
          </w:r>
          <w:r>
            <w:rPr>
              <w:b/>
            </w:rPr>
            <w:t>13</w:t>
          </w:r>
          <w:r>
            <w:rPr>
              <w:b/>
            </w:rPr>
            <w:fldChar w:fldCharType="end"/>
          </w:r>
          <w:r>
            <w:rPr>
              <w:b/>
            </w:rPr>
            <w:fldChar w:fldCharType="end"/>
          </w:r>
        </w:p>
        <w:p w14:paraId="30E7BC81">
          <w:pPr>
            <w:pStyle w:val="33"/>
            <w:tabs>
              <w:tab w:val="right" w:leader="dot" w:pos="8306"/>
            </w:tabs>
          </w:pPr>
          <w:r>
            <w:rPr>
              <w:b/>
            </w:rPr>
            <w:fldChar w:fldCharType="begin"/>
          </w:r>
          <w:r>
            <w:rPr>
              <w:b/>
            </w:rPr>
            <w:instrText xml:space="preserve"> HYPERLINK \l _Toc11175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_Toc11175 \h </w:instrText>
          </w:r>
          <w:r>
            <w:rPr>
              <w:b/>
            </w:rPr>
            <w:fldChar w:fldCharType="separate"/>
          </w:r>
          <w:r>
            <w:rPr>
              <w:b/>
            </w:rPr>
            <w:t>16</w:t>
          </w:r>
          <w:r>
            <w:rPr>
              <w:b/>
            </w:rPr>
            <w:fldChar w:fldCharType="end"/>
          </w:r>
          <w:r>
            <w:rPr>
              <w:b/>
            </w:rPr>
            <w:fldChar w:fldCharType="end"/>
          </w:r>
        </w:p>
        <w:p w14:paraId="4061BB5F">
          <w:pPr>
            <w:pStyle w:val="33"/>
            <w:tabs>
              <w:tab w:val="right" w:leader="dot" w:pos="8306"/>
            </w:tabs>
            <w:rPr>
              <w:b/>
            </w:rPr>
          </w:pPr>
          <w:r>
            <w:rPr>
              <w:b/>
            </w:rPr>
            <w:fldChar w:fldCharType="begin"/>
          </w:r>
          <w:r>
            <w:rPr>
              <w:b/>
            </w:rPr>
            <w:instrText xml:space="preserve"> HYPERLINK \l _Toc27470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_Toc27470 \h </w:instrText>
          </w:r>
          <w:r>
            <w:rPr>
              <w:b/>
            </w:rPr>
            <w:fldChar w:fldCharType="separate"/>
          </w:r>
          <w:r>
            <w:rPr>
              <w:b/>
            </w:rPr>
            <w:t>17</w:t>
          </w:r>
          <w:r>
            <w:rPr>
              <w:b/>
            </w:rPr>
            <w:fldChar w:fldCharType="end"/>
          </w:r>
          <w:r>
            <w:rPr>
              <w:b/>
            </w:rPr>
            <w:fldChar w:fldCharType="end"/>
          </w:r>
        </w:p>
        <w:p w14:paraId="1B0AC6E9">
          <w:pPr>
            <w:pStyle w:val="34"/>
            <w:tabs>
              <w:tab w:val="right" w:leader="dot" w:pos="8306"/>
            </w:tabs>
          </w:pPr>
          <w:r>
            <w:fldChar w:fldCharType="begin"/>
          </w:r>
          <w:r>
            <w:instrText xml:space="preserve"> HYPERLINK \l _Toc19274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_Toc19274 \h </w:instrText>
          </w:r>
          <w:r>
            <w:fldChar w:fldCharType="separate"/>
          </w:r>
          <w:r>
            <w:t>17</w:t>
          </w:r>
          <w:r>
            <w:fldChar w:fldCharType="end"/>
          </w:r>
          <w:r>
            <w:fldChar w:fldCharType="end"/>
          </w:r>
        </w:p>
        <w:p w14:paraId="743919F2">
          <w:pPr>
            <w:pStyle w:val="34"/>
            <w:tabs>
              <w:tab w:val="right" w:leader="dot" w:pos="8306"/>
            </w:tabs>
          </w:pPr>
          <w:r>
            <w:fldChar w:fldCharType="begin"/>
          </w:r>
          <w:r>
            <w:instrText xml:space="preserve"> HYPERLINK \l _Toc29918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_Toc29918 \h </w:instrText>
          </w:r>
          <w:r>
            <w:fldChar w:fldCharType="separate"/>
          </w:r>
          <w:r>
            <w:t>17</w:t>
          </w:r>
          <w:r>
            <w:fldChar w:fldCharType="end"/>
          </w:r>
          <w:r>
            <w:fldChar w:fldCharType="end"/>
          </w:r>
        </w:p>
        <w:p w14:paraId="68EA8F7B">
          <w:pPr>
            <w:pStyle w:val="34"/>
            <w:tabs>
              <w:tab w:val="right" w:leader="dot" w:pos="8306"/>
            </w:tabs>
          </w:pPr>
          <w:r>
            <w:fldChar w:fldCharType="begin"/>
          </w:r>
          <w:r>
            <w:instrText xml:space="preserve"> HYPERLINK \l _Toc18557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_Toc18557 \h </w:instrText>
          </w:r>
          <w:r>
            <w:fldChar w:fldCharType="separate"/>
          </w:r>
          <w:r>
            <w:t>17</w:t>
          </w:r>
          <w:r>
            <w:fldChar w:fldCharType="end"/>
          </w:r>
          <w:r>
            <w:fldChar w:fldCharType="end"/>
          </w:r>
        </w:p>
        <w:p w14:paraId="59A8E50C">
          <w:pPr>
            <w:pStyle w:val="34"/>
            <w:tabs>
              <w:tab w:val="right" w:leader="dot" w:pos="8306"/>
            </w:tabs>
          </w:pPr>
          <w:r>
            <w:fldChar w:fldCharType="begin"/>
          </w:r>
          <w:r>
            <w:instrText xml:space="preserve"> HYPERLINK \l _Toc5562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_Toc5562 \h </w:instrText>
          </w:r>
          <w:r>
            <w:fldChar w:fldCharType="separate"/>
          </w:r>
          <w:r>
            <w:t>17</w:t>
          </w:r>
          <w:r>
            <w:fldChar w:fldCharType="end"/>
          </w:r>
          <w:r>
            <w:fldChar w:fldCharType="end"/>
          </w:r>
        </w:p>
        <w:p w14:paraId="130C2ED3">
          <w:pPr>
            <w:pStyle w:val="34"/>
            <w:tabs>
              <w:tab w:val="right" w:leader="dot" w:pos="8306"/>
            </w:tabs>
          </w:pPr>
          <w:r>
            <w:fldChar w:fldCharType="begin"/>
          </w:r>
          <w:r>
            <w:instrText xml:space="preserve"> HYPERLINK \l _Toc27172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_Toc27172 \h </w:instrText>
          </w:r>
          <w:r>
            <w:fldChar w:fldCharType="separate"/>
          </w:r>
          <w:r>
            <w:t>17</w:t>
          </w:r>
          <w:r>
            <w:fldChar w:fldCharType="end"/>
          </w:r>
          <w:r>
            <w:fldChar w:fldCharType="end"/>
          </w:r>
        </w:p>
        <w:p w14:paraId="4A8FAD86">
          <w:pPr>
            <w:pStyle w:val="34"/>
            <w:tabs>
              <w:tab w:val="right" w:leader="dot" w:pos="8306"/>
            </w:tabs>
          </w:pPr>
          <w:r>
            <w:fldChar w:fldCharType="begin"/>
          </w:r>
          <w:r>
            <w:instrText xml:space="preserve"> HYPERLINK \l _Toc15155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_Toc15155 \h </w:instrText>
          </w:r>
          <w:r>
            <w:fldChar w:fldCharType="separate"/>
          </w:r>
          <w:r>
            <w:t>17</w:t>
          </w:r>
          <w:r>
            <w:fldChar w:fldCharType="end"/>
          </w:r>
          <w:r>
            <w:fldChar w:fldCharType="end"/>
          </w:r>
        </w:p>
        <w:p w14:paraId="12036A7A">
          <w:pPr>
            <w:pStyle w:val="34"/>
            <w:tabs>
              <w:tab w:val="right" w:leader="dot" w:pos="8306"/>
            </w:tabs>
          </w:pPr>
          <w:r>
            <w:fldChar w:fldCharType="begin"/>
          </w:r>
          <w:r>
            <w:instrText xml:space="preserve"> HYPERLINK \l _Toc5392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_Toc5392 \h </w:instrText>
          </w:r>
          <w:r>
            <w:fldChar w:fldCharType="separate"/>
          </w:r>
          <w:r>
            <w:t>17</w:t>
          </w:r>
          <w:r>
            <w:fldChar w:fldCharType="end"/>
          </w:r>
          <w:r>
            <w:fldChar w:fldCharType="end"/>
          </w:r>
        </w:p>
        <w:p w14:paraId="618ADD3C">
          <w:pPr>
            <w:pStyle w:val="34"/>
            <w:tabs>
              <w:tab w:val="right" w:leader="dot" w:pos="8306"/>
            </w:tabs>
          </w:pPr>
          <w:r>
            <w:fldChar w:fldCharType="begin"/>
          </w:r>
          <w:r>
            <w:instrText xml:space="preserve"> HYPERLINK \l _Toc14478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_Toc14478 \h </w:instrText>
          </w:r>
          <w:r>
            <w:fldChar w:fldCharType="separate"/>
          </w:r>
          <w:r>
            <w:t>17</w:t>
          </w:r>
          <w:r>
            <w:fldChar w:fldCharType="end"/>
          </w:r>
          <w:r>
            <w:fldChar w:fldCharType="end"/>
          </w:r>
        </w:p>
        <w:p w14:paraId="707F912F">
          <w:pPr>
            <w:pStyle w:val="34"/>
            <w:tabs>
              <w:tab w:val="right" w:leader="dot" w:pos="8306"/>
            </w:tabs>
          </w:pPr>
          <w:r>
            <w:fldChar w:fldCharType="begin"/>
          </w:r>
          <w:r>
            <w:instrText xml:space="preserve"> HYPERLINK \l _Toc12863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_Toc12863 \h </w:instrText>
          </w:r>
          <w:r>
            <w:fldChar w:fldCharType="separate"/>
          </w:r>
          <w:r>
            <w:t>17</w:t>
          </w:r>
          <w:r>
            <w:fldChar w:fldCharType="end"/>
          </w:r>
          <w:r>
            <w:fldChar w:fldCharType="end"/>
          </w:r>
        </w:p>
        <w:p w14:paraId="43216396">
          <w:pPr>
            <w:pStyle w:val="34"/>
            <w:tabs>
              <w:tab w:val="right" w:leader="dot" w:pos="8306"/>
            </w:tabs>
          </w:pPr>
          <w:r>
            <w:fldChar w:fldCharType="begin"/>
          </w:r>
          <w:r>
            <w:instrText xml:space="preserve"> HYPERLINK \l _Toc29276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_Toc29276 \h </w:instrText>
          </w:r>
          <w:r>
            <w:fldChar w:fldCharType="separate"/>
          </w:r>
          <w:r>
            <w:t>17</w:t>
          </w:r>
          <w:r>
            <w:fldChar w:fldCharType="end"/>
          </w:r>
          <w:r>
            <w:fldChar w:fldCharType="end"/>
          </w:r>
        </w:p>
        <w:p w14:paraId="0044913D">
          <w:pPr>
            <w:pStyle w:val="34"/>
            <w:tabs>
              <w:tab w:val="right" w:leader="dot" w:pos="8306"/>
            </w:tabs>
          </w:pPr>
          <w:r>
            <w:fldChar w:fldCharType="begin"/>
          </w:r>
          <w:r>
            <w:instrText xml:space="preserve"> HYPERLINK \l _Toc23911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_Toc23911 \h </w:instrText>
          </w:r>
          <w:r>
            <w:fldChar w:fldCharType="separate"/>
          </w:r>
          <w:r>
            <w:t>17</w:t>
          </w:r>
          <w:r>
            <w:fldChar w:fldCharType="end"/>
          </w:r>
          <w:r>
            <w:fldChar w:fldCharType="end"/>
          </w:r>
        </w:p>
        <w:p w14:paraId="63C3C773">
          <w:pPr>
            <w:pStyle w:val="34"/>
            <w:tabs>
              <w:tab w:val="right" w:leader="dot" w:pos="8306"/>
            </w:tabs>
          </w:pPr>
          <w:r>
            <w:fldChar w:fldCharType="begin"/>
          </w:r>
          <w:r>
            <w:instrText xml:space="preserve"> HYPERLINK \l _Toc16726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_Toc16726 \h </w:instrText>
          </w:r>
          <w:r>
            <w:fldChar w:fldCharType="separate"/>
          </w:r>
          <w:r>
            <w:t>17</w:t>
          </w:r>
          <w:r>
            <w:fldChar w:fldCharType="end"/>
          </w:r>
          <w:r>
            <w:fldChar w:fldCharType="end"/>
          </w:r>
        </w:p>
        <w:p w14:paraId="3AD6DA03">
          <w:pPr>
            <w:pStyle w:val="34"/>
            <w:tabs>
              <w:tab w:val="right" w:leader="dot" w:pos="8306"/>
            </w:tabs>
          </w:pPr>
          <w:r>
            <w:fldChar w:fldCharType="begin"/>
          </w:r>
          <w:r>
            <w:instrText xml:space="preserve"> HYPERLINK \l _Toc28873 </w:instrText>
          </w:r>
          <w:r>
            <w:fldChar w:fldCharType="separate"/>
          </w:r>
          <w:r>
            <w:rPr>
              <w:rFonts w:hint="eastAsia" w:ascii="仿宋" w:hAnsi="仿宋" w:eastAsia="仿宋"/>
              <w:bCs w:val="0"/>
            </w:rPr>
            <w:t>十三、财政拨款“三公”经费支出决算表</w:t>
          </w:r>
          <w:r>
            <w:tab/>
          </w:r>
          <w:r>
            <w:fldChar w:fldCharType="begin"/>
          </w:r>
          <w:r>
            <w:instrText xml:space="preserve"> PAGEREF _Toc28873 \h </w:instrText>
          </w:r>
          <w:r>
            <w:fldChar w:fldCharType="separate"/>
          </w:r>
          <w:r>
            <w:t>17</w:t>
          </w:r>
          <w:r>
            <w:fldChar w:fldCharType="end"/>
          </w:r>
          <w:r>
            <w:fldChar w:fldCharType="end"/>
          </w:r>
        </w:p>
        <w:p w14:paraId="075ED73B">
          <w:pPr>
            <w:pStyle w:val="12"/>
            <w:adjustRightInd w:val="0"/>
            <w:snapToGrid w:val="0"/>
            <w:spacing w:line="440" w:lineRule="exact"/>
            <w:jc w:val="left"/>
            <w:rPr>
              <w:rFonts w:ascii="Times New Roman" w:hAnsi="Times New Roman" w:eastAsia="宋体" w:cs="Times New Roman"/>
              <w:b/>
              <w:kern w:val="2"/>
              <w:sz w:val="21"/>
              <w:szCs w:val="24"/>
              <w:lang w:val="en-US" w:eastAsia="zh-CN" w:bidi="ar-SA"/>
            </w:rPr>
          </w:pPr>
          <w:r>
            <w:rPr>
              <w:b/>
            </w:rPr>
            <w:fldChar w:fldCharType="end"/>
          </w:r>
        </w:p>
      </w:sdtContent>
    </w:sdt>
    <w:p w14:paraId="7A335832"/>
    <w:p w14:paraId="613A1DFE">
      <w:pPr>
        <w:widowControl/>
        <w:adjustRightInd w:val="0"/>
        <w:snapToGrid w:val="0"/>
        <w:spacing w:line="440" w:lineRule="exact"/>
        <w:ind w:firstLine="1320" w:firstLineChars="550"/>
        <w:jc w:val="left"/>
        <w:rPr>
          <w:rFonts w:ascii="仿宋" w:hAnsi="仿宋" w:eastAsia="仿宋"/>
          <w:sz w:val="24"/>
        </w:rPr>
      </w:pPr>
    </w:p>
    <w:p w14:paraId="034E1DB9">
      <w:pPr>
        <w:widowControl/>
        <w:spacing w:line="440" w:lineRule="exact"/>
        <w:jc w:val="left"/>
        <w:rPr>
          <w:rFonts w:ascii="仿宋" w:hAnsi="仿宋" w:eastAsia="仿宋"/>
          <w:bCs/>
          <w:kern w:val="44"/>
          <w:sz w:val="24"/>
        </w:rPr>
      </w:pPr>
      <w:bookmarkStart w:id="15" w:name="_Toc15377196"/>
      <w:bookmarkStart w:id="16" w:name="_Toc15396599"/>
      <w:r>
        <w:rPr>
          <w:rFonts w:ascii="仿宋" w:hAnsi="仿宋" w:eastAsia="仿宋"/>
          <w:b/>
          <w:sz w:val="24"/>
        </w:rPr>
        <w:br w:type="page"/>
      </w:r>
    </w:p>
    <w:p w14:paraId="639771D4">
      <w:pPr>
        <w:pStyle w:val="2"/>
        <w:jc w:val="center"/>
        <w:rPr>
          <w:rStyle w:val="27"/>
          <w:rFonts w:ascii="黑体" w:hAnsi="黑体" w:eastAsia="黑体"/>
          <w:b/>
          <w:bCs w:val="0"/>
        </w:rPr>
      </w:pPr>
      <w:bookmarkStart w:id="17" w:name="_Toc24565"/>
      <w:r>
        <w:rPr>
          <w:rFonts w:hint="eastAsia" w:ascii="黑体" w:hAnsi="黑体" w:eastAsia="黑体"/>
          <w:b w:val="0"/>
        </w:rPr>
        <w:t>第一部分 单位</w:t>
      </w:r>
      <w:r>
        <w:rPr>
          <w:rStyle w:val="27"/>
          <w:rFonts w:hint="eastAsia" w:ascii="黑体" w:hAnsi="黑体" w:eastAsia="黑体"/>
          <w:b w:val="0"/>
          <w:bCs w:val="0"/>
        </w:rPr>
        <w:t>概况</w:t>
      </w:r>
      <w:bookmarkEnd w:id="15"/>
      <w:bookmarkEnd w:id="16"/>
      <w:bookmarkEnd w:id="17"/>
    </w:p>
    <w:p w14:paraId="48EF0220">
      <w:pPr>
        <w:widowControl/>
        <w:jc w:val="left"/>
        <w:rPr>
          <w:rFonts w:ascii="黑体" w:eastAsia="黑体"/>
          <w:sz w:val="32"/>
          <w:szCs w:val="32"/>
        </w:rPr>
      </w:pPr>
    </w:p>
    <w:p w14:paraId="01D93CD4">
      <w:pPr>
        <w:pStyle w:val="3"/>
        <w:numPr>
          <w:ilvl w:val="0"/>
          <w:numId w:val="1"/>
        </w:numPr>
        <w:rPr>
          <w:rStyle w:val="28"/>
          <w:rFonts w:ascii="黑体" w:hAnsi="黑体" w:eastAsia="黑体"/>
          <w:b w:val="0"/>
          <w:bCs w:val="0"/>
        </w:rPr>
      </w:pPr>
      <w:bookmarkStart w:id="18" w:name="_Toc6273"/>
      <w:bookmarkStart w:id="19" w:name="_Toc15396600"/>
      <w:bookmarkStart w:id="20" w:name="_Toc15377197"/>
      <w:r>
        <w:rPr>
          <w:rStyle w:val="28"/>
          <w:rFonts w:hint="eastAsia" w:ascii="黑体" w:hAnsi="黑体" w:eastAsia="黑体"/>
          <w:b w:val="0"/>
          <w:bCs w:val="0"/>
        </w:rPr>
        <w:t>主要职责</w:t>
      </w:r>
      <w:bookmarkEnd w:id="18"/>
    </w:p>
    <w:p w14:paraId="0A28A629">
      <w:pPr>
        <w:bidi w:val="0"/>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负责辖区内的消毒产品生产经营活动、生活饮用水及涉及饮用水卫生安全产品、公共场所卫生许可告知承诺办理后事中事后的监管工作，并查处违法行为；负责辖区内职业健康体检机构、放射机构、学校卫生的监督检查，并查处违法行为；负责辖区内传染病防治、采供血机构、医疗机构、中医药机构及其执业人员的执业活动等的现场审查及日常监督检查，打击非法行医，查处违法行为；负责辖区内卫生监督信息的收集、核实和上报，双随机工作及国家、省、市系统数据录入、审核和上报，并定期向社会通报卫生监督监测结果；负责对卫生执法监督的投诉、举报的受理和查处工作；指导开展乡镇卫生监督协管员工作；开展相关卫生法律法规宣传教育和培训工作；协助处理突发公共卫生事件；完成县卫生健康局交办的其他工作。</w:t>
      </w:r>
    </w:p>
    <w:p w14:paraId="7DE17597">
      <w:pPr>
        <w:pStyle w:val="3"/>
        <w:rPr>
          <w:rFonts w:ascii="黑体" w:hAnsi="黑体" w:eastAsia="黑体"/>
          <w:b w:val="0"/>
        </w:rPr>
      </w:pPr>
      <w:bookmarkStart w:id="21" w:name="_Toc3265"/>
      <w:r>
        <w:rPr>
          <w:rFonts w:hint="eastAsia" w:ascii="黑体" w:hAnsi="黑体" w:eastAsia="黑体"/>
          <w:b w:val="0"/>
        </w:rPr>
        <w:t>二、机构设置</w:t>
      </w:r>
      <w:bookmarkEnd w:id="21"/>
    </w:p>
    <w:bookmarkEnd w:id="19"/>
    <w:bookmarkEnd w:id="20"/>
    <w:p w14:paraId="6422CFDD">
      <w:pPr>
        <w:widowControl/>
        <w:ind w:left="0" w:leftChars="0" w:firstLine="640" w:firstLineChars="200"/>
        <w:jc w:val="left"/>
        <w:rPr>
          <w:rFonts w:ascii="仿宋" w:hAnsi="仿宋" w:eastAsia="仿宋"/>
          <w:kern w:val="0"/>
          <w:sz w:val="32"/>
          <w:szCs w:val="32"/>
        </w:rPr>
      </w:pPr>
      <w:r>
        <w:rPr>
          <w:rFonts w:hint="eastAsia" w:ascii="仿宋" w:hAnsi="仿宋" w:eastAsia="仿宋"/>
          <w:sz w:val="32"/>
          <w:szCs w:val="32"/>
        </w:rPr>
        <w:t>峨边彝族自治县卫生和计划生育监督执法大队为峨边卫生健康局下属二级预算单位。</w:t>
      </w:r>
      <w:r>
        <w:rPr>
          <w:rFonts w:ascii="仿宋" w:hAnsi="仿宋" w:eastAsia="仿宋"/>
          <w:sz w:val="32"/>
          <w:szCs w:val="32"/>
        </w:rPr>
        <w:br w:type="page"/>
      </w:r>
    </w:p>
    <w:p w14:paraId="27BD8E67">
      <w:pPr>
        <w:pStyle w:val="2"/>
        <w:ind w:right="440"/>
        <w:jc w:val="center"/>
        <w:rPr>
          <w:rStyle w:val="27"/>
          <w:rFonts w:ascii="黑体" w:hAnsi="黑体" w:eastAsia="黑体"/>
          <w:b w:val="0"/>
          <w:bCs/>
        </w:rPr>
      </w:pPr>
      <w:bookmarkStart w:id="22" w:name="_Toc16137"/>
      <w:bookmarkStart w:id="23" w:name="_Toc15377204"/>
      <w:bookmarkStart w:id="24"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22"/>
      <w:bookmarkEnd w:id="23"/>
      <w:bookmarkEnd w:id="24"/>
    </w:p>
    <w:p w14:paraId="0560F0E4"/>
    <w:p w14:paraId="421E043B">
      <w:pPr>
        <w:pStyle w:val="26"/>
        <w:numPr>
          <w:ilvl w:val="0"/>
          <w:numId w:val="2"/>
        </w:numPr>
        <w:spacing w:line="600" w:lineRule="exact"/>
        <w:ind w:firstLineChars="0"/>
        <w:outlineLvl w:val="1"/>
        <w:rPr>
          <w:rStyle w:val="28"/>
          <w:rFonts w:ascii="黑体" w:hAnsi="黑体" w:eastAsia="黑体"/>
          <w:b w:val="0"/>
        </w:rPr>
      </w:pPr>
      <w:bookmarkStart w:id="25" w:name="_Toc15377205"/>
      <w:bookmarkStart w:id="26" w:name="_Toc263"/>
      <w:bookmarkStart w:id="27"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25"/>
      <w:bookmarkEnd w:id="26"/>
      <w:bookmarkEnd w:id="27"/>
    </w:p>
    <w:p w14:paraId="3A48D07C">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147.77</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14.47</w:t>
      </w:r>
      <w:r>
        <w:rPr>
          <w:rFonts w:hint="eastAsia" w:ascii="仿宋" w:hAnsi="仿宋" w:eastAsia="仿宋"/>
          <w:sz w:val="32"/>
          <w:szCs w:val="32"/>
        </w:rPr>
        <w:t>万元，增长</w:t>
      </w:r>
      <w:r>
        <w:rPr>
          <w:rFonts w:hint="eastAsia" w:ascii="仿宋" w:hAnsi="仿宋" w:eastAsia="仿宋"/>
          <w:sz w:val="32"/>
          <w:szCs w:val="32"/>
          <w:lang w:val="en-US" w:eastAsia="zh-CN"/>
        </w:rPr>
        <w:t>10.86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2023年人员经费预算增加</w:t>
      </w:r>
      <w:r>
        <w:rPr>
          <w:rFonts w:hint="eastAsia" w:ascii="仿宋" w:hAnsi="仿宋" w:eastAsia="仿宋"/>
          <w:sz w:val="32"/>
          <w:szCs w:val="32"/>
        </w:rPr>
        <w:t>。</w:t>
      </w:r>
    </w:p>
    <w:p w14:paraId="5369C2EC">
      <w:pPr>
        <w:pStyle w:val="18"/>
        <w:jc w:val="center"/>
        <w:outlineLvl w:val="9"/>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14:paraId="48DC480C">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721C943F">
      <w:pPr>
        <w:spacing w:line="600" w:lineRule="exact"/>
        <w:ind w:firstLine="640" w:firstLineChars="200"/>
        <w:jc w:val="left"/>
        <w:rPr>
          <w:rFonts w:ascii="仿宋_GB2312" w:eastAsia="仿宋_GB2312"/>
          <w:sz w:val="32"/>
          <w:szCs w:val="32"/>
        </w:rPr>
      </w:pPr>
    </w:p>
    <w:p w14:paraId="62D6DB08">
      <w:pPr>
        <w:pStyle w:val="26"/>
        <w:numPr>
          <w:ilvl w:val="0"/>
          <w:numId w:val="2"/>
        </w:numPr>
        <w:spacing w:line="600" w:lineRule="exact"/>
        <w:ind w:firstLineChars="0"/>
        <w:outlineLvl w:val="1"/>
        <w:rPr>
          <w:rStyle w:val="28"/>
          <w:rFonts w:ascii="黑体" w:hAnsi="黑体" w:eastAsia="黑体"/>
          <w:b w:val="0"/>
        </w:rPr>
      </w:pPr>
      <w:bookmarkStart w:id="28" w:name="_Toc15396604"/>
      <w:bookmarkStart w:id="29" w:name="_Toc24251"/>
      <w:bookmarkStart w:id="30" w:name="_Toc15377206"/>
      <w:r>
        <w:rPr>
          <w:rFonts w:hint="eastAsia" w:ascii="黑体" w:hAnsi="黑体" w:eastAsia="黑体"/>
          <w:sz w:val="32"/>
          <w:szCs w:val="32"/>
        </w:rPr>
        <w:t>收</w:t>
      </w:r>
      <w:r>
        <w:rPr>
          <w:rStyle w:val="28"/>
          <w:rFonts w:hint="eastAsia" w:ascii="黑体" w:hAnsi="黑体" w:eastAsia="黑体"/>
          <w:b w:val="0"/>
        </w:rPr>
        <w:t>入决算情况说明</w:t>
      </w:r>
      <w:bookmarkEnd w:id="28"/>
      <w:bookmarkEnd w:id="29"/>
      <w:bookmarkEnd w:id="30"/>
    </w:p>
    <w:p w14:paraId="6C0D09C5">
      <w:pPr>
        <w:spacing w:line="600" w:lineRule="exact"/>
        <w:ind w:firstLine="640" w:firstLineChars="200"/>
        <w:outlineLvl w:val="1"/>
        <w:rPr>
          <w:rFonts w:hint="eastAsia" w:ascii="仿宋" w:hAnsi="仿宋" w:eastAsia="仿宋"/>
          <w:sz w:val="32"/>
          <w:szCs w:val="32"/>
          <w:lang w:eastAsia="zh-CN"/>
        </w:rPr>
      </w:pPr>
      <w:bookmarkStart w:id="31" w:name="_Toc4101"/>
      <w:r>
        <w:rPr>
          <w:rFonts w:hint="eastAsia" w:ascii="仿宋" w:hAnsi="仿宋" w:eastAsia="仿宋"/>
          <w:sz w:val="32"/>
          <w:szCs w:val="32"/>
        </w:rPr>
        <w:t>2023年度本年收入合计</w:t>
      </w:r>
      <w:r>
        <w:rPr>
          <w:rFonts w:ascii="仿宋" w:hAnsi="仿宋" w:eastAsia="仿宋"/>
          <w:b/>
          <w:sz w:val="32"/>
          <w:szCs w:val="32"/>
        </w:rPr>
        <w:t>147.77</w:t>
      </w:r>
      <w:r>
        <w:rPr>
          <w:rFonts w:hint="eastAsia" w:ascii="仿宋" w:hAnsi="仿宋" w:eastAsia="仿宋"/>
          <w:sz w:val="32"/>
          <w:szCs w:val="32"/>
        </w:rPr>
        <w:t>万元，其中：一般公共预算财政拨款收入</w:t>
      </w:r>
      <w:r>
        <w:rPr>
          <w:rFonts w:ascii="仿宋" w:hAnsi="仿宋" w:eastAsia="仿宋"/>
          <w:b/>
          <w:sz w:val="32"/>
          <w:szCs w:val="32"/>
        </w:rPr>
        <w:t>147.77</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lang w:eastAsia="zh-CN"/>
        </w:rPr>
        <w:t>。</w:t>
      </w:r>
      <w:bookmarkEnd w:id="31"/>
    </w:p>
    <w:p w14:paraId="3C5BD633">
      <w:pPr>
        <w:spacing w:line="240" w:lineRule="auto"/>
        <w:ind w:firstLine="0" w:firstLineChars="0"/>
        <w:jc w:val="center"/>
        <w:outlineLvl w:val="9"/>
        <w:rPr>
          <w:rFonts w:ascii="仿宋" w:hAnsi="仿宋" w:eastAsia="仿宋"/>
          <w:b/>
          <w:sz w:val="32"/>
          <w:szCs w:val="32"/>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14:paraId="205B0904">
      <w:pPr>
        <w:spacing w:line="600" w:lineRule="exact"/>
        <w:ind w:firstLine="640" w:firstLineChars="200"/>
        <w:outlineLvl w:val="9"/>
        <w:rPr>
          <w:rFonts w:ascii="仿宋" w:hAnsi="仿宋" w:eastAsia="仿宋"/>
          <w:sz w:val="32"/>
          <w:szCs w:val="32"/>
        </w:rPr>
      </w:pPr>
    </w:p>
    <w:p w14:paraId="36CCA9B8">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784B0781">
      <w:pPr>
        <w:spacing w:line="600" w:lineRule="exact"/>
        <w:ind w:firstLine="640" w:firstLineChars="200"/>
        <w:rPr>
          <w:rFonts w:ascii="仿宋_GB2312" w:eastAsia="仿宋_GB2312"/>
          <w:sz w:val="32"/>
          <w:szCs w:val="32"/>
        </w:rPr>
      </w:pPr>
    </w:p>
    <w:p w14:paraId="4D186EBB">
      <w:pPr>
        <w:pStyle w:val="26"/>
        <w:numPr>
          <w:ilvl w:val="0"/>
          <w:numId w:val="2"/>
        </w:numPr>
        <w:spacing w:line="600" w:lineRule="exact"/>
        <w:ind w:firstLineChars="0"/>
        <w:outlineLvl w:val="1"/>
        <w:rPr>
          <w:rStyle w:val="28"/>
          <w:rFonts w:ascii="黑体" w:hAnsi="黑体" w:eastAsia="黑体"/>
          <w:b w:val="0"/>
        </w:rPr>
      </w:pPr>
      <w:bookmarkStart w:id="32" w:name="_Toc15396605"/>
      <w:bookmarkStart w:id="33" w:name="_Toc15528"/>
      <w:bookmarkStart w:id="34" w:name="_Toc15377207"/>
      <w:r>
        <w:rPr>
          <w:rFonts w:hint="eastAsia" w:ascii="黑体" w:hAnsi="黑体" w:eastAsia="黑体"/>
          <w:sz w:val="32"/>
          <w:szCs w:val="32"/>
        </w:rPr>
        <w:t>支</w:t>
      </w:r>
      <w:r>
        <w:rPr>
          <w:rStyle w:val="28"/>
          <w:rFonts w:hint="eastAsia" w:ascii="黑体" w:hAnsi="黑体" w:eastAsia="黑体"/>
          <w:b w:val="0"/>
        </w:rPr>
        <w:t>出决算情况说明</w:t>
      </w:r>
      <w:bookmarkEnd w:id="32"/>
      <w:bookmarkEnd w:id="33"/>
      <w:bookmarkEnd w:id="34"/>
    </w:p>
    <w:p w14:paraId="251DF00E">
      <w:pPr>
        <w:spacing w:line="600" w:lineRule="exact"/>
        <w:ind w:firstLine="640" w:firstLineChars="200"/>
        <w:outlineLvl w:val="1"/>
        <w:rPr>
          <w:rFonts w:ascii="仿宋" w:hAnsi="仿宋" w:eastAsia="仿宋"/>
          <w:sz w:val="32"/>
          <w:szCs w:val="32"/>
        </w:rPr>
      </w:pPr>
      <w:bookmarkStart w:id="35" w:name="_Toc22054"/>
      <w:r>
        <w:rPr>
          <w:rFonts w:hint="eastAsia" w:ascii="仿宋" w:hAnsi="仿宋" w:eastAsia="仿宋"/>
          <w:sz w:val="32"/>
          <w:szCs w:val="32"/>
        </w:rPr>
        <w:t>2023年度本年支出合计</w:t>
      </w:r>
      <w:r>
        <w:rPr>
          <w:rFonts w:ascii="仿宋" w:hAnsi="仿宋" w:eastAsia="仿宋"/>
          <w:b/>
          <w:sz w:val="32"/>
          <w:szCs w:val="32"/>
        </w:rPr>
        <w:t>147.77</w:t>
      </w:r>
      <w:r>
        <w:rPr>
          <w:rFonts w:hint="eastAsia" w:ascii="仿宋" w:hAnsi="仿宋" w:eastAsia="仿宋"/>
          <w:sz w:val="32"/>
          <w:szCs w:val="32"/>
        </w:rPr>
        <w:t>万元，其中：基本支出</w:t>
      </w:r>
      <w:r>
        <w:rPr>
          <w:rFonts w:ascii="仿宋" w:hAnsi="仿宋" w:eastAsia="仿宋"/>
          <w:b/>
          <w:sz w:val="32"/>
          <w:szCs w:val="32"/>
        </w:rPr>
        <w:t>147.77</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bookmarkEnd w:id="35"/>
    </w:p>
    <w:p w14:paraId="3F93BD5A">
      <w:pPr>
        <w:spacing w:line="240" w:lineRule="auto"/>
        <w:ind w:firstLine="0"/>
        <w:jc w:val="center"/>
        <w:rPr>
          <w:rFonts w:ascii="仿宋" w:hAnsi="仿宋" w:eastAsia="仿宋"/>
          <w:sz w:val="32"/>
          <w:szCs w:val="32"/>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14:paraId="4453EA44">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1C7CB32A">
      <w:pPr>
        <w:spacing w:line="600" w:lineRule="exact"/>
        <w:ind w:firstLine="640" w:firstLineChars="200"/>
        <w:rPr>
          <w:rFonts w:ascii="仿宋_GB2312" w:eastAsia="仿宋_GB2312"/>
          <w:sz w:val="32"/>
          <w:szCs w:val="32"/>
        </w:rPr>
      </w:pPr>
    </w:p>
    <w:p w14:paraId="726CEBF2">
      <w:pPr>
        <w:spacing w:line="600" w:lineRule="exact"/>
        <w:ind w:firstLine="640" w:firstLineChars="200"/>
        <w:outlineLvl w:val="1"/>
        <w:rPr>
          <w:rStyle w:val="28"/>
          <w:rFonts w:ascii="黑体" w:hAnsi="黑体" w:eastAsia="黑体"/>
          <w:b w:val="0"/>
        </w:rPr>
      </w:pPr>
      <w:bookmarkStart w:id="36" w:name="_Toc15377208"/>
      <w:bookmarkStart w:id="37" w:name="_Toc15396606"/>
      <w:bookmarkStart w:id="38" w:name="_Toc18604"/>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6"/>
      <w:bookmarkEnd w:id="37"/>
      <w:bookmarkEnd w:id="38"/>
    </w:p>
    <w:p w14:paraId="077FD98B">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2023年度财政拨款收、支总计均为</w:t>
      </w:r>
      <w:r>
        <w:rPr>
          <w:rFonts w:ascii="仿宋" w:hAnsi="仿宋" w:eastAsia="仿宋"/>
          <w:b/>
          <w:sz w:val="32"/>
          <w:szCs w:val="32"/>
        </w:rPr>
        <w:t>147.77</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14.47</w:t>
      </w:r>
      <w:r>
        <w:rPr>
          <w:rFonts w:hint="eastAsia" w:ascii="仿宋" w:hAnsi="仿宋" w:eastAsia="仿宋"/>
          <w:sz w:val="32"/>
          <w:szCs w:val="32"/>
        </w:rPr>
        <w:t>万元，增长</w:t>
      </w:r>
      <w:r>
        <w:rPr>
          <w:rFonts w:hint="eastAsia" w:ascii="仿宋" w:hAnsi="仿宋" w:eastAsia="仿宋"/>
          <w:sz w:val="32"/>
          <w:szCs w:val="32"/>
          <w:lang w:val="en-US" w:eastAsia="zh-CN"/>
        </w:rPr>
        <w:t>10.68</w:t>
      </w:r>
      <w:r>
        <w:rPr>
          <w:rFonts w:ascii="仿宋" w:hAnsi="仿宋" w:eastAsia="仿宋"/>
          <w:sz w:val="32"/>
          <w:szCs w:val="32"/>
        </w:rPr>
        <w:t>%</w:t>
      </w:r>
      <w:r>
        <w:rPr>
          <w:rFonts w:hint="eastAsia" w:ascii="仿宋" w:hAnsi="仿宋" w:eastAsia="仿宋"/>
          <w:sz w:val="32"/>
          <w:szCs w:val="32"/>
        </w:rPr>
        <w:t>。主要变动原因是2023年人员经费预算增加</w:t>
      </w:r>
      <w:r>
        <w:rPr>
          <w:rFonts w:hint="eastAsia" w:ascii="仿宋" w:hAnsi="仿宋" w:eastAsia="仿宋"/>
          <w:sz w:val="32"/>
          <w:szCs w:val="32"/>
          <w:lang w:eastAsia="zh-CN"/>
        </w:rPr>
        <w:t>。</w:t>
      </w:r>
    </w:p>
    <w:p w14:paraId="300ED8E1">
      <w:pPr>
        <w:spacing w:line="240" w:lineRule="auto"/>
        <w:jc w:val="center"/>
        <w:rPr>
          <w:rFonts w:ascii="仿宋" w:hAnsi="仿宋" w:eastAsia="仿宋"/>
          <w:sz w:val="32"/>
          <w:szCs w:val="32"/>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14:paraId="73C50A1A">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24D0B7EA">
      <w:pPr>
        <w:spacing w:line="600" w:lineRule="exact"/>
        <w:ind w:firstLine="640"/>
        <w:rPr>
          <w:rFonts w:ascii="仿宋" w:hAnsi="仿宋" w:eastAsia="仿宋"/>
          <w:b/>
          <w:sz w:val="32"/>
          <w:szCs w:val="32"/>
        </w:rPr>
      </w:pPr>
    </w:p>
    <w:p w14:paraId="66341BD5">
      <w:pPr>
        <w:spacing w:line="600" w:lineRule="exact"/>
        <w:ind w:firstLine="640" w:firstLineChars="200"/>
        <w:outlineLvl w:val="1"/>
        <w:rPr>
          <w:rStyle w:val="28"/>
          <w:rFonts w:ascii="黑体" w:hAnsi="黑体" w:eastAsia="黑体"/>
          <w:b w:val="0"/>
        </w:rPr>
      </w:pPr>
      <w:bookmarkStart w:id="39" w:name="_Toc15377209"/>
      <w:bookmarkStart w:id="40" w:name="_Toc7307"/>
      <w:bookmarkStart w:id="41"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9"/>
      <w:bookmarkEnd w:id="40"/>
      <w:bookmarkEnd w:id="41"/>
    </w:p>
    <w:p w14:paraId="796D92E4">
      <w:pPr>
        <w:spacing w:line="600" w:lineRule="exact"/>
        <w:ind w:firstLine="643" w:firstLineChars="200"/>
        <w:outlineLvl w:val="2"/>
        <w:rPr>
          <w:rFonts w:ascii="仿宋" w:hAnsi="仿宋" w:eastAsia="仿宋"/>
          <w:b/>
          <w:sz w:val="32"/>
          <w:szCs w:val="32"/>
        </w:rPr>
      </w:pPr>
      <w:bookmarkStart w:id="42" w:name="_Toc15377210"/>
      <w:r>
        <w:rPr>
          <w:rFonts w:hint="eastAsia" w:ascii="仿宋" w:hAnsi="仿宋" w:eastAsia="仿宋"/>
          <w:b/>
          <w:sz w:val="32"/>
          <w:szCs w:val="32"/>
        </w:rPr>
        <w:t>（一）一般公共预算财政拨款支出决算总体情况</w:t>
      </w:r>
      <w:bookmarkEnd w:id="42"/>
    </w:p>
    <w:p w14:paraId="66FA551C">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2023年度一般公共预算财政拨款支出</w:t>
      </w:r>
      <w:r>
        <w:rPr>
          <w:rFonts w:ascii="仿宋" w:hAnsi="仿宋" w:eastAsia="仿宋"/>
          <w:b/>
          <w:sz w:val="32"/>
          <w:szCs w:val="32"/>
        </w:rPr>
        <w:t>147.77</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14.47</w:t>
      </w:r>
      <w:r>
        <w:rPr>
          <w:rFonts w:hint="eastAsia" w:ascii="仿宋" w:hAnsi="仿宋" w:eastAsia="仿宋"/>
          <w:sz w:val="32"/>
          <w:szCs w:val="32"/>
        </w:rPr>
        <w:t>万元，增长</w:t>
      </w:r>
      <w:r>
        <w:rPr>
          <w:rFonts w:hint="eastAsia" w:ascii="仿宋" w:hAnsi="仿宋" w:eastAsia="仿宋"/>
          <w:sz w:val="32"/>
          <w:szCs w:val="32"/>
          <w:lang w:val="en-US" w:eastAsia="zh-CN"/>
        </w:rPr>
        <w:t>10.86</w:t>
      </w:r>
      <w:r>
        <w:rPr>
          <w:rFonts w:ascii="仿宋" w:hAnsi="仿宋" w:eastAsia="仿宋"/>
          <w:sz w:val="32"/>
          <w:szCs w:val="32"/>
        </w:rPr>
        <w:t>%</w:t>
      </w:r>
      <w:r>
        <w:rPr>
          <w:rFonts w:hint="eastAsia" w:ascii="仿宋" w:hAnsi="仿宋" w:eastAsia="仿宋"/>
          <w:sz w:val="32"/>
          <w:szCs w:val="32"/>
        </w:rPr>
        <w:t>。主要变动原因是2023年人员经费预算增加</w:t>
      </w:r>
      <w:r>
        <w:rPr>
          <w:rFonts w:hint="eastAsia" w:ascii="仿宋" w:hAnsi="仿宋" w:eastAsia="仿宋"/>
          <w:sz w:val="32"/>
          <w:szCs w:val="32"/>
          <w:lang w:eastAsia="zh-CN"/>
        </w:rPr>
        <w:t>。</w:t>
      </w:r>
    </w:p>
    <w:p w14:paraId="3844C751">
      <w:pPr>
        <w:spacing w:line="240" w:lineRule="auto"/>
        <w:ind w:firstLine="0" w:firstLineChars="0"/>
        <w:jc w:val="center"/>
        <w:rPr>
          <w:rFonts w:ascii="仿宋" w:hAnsi="仿宋" w:eastAsia="仿宋"/>
          <w:sz w:val="32"/>
          <w:szCs w:val="32"/>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14:paraId="069CFD17">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0D4C43AE">
      <w:pPr>
        <w:spacing w:line="600" w:lineRule="exact"/>
        <w:ind w:firstLine="643" w:firstLineChars="200"/>
        <w:outlineLvl w:val="2"/>
        <w:rPr>
          <w:rFonts w:ascii="仿宋" w:hAnsi="仿宋" w:eastAsia="仿宋"/>
          <w:b/>
          <w:sz w:val="32"/>
          <w:szCs w:val="32"/>
        </w:rPr>
      </w:pPr>
      <w:bookmarkStart w:id="43" w:name="_Toc15377211"/>
      <w:r>
        <w:rPr>
          <w:rFonts w:hint="eastAsia" w:ascii="仿宋" w:hAnsi="仿宋" w:eastAsia="仿宋"/>
          <w:b/>
          <w:sz w:val="32"/>
          <w:szCs w:val="32"/>
        </w:rPr>
        <w:t>（二）一般公共预算财政拨款支出决算结构情况</w:t>
      </w:r>
      <w:bookmarkEnd w:id="43"/>
    </w:p>
    <w:p w14:paraId="1BFB7B34">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147.77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22.80</w:t>
      </w:r>
      <w:r>
        <w:rPr>
          <w:rFonts w:hint="eastAsia" w:ascii="仿宋" w:hAnsi="仿宋" w:eastAsia="仿宋"/>
          <w:sz w:val="32"/>
          <w:szCs w:val="32"/>
        </w:rPr>
        <w:t>万元，占</w:t>
      </w:r>
      <w:r>
        <w:rPr>
          <w:rFonts w:hint="eastAsia" w:ascii="仿宋" w:hAnsi="仿宋" w:eastAsia="仿宋"/>
          <w:sz w:val="32"/>
          <w:szCs w:val="32"/>
          <w:lang w:val="en-US" w:eastAsia="zh-CN"/>
        </w:rPr>
        <w:t>15.43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115.21</w:t>
      </w:r>
      <w:r>
        <w:rPr>
          <w:rFonts w:hint="eastAsia" w:ascii="仿宋" w:hAnsi="仿宋" w:eastAsia="仿宋"/>
          <w:sz w:val="32"/>
          <w:szCs w:val="32"/>
        </w:rPr>
        <w:t>万元，占</w:t>
      </w:r>
      <w:r>
        <w:rPr>
          <w:rFonts w:hint="eastAsia" w:ascii="仿宋" w:hAnsi="仿宋" w:eastAsia="仿宋"/>
          <w:sz w:val="32"/>
          <w:szCs w:val="32"/>
          <w:lang w:val="en-US" w:eastAsia="zh-CN"/>
        </w:rPr>
        <w:t>77.97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9.76</w:t>
      </w:r>
      <w:r>
        <w:rPr>
          <w:rFonts w:hint="eastAsia" w:ascii="仿宋" w:hAnsi="仿宋" w:eastAsia="仿宋"/>
          <w:sz w:val="32"/>
          <w:szCs w:val="32"/>
        </w:rPr>
        <w:t>万元，占</w:t>
      </w:r>
      <w:r>
        <w:rPr>
          <w:rFonts w:hint="eastAsia" w:ascii="仿宋" w:hAnsi="仿宋" w:eastAsia="仿宋"/>
          <w:sz w:val="32"/>
          <w:szCs w:val="32"/>
          <w:lang w:val="en-US" w:eastAsia="zh-CN"/>
        </w:rPr>
        <w:t>6.60</w:t>
      </w:r>
      <w:r>
        <w:rPr>
          <w:rFonts w:ascii="仿宋" w:hAnsi="仿宋" w:eastAsia="仿宋"/>
          <w:sz w:val="32"/>
          <w:szCs w:val="32"/>
        </w:rPr>
        <w:t>%</w:t>
      </w:r>
      <w:r>
        <w:rPr>
          <w:rFonts w:hint="eastAsia" w:ascii="仿宋" w:hAnsi="仿宋" w:eastAsia="仿宋"/>
          <w:sz w:val="32"/>
          <w:szCs w:val="32"/>
        </w:rPr>
        <w:t>。</w:t>
      </w:r>
    </w:p>
    <w:p w14:paraId="1E57BCA6">
      <w:pPr>
        <w:spacing w:line="240" w:lineRule="auto"/>
        <w:ind w:firstLine="0"/>
        <w:jc w:val="center"/>
        <w:rPr>
          <w:rFonts w:ascii="仿宋" w:hAnsi="仿宋" w:eastAsia="仿宋"/>
          <w:sz w:val="32"/>
          <w:szCs w:val="32"/>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14:paraId="5ABBA561">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178200F1">
      <w:pPr>
        <w:spacing w:line="600" w:lineRule="exact"/>
        <w:ind w:firstLine="640" w:firstLineChars="200"/>
        <w:rPr>
          <w:rFonts w:ascii="仿宋" w:hAnsi="仿宋" w:eastAsia="仿宋"/>
          <w:sz w:val="32"/>
          <w:szCs w:val="32"/>
        </w:rPr>
      </w:pPr>
    </w:p>
    <w:p w14:paraId="00809E92">
      <w:pPr>
        <w:spacing w:line="600" w:lineRule="exact"/>
        <w:ind w:firstLine="643" w:firstLineChars="200"/>
        <w:outlineLvl w:val="2"/>
        <w:rPr>
          <w:rFonts w:ascii="仿宋" w:hAnsi="仿宋" w:eastAsia="仿宋"/>
          <w:b/>
          <w:sz w:val="32"/>
          <w:szCs w:val="32"/>
        </w:rPr>
      </w:pPr>
      <w:bookmarkStart w:id="44" w:name="_Toc15377212"/>
      <w:r>
        <w:rPr>
          <w:rFonts w:hint="eastAsia" w:ascii="仿宋" w:hAnsi="仿宋" w:eastAsia="仿宋"/>
          <w:b/>
          <w:sz w:val="32"/>
          <w:szCs w:val="32"/>
        </w:rPr>
        <w:t>（三）一般公共预算财政拨款支出决算具体情况</w:t>
      </w:r>
      <w:bookmarkEnd w:id="44"/>
    </w:p>
    <w:p w14:paraId="1F9E7C96">
      <w:pPr>
        <w:spacing w:line="600" w:lineRule="exact"/>
        <w:ind w:firstLine="643" w:firstLineChars="200"/>
        <w:outlineLvl w:val="1"/>
        <w:rPr>
          <w:rFonts w:ascii="仿宋" w:hAnsi="仿宋" w:eastAsia="仿宋"/>
          <w:sz w:val="32"/>
          <w:szCs w:val="32"/>
        </w:rPr>
      </w:pPr>
      <w:bookmarkStart w:id="45" w:name="_Toc9545"/>
      <w:bookmarkStart w:id="46" w:name="_Toc15377444"/>
      <w:bookmarkStart w:id="47" w:name="_Toc15378460"/>
      <w:bookmarkStart w:id="48" w:name="_Toc15377213"/>
      <w:r>
        <w:rPr>
          <w:rFonts w:hint="eastAsia" w:ascii="仿宋" w:hAnsi="仿宋" w:eastAsia="仿宋"/>
          <w:b/>
          <w:sz w:val="32"/>
          <w:szCs w:val="32"/>
        </w:rPr>
        <w:t>2023年度一般公共预算支出决算数为</w:t>
      </w:r>
      <w:r>
        <w:rPr>
          <w:rFonts w:ascii="仿宋" w:hAnsi="仿宋" w:eastAsia="仿宋"/>
          <w:b/>
          <w:sz w:val="32"/>
          <w:szCs w:val="32"/>
        </w:rPr>
        <w:t>147.77</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45"/>
      <w:bookmarkEnd w:id="46"/>
      <w:bookmarkEnd w:id="47"/>
      <w:bookmarkEnd w:id="48"/>
    </w:p>
    <w:p w14:paraId="6D685C0D">
      <w:pPr>
        <w:spacing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1.社会保障和就业支出（类）行政事业单位养老支出（款）机关事业单位基本养老保险缴费支出（项）:</w:t>
      </w:r>
      <w:r>
        <w:rPr>
          <w:rFonts w:hint="eastAsia" w:ascii="仿宋_GB2312" w:hAnsi="仿宋_GB2312" w:eastAsia="仿宋_GB2312"/>
          <w:color w:val="000000"/>
          <w:kern w:val="2"/>
          <w:sz w:val="32"/>
          <w:szCs w:val="24"/>
          <w:lang w:val="en-US"/>
        </w:rPr>
        <w:t xml:space="preserve"> </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12.82</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%，决算数与预算数持平。</w:t>
      </w:r>
    </w:p>
    <w:p w14:paraId="0DA21552">
      <w:pPr>
        <w:spacing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 xml:space="preserve">2.社会保障和就业支出（类）行政事业单位养老支出（款）机关事业单位职业年金缴费支出（项）: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6.47</w:t>
      </w:r>
      <w:r>
        <w:rPr>
          <w:rFonts w:hint="eastAsia" w:ascii="仿宋_GB2312" w:hAnsi="仿宋_GB2312" w:eastAsia="仿宋_GB2312"/>
          <w:color w:val="000000"/>
          <w:kern w:val="2"/>
          <w:sz w:val="32"/>
          <w:szCs w:val="24"/>
          <w:lang w:val="en-US"/>
        </w:rPr>
        <w:t>万元，完成预算100%，决算数与预算数持平</w:t>
      </w:r>
      <w:r>
        <w:rPr>
          <w:rFonts w:hint="eastAsia" w:ascii="仿宋" w:hAnsi="仿宋" w:eastAsia="仿宋"/>
          <w:color w:val="auto"/>
          <w:kern w:val="2"/>
          <w:sz w:val="32"/>
          <w:szCs w:val="24"/>
          <w:lang w:val="en-US"/>
        </w:rPr>
        <w:t>。</w:t>
      </w:r>
    </w:p>
    <w:p w14:paraId="5B001DB7">
      <w:pPr>
        <w:spacing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3.社会保障和就业支出（类）其他社会保障和就业支出（款）其他社会保障和就业支出（项）: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3.51</w:t>
      </w:r>
      <w:r>
        <w:rPr>
          <w:rFonts w:hint="eastAsia" w:ascii="仿宋_GB2312" w:hAnsi="仿宋_GB2312" w:eastAsia="仿宋_GB2312"/>
          <w:color w:val="000000"/>
          <w:kern w:val="2"/>
          <w:sz w:val="32"/>
          <w:szCs w:val="24"/>
          <w:lang w:val="en-US"/>
        </w:rPr>
        <w:t>万元，完成预算100%，决算数与预算数持平。</w:t>
      </w:r>
    </w:p>
    <w:p w14:paraId="792AD5BD">
      <w:pPr>
        <w:spacing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.卫生健康支出（类）公共卫生（款）卫生监督机构（项）: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110.37</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%，决算数与预算数持平。</w:t>
      </w:r>
    </w:p>
    <w:p w14:paraId="67D4E79C">
      <w:pPr>
        <w:spacing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5.卫生健康支出（类）行政事业单位医疗（款）事业单位医疗（项）: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4.36</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%，决算数与预算数持平。</w:t>
      </w:r>
    </w:p>
    <w:p w14:paraId="4CE33530">
      <w:pPr>
        <w:spacing w:line="576" w:lineRule="exact"/>
        <w:ind w:firstLine="643"/>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rPr>
        <w:t>6.卫生健康支出（类）行政事业单位医疗（款）公务员医疗补助（项）: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0.48</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%，决算数与预算数持平。</w:t>
      </w:r>
    </w:p>
    <w:p w14:paraId="490EA045">
      <w:pPr>
        <w:spacing w:line="600" w:lineRule="exact"/>
        <w:ind w:firstLine="643" w:firstLineChars="200"/>
        <w:rPr>
          <w:rFonts w:ascii="仿宋" w:hAnsi="仿宋" w:eastAsia="仿宋"/>
          <w:b/>
          <w:sz w:val="32"/>
          <w:szCs w:val="32"/>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lang w:val="en-US"/>
        </w:rPr>
        <w:t>.住房保障支出（类）住房改革支出（款）住房公积金（项）:</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9.76</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%，决算数与预算数持平</w:t>
      </w:r>
      <w:r>
        <w:rPr>
          <w:rStyle w:val="16"/>
          <w:rFonts w:hint="eastAsia" w:ascii="仿宋" w:hAnsi="仿宋" w:eastAsia="仿宋"/>
          <w:b w:val="0"/>
          <w:bCs/>
          <w:sz w:val="32"/>
          <w:szCs w:val="32"/>
        </w:rPr>
        <w:t>。</w:t>
      </w:r>
    </w:p>
    <w:p w14:paraId="0AA7DA99">
      <w:pPr>
        <w:spacing w:line="600" w:lineRule="exact"/>
        <w:ind w:firstLine="643" w:firstLineChars="200"/>
        <w:rPr>
          <w:rFonts w:ascii="仿宋" w:hAnsi="仿宋" w:eastAsia="仿宋"/>
          <w:b/>
          <w:sz w:val="32"/>
          <w:szCs w:val="32"/>
        </w:rPr>
      </w:pPr>
    </w:p>
    <w:p w14:paraId="36F955F6">
      <w:pPr>
        <w:spacing w:line="600" w:lineRule="exact"/>
        <w:ind w:firstLine="640"/>
        <w:rPr>
          <w:rFonts w:ascii="仿宋" w:hAnsi="仿宋" w:eastAsia="仿宋"/>
          <w:b/>
          <w:sz w:val="32"/>
          <w:szCs w:val="32"/>
        </w:rPr>
      </w:pPr>
    </w:p>
    <w:p w14:paraId="3941FB02">
      <w:pPr>
        <w:tabs>
          <w:tab w:val="right" w:pos="8306"/>
        </w:tabs>
        <w:spacing w:line="600" w:lineRule="exact"/>
        <w:ind w:firstLine="640"/>
        <w:outlineLvl w:val="1"/>
        <w:rPr>
          <w:rStyle w:val="28"/>
        </w:rPr>
      </w:pPr>
      <w:bookmarkStart w:id="49" w:name="_Toc10734"/>
      <w:bookmarkStart w:id="50" w:name="_Toc15377214"/>
      <w:bookmarkStart w:id="5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9"/>
      <w:bookmarkEnd w:id="50"/>
      <w:bookmarkEnd w:id="51"/>
      <w:r>
        <w:rPr>
          <w:rStyle w:val="28"/>
          <w:rFonts w:ascii="黑体" w:hAnsi="黑体" w:eastAsia="黑体"/>
          <w:b w:val="0"/>
        </w:rPr>
        <w:tab/>
      </w:r>
    </w:p>
    <w:p w14:paraId="0B25DFB4">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147.77</w:t>
      </w:r>
      <w:r>
        <w:rPr>
          <w:rFonts w:hint="eastAsia" w:ascii="仿宋" w:hAnsi="仿宋" w:eastAsia="仿宋"/>
          <w:sz w:val="32"/>
          <w:szCs w:val="32"/>
        </w:rPr>
        <w:t>万元，其中：</w:t>
      </w:r>
    </w:p>
    <w:p w14:paraId="3EC4FBD4">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128.5</w:t>
      </w:r>
      <w:r>
        <w:rPr>
          <w:rFonts w:hint="eastAsia" w:ascii="仿宋" w:hAnsi="仿宋" w:eastAsia="仿宋"/>
          <w:b/>
          <w:sz w:val="32"/>
          <w:szCs w:val="32"/>
          <w:lang w:val="en-US" w:eastAsia="zh-CN"/>
        </w:rPr>
        <w:t>4</w:t>
      </w:r>
      <w:r>
        <w:rPr>
          <w:rFonts w:hint="eastAsia" w:ascii="仿宋" w:hAnsi="仿宋" w:eastAsia="仿宋"/>
          <w:sz w:val="32"/>
          <w:szCs w:val="32"/>
        </w:rPr>
        <w:t>万元，主要包括：基本工资、津贴补贴、奖金、伙食补助费、机关事业单位基本养老保险缴费、职业年金缴费、职工基本医疗保险缴费、公务员医疗补助缴费、其他社会保障缴费、住房公积金、其他工资福利支出</w:t>
      </w:r>
      <w:r>
        <w:rPr>
          <w:rFonts w:hint="eastAsia" w:ascii="仿宋" w:hAnsi="仿宋" w:eastAsia="仿宋"/>
          <w:sz w:val="32"/>
          <w:szCs w:val="32"/>
          <w:lang w:eastAsia="zh-CN"/>
        </w:rPr>
        <w:t>、其他对个人和家庭的补助</w:t>
      </w:r>
      <w:r>
        <w:rPr>
          <w:rFonts w:hint="eastAsia" w:ascii="仿宋" w:hAnsi="仿宋" w:eastAsia="仿宋"/>
          <w:sz w:val="32"/>
          <w:szCs w:val="32"/>
        </w:rPr>
        <w:t>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19.23</w:t>
      </w:r>
      <w:r>
        <w:rPr>
          <w:rFonts w:hint="eastAsia" w:ascii="仿宋" w:hAnsi="仿宋" w:eastAsia="仿宋"/>
          <w:sz w:val="32"/>
          <w:szCs w:val="32"/>
        </w:rPr>
        <w:t>万元，主要包括：办公费、邮电费、差旅费、工会经费、福利费、其他交通费等。</w:t>
      </w:r>
    </w:p>
    <w:p w14:paraId="3EF8A34F">
      <w:pPr>
        <w:spacing w:line="600" w:lineRule="exact"/>
        <w:ind w:firstLine="640"/>
        <w:rPr>
          <w:rFonts w:ascii="仿宋" w:hAnsi="仿宋" w:eastAsia="仿宋"/>
          <w:b/>
          <w:sz w:val="32"/>
          <w:szCs w:val="32"/>
        </w:rPr>
      </w:pPr>
    </w:p>
    <w:p w14:paraId="0AB45ADC">
      <w:pPr>
        <w:spacing w:line="600" w:lineRule="exact"/>
        <w:ind w:firstLine="640"/>
        <w:outlineLvl w:val="1"/>
        <w:rPr>
          <w:rStyle w:val="28"/>
          <w:rFonts w:ascii="黑体" w:hAnsi="黑体" w:eastAsia="黑体"/>
          <w:b w:val="0"/>
        </w:rPr>
      </w:pPr>
      <w:bookmarkStart w:id="52" w:name="_Toc15396609"/>
      <w:bookmarkStart w:id="53" w:name="_Toc31628"/>
      <w:bookmarkStart w:id="54"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2"/>
      <w:bookmarkEnd w:id="53"/>
      <w:bookmarkEnd w:id="54"/>
    </w:p>
    <w:p w14:paraId="414A350D">
      <w:pPr>
        <w:spacing w:line="600" w:lineRule="exact"/>
        <w:ind w:firstLine="640"/>
        <w:outlineLvl w:val="2"/>
        <w:rPr>
          <w:rFonts w:ascii="仿宋" w:hAnsi="仿宋" w:eastAsia="仿宋"/>
          <w:b/>
          <w:sz w:val="32"/>
          <w:szCs w:val="32"/>
        </w:rPr>
      </w:pPr>
      <w:bookmarkStart w:id="55" w:name="_Toc15377216"/>
      <w:r>
        <w:rPr>
          <w:rFonts w:hint="eastAsia" w:ascii="仿宋" w:hAnsi="仿宋" w:eastAsia="仿宋"/>
          <w:b/>
          <w:sz w:val="32"/>
          <w:szCs w:val="32"/>
        </w:rPr>
        <w:t>（一）“三公”经费财政拨款支出决算总体情况说明</w:t>
      </w:r>
      <w:bookmarkEnd w:id="55"/>
    </w:p>
    <w:p w14:paraId="0235BB87">
      <w:pPr>
        <w:spacing w:line="600" w:lineRule="exact"/>
        <w:ind w:firstLine="640"/>
        <w:rPr>
          <w:rFonts w:ascii="仿宋" w:hAnsi="仿宋" w:eastAsia="仿宋"/>
          <w:b/>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w:t>
      </w:r>
      <w:r>
        <w:rPr>
          <w:rFonts w:hint="eastAsia" w:ascii="仿宋" w:hAnsi="仿宋" w:eastAsia="仿宋"/>
          <w:sz w:val="32"/>
          <w:szCs w:val="32"/>
        </w:rPr>
        <w:t>万元，增长</w:t>
      </w:r>
      <w:r>
        <w:rPr>
          <w:rFonts w:hint="eastAsia" w:ascii="仿宋" w:hAnsi="仿宋" w:eastAsia="仿宋"/>
          <w:sz w:val="32"/>
          <w:szCs w:val="32"/>
          <w:lang w:val="en-US" w:eastAsia="zh-CN"/>
        </w:rPr>
        <w:t>0</w:t>
      </w:r>
      <w:r>
        <w:rPr>
          <w:rFonts w:hint="eastAsia" w:ascii="仿宋" w:hAnsi="仿宋" w:eastAsia="仿宋"/>
          <w:sz w:val="32"/>
          <w:szCs w:val="32"/>
        </w:rPr>
        <w:t>%。决算数与预算数持平的主要原因是</w:t>
      </w:r>
      <w:r>
        <w:rPr>
          <w:rFonts w:hint="eastAsia" w:ascii="仿宋" w:hAnsi="仿宋" w:eastAsia="仿宋"/>
          <w:sz w:val="32"/>
          <w:szCs w:val="32"/>
          <w:lang w:val="en-US" w:eastAsia="zh-CN"/>
        </w:rPr>
        <w:t>2023年未安排三公经费预算</w:t>
      </w:r>
      <w:r>
        <w:rPr>
          <w:rFonts w:hint="eastAsia" w:ascii="仿宋" w:hAnsi="仿宋" w:eastAsia="仿宋"/>
          <w:sz w:val="32"/>
          <w:szCs w:val="32"/>
        </w:rPr>
        <w:t>。</w:t>
      </w:r>
    </w:p>
    <w:p w14:paraId="5374248B">
      <w:pPr>
        <w:spacing w:line="600" w:lineRule="exact"/>
        <w:ind w:firstLine="640"/>
        <w:outlineLvl w:val="2"/>
        <w:rPr>
          <w:rFonts w:ascii="仿宋" w:hAnsi="仿宋" w:eastAsia="仿宋"/>
          <w:b/>
          <w:sz w:val="32"/>
          <w:szCs w:val="32"/>
        </w:rPr>
      </w:pPr>
      <w:bookmarkStart w:id="56" w:name="_Toc15377217"/>
      <w:r>
        <w:rPr>
          <w:rFonts w:hint="eastAsia" w:ascii="仿宋" w:hAnsi="仿宋" w:eastAsia="仿宋"/>
          <w:b/>
          <w:sz w:val="32"/>
          <w:szCs w:val="32"/>
        </w:rPr>
        <w:t>（二）“三公”经费财政拨款支出决算具体情况说明</w:t>
      </w:r>
      <w:bookmarkEnd w:id="56"/>
    </w:p>
    <w:p w14:paraId="34D51D4C">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0F4BA273">
      <w:pPr>
        <w:spacing w:line="240" w:lineRule="auto"/>
        <w:ind w:firstLine="0"/>
        <w:jc w:val="center"/>
        <w:rPr>
          <w:rFonts w:hint="eastAsia" w:ascii="仿宋" w:hAnsi="仿宋" w:eastAsia="仿宋"/>
          <w:sz w:val="32"/>
          <w:szCs w:val="32"/>
        </w:rP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14:paraId="7D64986E">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5D5702BC">
      <w:pPr>
        <w:spacing w:line="600" w:lineRule="exact"/>
        <w:ind w:firstLine="640"/>
        <w:rPr>
          <w:rFonts w:ascii="仿宋_GB2312" w:eastAsia="仿宋_GB2312"/>
          <w:sz w:val="32"/>
          <w:szCs w:val="32"/>
        </w:rPr>
      </w:pPr>
      <w:bookmarkStart w:id="57" w:name="_Toc15377218"/>
      <w:bookmarkStart w:id="58"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43A9DEC0">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3B17B879">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6B9E87C0">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1142BB51">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2023年无三公经费预算</w:t>
      </w:r>
      <w:r>
        <w:rPr>
          <w:rFonts w:hint="eastAsia" w:ascii="仿宋_GB2312" w:eastAsia="仿宋_GB2312"/>
          <w:sz w:val="32"/>
          <w:szCs w:val="32"/>
        </w:rPr>
        <w:t>。其中：</w:t>
      </w:r>
    </w:p>
    <w:p w14:paraId="3A14DD41">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0ED28E3B">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7745CEF7">
      <w:pPr>
        <w:spacing w:line="600" w:lineRule="exact"/>
        <w:ind w:firstLine="640"/>
        <w:outlineLvl w:val="9"/>
        <w:rPr>
          <w:rFonts w:ascii="黑体" w:eastAsia="黑体"/>
          <w:sz w:val="32"/>
          <w:szCs w:val="32"/>
        </w:rPr>
      </w:pPr>
    </w:p>
    <w:p w14:paraId="32C488DA">
      <w:pPr>
        <w:spacing w:line="600" w:lineRule="exact"/>
        <w:ind w:firstLine="640"/>
        <w:outlineLvl w:val="1"/>
        <w:rPr>
          <w:rStyle w:val="28"/>
          <w:rFonts w:ascii="黑体" w:hAnsi="黑体" w:eastAsia="黑体"/>
        </w:rPr>
      </w:pPr>
      <w:bookmarkStart w:id="59" w:name="_Toc29567"/>
      <w:r>
        <w:rPr>
          <w:rFonts w:hint="eastAsia" w:ascii="黑体" w:eastAsia="黑体"/>
          <w:sz w:val="32"/>
          <w:szCs w:val="32"/>
        </w:rPr>
        <w:t>八、</w:t>
      </w:r>
      <w:r>
        <w:rPr>
          <w:rStyle w:val="28"/>
          <w:rFonts w:hint="eastAsia" w:ascii="黑体" w:hAnsi="黑体" w:eastAsia="黑体"/>
          <w:b w:val="0"/>
        </w:rPr>
        <w:t>政府性基金预算支出决算情况说明</w:t>
      </w:r>
      <w:bookmarkEnd w:id="57"/>
      <w:bookmarkEnd w:id="58"/>
      <w:bookmarkEnd w:id="59"/>
    </w:p>
    <w:p w14:paraId="0A225F15">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2520F50F">
      <w:pPr>
        <w:spacing w:line="600" w:lineRule="exact"/>
        <w:ind w:firstLine="640"/>
        <w:rPr>
          <w:rFonts w:ascii="仿宋_GB2312" w:eastAsia="仿宋_GB2312"/>
          <w:sz w:val="32"/>
          <w:szCs w:val="32"/>
        </w:rPr>
      </w:pPr>
    </w:p>
    <w:p w14:paraId="47C66BC9">
      <w:pPr>
        <w:numPr>
          <w:ilvl w:val="0"/>
          <w:numId w:val="3"/>
        </w:numPr>
        <w:spacing w:line="600" w:lineRule="exact"/>
        <w:ind w:firstLine="640"/>
        <w:outlineLvl w:val="1"/>
        <w:rPr>
          <w:rStyle w:val="28"/>
          <w:rFonts w:ascii="黑体" w:hAnsi="黑体" w:eastAsia="黑体"/>
          <w:b w:val="0"/>
        </w:rPr>
      </w:pPr>
      <w:bookmarkStart w:id="60" w:name="_Toc15396611"/>
      <w:bookmarkStart w:id="61" w:name="_Toc15377219"/>
      <w:bookmarkStart w:id="62" w:name="_Toc25331"/>
      <w:r>
        <w:rPr>
          <w:rStyle w:val="28"/>
          <w:rFonts w:hint="eastAsia" w:ascii="黑体" w:hAnsi="黑体" w:eastAsia="黑体"/>
          <w:b w:val="0"/>
        </w:rPr>
        <w:t>国有资本经营预算支出决算情况说明</w:t>
      </w:r>
      <w:bookmarkEnd w:id="60"/>
      <w:bookmarkEnd w:id="61"/>
      <w:bookmarkEnd w:id="62"/>
    </w:p>
    <w:p w14:paraId="4F89D3E8">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50E46E59">
      <w:pPr>
        <w:spacing w:line="580" w:lineRule="exact"/>
        <w:jc w:val="center"/>
        <w:rPr>
          <w:rFonts w:ascii="方正小标宋简体" w:hAnsi="方正小标宋简体" w:eastAsia="方正小标宋简体" w:cs="方正小标宋简体"/>
          <w:sz w:val="44"/>
          <w:szCs w:val="44"/>
        </w:rPr>
      </w:pPr>
    </w:p>
    <w:p w14:paraId="3AE8F55A">
      <w:pPr>
        <w:numPr>
          <w:ilvl w:val="0"/>
          <w:numId w:val="3"/>
        </w:numPr>
        <w:spacing w:line="600" w:lineRule="exact"/>
        <w:ind w:firstLine="640"/>
        <w:outlineLvl w:val="1"/>
        <w:rPr>
          <w:rStyle w:val="28"/>
          <w:rFonts w:ascii="黑体" w:hAnsi="黑体" w:eastAsia="黑体"/>
          <w:b w:val="0"/>
        </w:rPr>
      </w:pPr>
      <w:bookmarkStart w:id="63" w:name="_Toc15377221"/>
      <w:bookmarkStart w:id="64" w:name="_Toc30113"/>
      <w:bookmarkStart w:id="65" w:name="_Toc15396612"/>
      <w:r>
        <w:rPr>
          <w:rStyle w:val="28"/>
          <w:rFonts w:hint="eastAsia" w:ascii="黑体" w:hAnsi="黑体" w:eastAsia="黑体"/>
          <w:b w:val="0"/>
        </w:rPr>
        <w:t>其他重要事项的情况说明</w:t>
      </w:r>
      <w:bookmarkEnd w:id="63"/>
      <w:bookmarkEnd w:id="64"/>
      <w:bookmarkEnd w:id="65"/>
    </w:p>
    <w:p w14:paraId="462E055D">
      <w:pPr>
        <w:spacing w:line="600" w:lineRule="exact"/>
        <w:ind w:firstLine="643" w:firstLineChars="200"/>
        <w:outlineLvl w:val="2"/>
        <w:rPr>
          <w:rFonts w:ascii="仿宋" w:hAnsi="仿宋" w:eastAsia="仿宋"/>
          <w:sz w:val="32"/>
          <w:szCs w:val="32"/>
        </w:rPr>
      </w:pPr>
      <w:bookmarkStart w:id="66" w:name="_Toc15377222"/>
      <w:r>
        <w:rPr>
          <w:rFonts w:hint="eastAsia" w:ascii="仿宋" w:hAnsi="仿宋" w:eastAsia="仿宋"/>
          <w:b/>
          <w:sz w:val="32"/>
          <w:szCs w:val="32"/>
        </w:rPr>
        <w:t>（一）机关运行经费支出情况</w:t>
      </w:r>
      <w:bookmarkEnd w:id="66"/>
    </w:p>
    <w:p w14:paraId="4409B5AF">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峨边彝族自治县卫生和计划生育监督执法大队</w:t>
      </w:r>
      <w:r>
        <w:rPr>
          <w:rFonts w:hint="eastAsia" w:ascii="仿宋_GB2312" w:eastAsia="仿宋_GB2312"/>
          <w:sz w:val="32"/>
          <w:szCs w:val="32"/>
        </w:rPr>
        <w:t>机关运行经费支出</w:t>
      </w:r>
      <w:r>
        <w:rPr>
          <w:rFonts w:ascii="仿宋" w:hAnsi="仿宋" w:eastAsia="仿宋"/>
          <w:b/>
          <w:sz w:val="32"/>
          <w:szCs w:val="32"/>
        </w:rPr>
        <w:t>19.23</w:t>
      </w:r>
      <w:r>
        <w:rPr>
          <w:rFonts w:hint="eastAsia" w:ascii="仿宋_GB2312" w:eastAsia="仿宋_GB2312"/>
          <w:sz w:val="32"/>
          <w:szCs w:val="32"/>
        </w:rPr>
        <w:t>万元，比2022年度减少</w:t>
      </w:r>
      <w:r>
        <w:rPr>
          <w:rFonts w:hint="eastAsia" w:ascii="仿宋_GB2312" w:eastAsia="仿宋_GB2312"/>
          <w:sz w:val="32"/>
          <w:szCs w:val="32"/>
          <w:lang w:val="en-US" w:eastAsia="zh-CN"/>
        </w:rPr>
        <w:t>1.04</w:t>
      </w:r>
      <w:r>
        <w:rPr>
          <w:rFonts w:hint="eastAsia" w:ascii="仿宋_GB2312" w:eastAsia="仿宋_GB2312"/>
          <w:sz w:val="32"/>
          <w:szCs w:val="32"/>
        </w:rPr>
        <w:t>万元，下降</w:t>
      </w:r>
      <w:r>
        <w:rPr>
          <w:rFonts w:hint="eastAsia" w:ascii="仿宋_GB2312" w:eastAsia="仿宋_GB2312"/>
          <w:sz w:val="32"/>
          <w:szCs w:val="32"/>
          <w:lang w:val="en-US" w:eastAsia="zh-CN"/>
        </w:rPr>
        <w:t>5.13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2023年公用经费预算减少</w:t>
      </w:r>
      <w:r>
        <w:rPr>
          <w:rFonts w:hint="eastAsia" w:ascii="仿宋_GB2312" w:eastAsia="仿宋_GB2312"/>
          <w:sz w:val="32"/>
          <w:szCs w:val="32"/>
        </w:rPr>
        <w:t>。</w:t>
      </w:r>
    </w:p>
    <w:p w14:paraId="7189BDCA">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3"/>
      <w:r>
        <w:rPr>
          <w:rFonts w:hint="eastAsia" w:ascii="仿宋" w:hAnsi="仿宋" w:eastAsia="仿宋"/>
          <w:b/>
          <w:sz w:val="32"/>
          <w:szCs w:val="32"/>
        </w:rPr>
        <w:t>（二）政府采购支出情况</w:t>
      </w:r>
      <w:bookmarkEnd w:id="67"/>
    </w:p>
    <w:p w14:paraId="03F3F4FA">
      <w:pPr>
        <w:spacing w:line="600" w:lineRule="exact"/>
        <w:ind w:firstLine="640" w:firstLineChars="200"/>
        <w:rPr>
          <w:rFonts w:ascii="仿宋" w:hAnsi="仿宋" w:eastAsia="仿宋"/>
          <w:b/>
          <w:sz w:val="32"/>
          <w:szCs w:val="32"/>
        </w:rPr>
      </w:pPr>
      <w:r>
        <w:rPr>
          <w:rFonts w:hint="eastAsia" w:ascii="仿宋_GB2312" w:eastAsia="仿宋_GB2312"/>
          <w:sz w:val="32"/>
          <w:szCs w:val="32"/>
        </w:rPr>
        <w:t>2023年度，</w:t>
      </w:r>
      <w:r>
        <w:rPr>
          <w:rFonts w:ascii="仿宋_GB2312" w:eastAsia="仿宋_GB2312"/>
          <w:b/>
          <w:sz w:val="32"/>
          <w:szCs w:val="32"/>
        </w:rPr>
        <w:t>峨边彝族自治县卫生和计划生育监督执法大队</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2DFC3729">
      <w:pPr>
        <w:autoSpaceDE w:val="0"/>
        <w:autoSpaceDN w:val="0"/>
        <w:adjustRightInd w:val="0"/>
        <w:spacing w:line="600" w:lineRule="exact"/>
        <w:ind w:firstLine="643" w:firstLineChars="200"/>
        <w:jc w:val="left"/>
        <w:outlineLvl w:val="2"/>
        <w:rPr>
          <w:rFonts w:ascii="仿宋" w:hAnsi="仿宋" w:eastAsia="仿宋"/>
          <w:b/>
          <w:sz w:val="32"/>
          <w:szCs w:val="32"/>
        </w:rPr>
      </w:pPr>
      <w:bookmarkStart w:id="68" w:name="_Toc15377224"/>
      <w:r>
        <w:rPr>
          <w:rFonts w:hint="eastAsia" w:ascii="仿宋" w:hAnsi="仿宋" w:eastAsia="仿宋"/>
          <w:b/>
          <w:sz w:val="32"/>
          <w:szCs w:val="32"/>
        </w:rPr>
        <w:t>（三）国有资产占有使用情况</w:t>
      </w:r>
      <w:bookmarkEnd w:id="68"/>
    </w:p>
    <w:p w14:paraId="62488305">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峨边彝族自治县卫生和计划生育监督执法大队</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5F62191C">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21EED4F">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0</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0</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0</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0</w:t>
      </w:r>
      <w:r>
        <w:rPr>
          <w:rFonts w:hint="eastAsia" w:ascii="仿宋_GB2312" w:eastAsia="仿宋_GB2312"/>
          <w:sz w:val="32"/>
          <w:szCs w:val="32"/>
        </w:rPr>
        <w:t>个项目开展绩效自评，绩效自评表详见第四部分附件。</w:t>
      </w:r>
    </w:p>
    <w:p w14:paraId="477BF5CB">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10A49CA0">
      <w:pPr>
        <w:numPr>
          <w:ilvl w:val="0"/>
          <w:numId w:val="4"/>
        </w:numPr>
        <w:spacing w:line="600" w:lineRule="exact"/>
        <w:ind w:firstLine="660" w:firstLineChars="150"/>
        <w:jc w:val="center"/>
        <w:outlineLvl w:val="0"/>
        <w:rPr>
          <w:rStyle w:val="27"/>
          <w:rFonts w:ascii="黑体" w:hAnsi="黑体" w:eastAsia="黑体"/>
          <w:b w:val="0"/>
        </w:rPr>
      </w:pPr>
      <w:bookmarkStart w:id="69" w:name="_Toc9644"/>
      <w:bookmarkStart w:id="70" w:name="_Toc15396613"/>
      <w:bookmarkStart w:id="71" w:name="_Toc15377225"/>
      <w:r>
        <w:rPr>
          <w:rFonts w:hint="eastAsia" w:ascii="黑体" w:hAnsi="黑体" w:eastAsia="黑体"/>
          <w:sz w:val="44"/>
          <w:szCs w:val="44"/>
        </w:rPr>
        <w:t>名</w:t>
      </w:r>
      <w:r>
        <w:rPr>
          <w:rStyle w:val="27"/>
          <w:rFonts w:hint="eastAsia" w:ascii="黑体" w:hAnsi="黑体" w:eastAsia="黑体"/>
          <w:b w:val="0"/>
        </w:rPr>
        <w:t>词解释</w:t>
      </w:r>
      <w:bookmarkEnd w:id="69"/>
      <w:bookmarkEnd w:id="70"/>
      <w:bookmarkEnd w:id="71"/>
    </w:p>
    <w:p w14:paraId="6DEE8800">
      <w:pPr>
        <w:spacing w:line="600" w:lineRule="exact"/>
        <w:jc w:val="left"/>
        <w:rPr>
          <w:rFonts w:ascii="宋体"/>
          <w:b/>
          <w:sz w:val="44"/>
          <w:szCs w:val="44"/>
        </w:rPr>
      </w:pPr>
    </w:p>
    <w:p w14:paraId="02F4696A">
      <w:pPr>
        <w:pStyle w:val="25"/>
        <w:spacing w:line="560" w:lineRule="exact"/>
        <w:ind w:firstLine="640" w:firstLineChars="200"/>
        <w:outlineLvl w:val="1"/>
        <w:rPr>
          <w:rFonts w:hint="eastAsia" w:ascii="仿宋_GB2312" w:eastAsia="仿宋_GB2312"/>
          <w:color w:val="auto"/>
          <w:sz w:val="32"/>
          <w:szCs w:val="32"/>
        </w:rPr>
      </w:pPr>
      <w:bookmarkStart w:id="72" w:name="_Toc31676"/>
      <w:r>
        <w:rPr>
          <w:rFonts w:hint="eastAsia" w:ascii="仿宋_GB2312" w:eastAsia="仿宋_GB2312"/>
          <w:color w:val="auto"/>
          <w:sz w:val="32"/>
          <w:szCs w:val="32"/>
        </w:rPr>
        <w:t>1.财政拨款收入：指单位从同级财政部门取得的财政预算资金。</w:t>
      </w:r>
      <w:bookmarkEnd w:id="72"/>
    </w:p>
    <w:p w14:paraId="6A946FA1">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2.事业收入：指事业单位开展专业业务活动及辅助活动取得的收入。如卫生院医疗收入等。 </w:t>
      </w:r>
    </w:p>
    <w:p w14:paraId="77E69663">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12BD196">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4.年初结转和结余：指以前年度尚未完成、结转到本年按有关规定继续使用的资金。 </w:t>
      </w:r>
    </w:p>
    <w:p w14:paraId="5B99D449">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5.结余分配：指事业单位按照事业单位会计制度的规定从非财政补助结余中分配的事业基金和职工福利基金等。</w:t>
      </w:r>
    </w:p>
    <w:p w14:paraId="589600AA">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6.年末结转和结余：指单位按有关规定结转到下年或以后年度继续使用的资金。</w:t>
      </w:r>
    </w:p>
    <w:p w14:paraId="0DCE8943">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7.社会保障和就业支出（类）行政事业单位养老支出（款） 机关事业单位基本养老保险缴费支出（项）：指反映机关事业单位实施养老保险制度由单位缴纳的基本养老保险费支出。</w:t>
      </w:r>
    </w:p>
    <w:p w14:paraId="779125F9">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8.社会保障和就业支出（类）行政事业单位养老支出（款）机关事业单位职业年金缴费支出（项）：指反映机关事业单位实施养老保险制度由单位实际缴纳的职业年金支出。</w:t>
      </w:r>
    </w:p>
    <w:p w14:paraId="1BB46656">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9.社会保障和就业支出（类）其他社会保障和就业支出（款）其他社会保障和就业支出（项）：指反映除上述项目以外用于社会保障和就业方面的支出。</w:t>
      </w:r>
    </w:p>
    <w:p w14:paraId="03648CFB">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10.卫生健康支出（类）卫生健康管理事务（款）其他卫生健康管理事务支出（项）：指反映除上述项目外</w:t>
      </w:r>
      <w:r>
        <w:rPr>
          <w:rFonts w:hint="eastAsia" w:ascii="仿宋_GB2312" w:eastAsia="仿宋_GB2312"/>
          <w:color w:val="auto"/>
          <w:sz w:val="32"/>
          <w:szCs w:val="32"/>
          <w:lang w:eastAsia="zh-CN"/>
        </w:rPr>
        <w:t>其他</w:t>
      </w:r>
      <w:bookmarkStart w:id="105" w:name="_GoBack"/>
      <w:bookmarkEnd w:id="105"/>
      <w:r>
        <w:rPr>
          <w:rFonts w:hint="eastAsia" w:ascii="仿宋_GB2312" w:eastAsia="仿宋_GB2312"/>
          <w:color w:val="auto"/>
          <w:sz w:val="32"/>
          <w:szCs w:val="32"/>
        </w:rPr>
        <w:t>健康卫生管理事务方面的支出。</w:t>
      </w:r>
    </w:p>
    <w:p w14:paraId="7B6C41C5">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11.卫生健康支出（类）公共卫生（款）卫生监督机构（项）：反映卫生健康部门所属卫生监督机构的支出。</w:t>
      </w:r>
    </w:p>
    <w:p w14:paraId="26F0A5C1">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12.卫生健康支出（类）行政事业单位医疗（款）行政单位医疗（项）：指反映财政部门安排的行政单位（包括实行公务员管理的事业单位）基本医疗保险缴费经费，未参加医疗保险的行政单位的公费医疗经费，按国家规定享受离休人员、红军老战士待遇人员的医疗经费。</w:t>
      </w:r>
    </w:p>
    <w:p w14:paraId="65E7FBA5">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13.卫生健康支出（类）行政事业单位医疗（款）公务员医疗补助（项）：反映财政部门安排的公务员医疗补助经费。</w:t>
      </w:r>
    </w:p>
    <w:p w14:paraId="4893D244">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14.卫生健康支出（类）其他卫生健康支出（款）其他卫生健康支出（项）：指上述项目以外用于卫生健康方面的支出。</w:t>
      </w:r>
    </w:p>
    <w:p w14:paraId="4DDB00E4">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15.住房保障支出（类）住房改革支出（款）住房公积金（项）：指反映行政事业单位按人力资源和社会保障部、财政部规定的基本工资和津贴补贴以及规定比例为职工缴纳的住房公积金。</w:t>
      </w:r>
    </w:p>
    <w:p w14:paraId="581DBB03">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16.基本支出：指为保障机构正常运转、完成日常工作任务而发生的人员支出和公用支出。</w:t>
      </w:r>
    </w:p>
    <w:p w14:paraId="0A321697">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17.项目支出：指在基本支出之外为完成特定行政任务和事业发展目标所发生的支出。 </w:t>
      </w:r>
    </w:p>
    <w:p w14:paraId="66915995">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63C0E4D">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8091AFE">
      <w:pPr>
        <w:pStyle w:val="25"/>
        <w:spacing w:line="560" w:lineRule="exact"/>
        <w:ind w:firstLine="640" w:firstLineChars="200"/>
        <w:rPr>
          <w:rFonts w:ascii="仿宋_GB2312" w:eastAsia="仿宋_GB2312" w:cs="黑体"/>
          <w:color w:val="auto"/>
          <w:sz w:val="32"/>
          <w:szCs w:val="32"/>
        </w:rPr>
      </w:pPr>
    </w:p>
    <w:p w14:paraId="1B4E7257">
      <w:pPr>
        <w:ind w:firstLine="643" w:firstLineChars="200"/>
        <w:rPr>
          <w:rFonts w:ascii="仿宋" w:hAnsi="仿宋" w:eastAsia="仿宋"/>
          <w:b/>
          <w:sz w:val="32"/>
          <w:szCs w:val="32"/>
        </w:rPr>
      </w:pPr>
    </w:p>
    <w:p w14:paraId="434AA189">
      <w:pPr>
        <w:spacing w:line="600" w:lineRule="exact"/>
        <w:jc w:val="center"/>
        <w:outlineLvl w:val="0"/>
        <w:rPr>
          <w:rStyle w:val="27"/>
          <w:rFonts w:ascii="黑体" w:hAnsi="黑体" w:eastAsia="黑体"/>
          <w:b w:val="0"/>
        </w:rPr>
      </w:pPr>
      <w:bookmarkStart w:id="73" w:name="_Toc15377226"/>
      <w:r>
        <w:rPr>
          <w:rFonts w:ascii="宋体"/>
          <w:b/>
          <w:sz w:val="44"/>
          <w:szCs w:val="44"/>
        </w:rPr>
        <w:br w:type="page"/>
      </w:r>
      <w:bookmarkStart w:id="74" w:name="_Toc11175"/>
      <w:bookmarkStart w:id="75" w:name="_Toc15396614"/>
      <w:r>
        <w:rPr>
          <w:rFonts w:hint="eastAsia" w:ascii="黑体" w:hAnsi="黑体" w:eastAsia="黑体"/>
          <w:sz w:val="44"/>
          <w:szCs w:val="44"/>
        </w:rPr>
        <w:t>第</w:t>
      </w:r>
      <w:r>
        <w:rPr>
          <w:rStyle w:val="27"/>
          <w:rFonts w:hint="eastAsia" w:ascii="黑体" w:hAnsi="黑体" w:eastAsia="黑体"/>
          <w:b w:val="0"/>
        </w:rPr>
        <w:t>四部分 附件</w:t>
      </w:r>
      <w:bookmarkEnd w:id="74"/>
      <w:bookmarkEnd w:id="75"/>
    </w:p>
    <w:p w14:paraId="3B7B6B1F">
      <w:pPr>
        <w:spacing w:line="572" w:lineRule="exact"/>
        <w:jc w:val="left"/>
        <w:outlineLvl w:val="9"/>
        <w:rPr>
          <w:rFonts w:ascii="仿宋_GB2312" w:hAnsi="仿宋_GB2312" w:eastAsia="仿宋_GB2312" w:cs="仿宋_GB2312"/>
          <w:sz w:val="32"/>
          <w:szCs w:val="32"/>
        </w:rPr>
      </w:pPr>
    </w:p>
    <w:p w14:paraId="7E3BBF65">
      <w:pPr>
        <w:spacing w:line="600" w:lineRule="exact"/>
        <w:jc w:val="center"/>
        <w:outlineLvl w:val="1"/>
        <w:rPr>
          <w:rFonts w:ascii="黑体" w:hAnsi="黑体" w:eastAsia="黑体"/>
          <w:color w:val="FF0000"/>
          <w:sz w:val="44"/>
          <w:szCs w:val="44"/>
        </w:rPr>
      </w:pPr>
      <w:bookmarkStart w:id="76" w:name="_Toc6017"/>
      <w:bookmarkStart w:id="77" w:name="_Toc15396618"/>
      <w:r>
        <w:rPr>
          <w:rFonts w:hint="eastAsia"/>
          <w:sz w:val="32"/>
          <w:szCs w:val="32"/>
        </w:rPr>
        <w:t>部门预算项目支出绩效自评表（2023年度）</w:t>
      </w:r>
      <w:bookmarkEnd w:id="76"/>
    </w:p>
    <w:p w14:paraId="264766BD">
      <w:pPr>
        <w:pStyle w:val="13"/>
        <w:spacing w:line="560" w:lineRule="exact"/>
        <w:ind w:left="0" w:leftChars="0" w:firstLine="640"/>
        <w:rPr>
          <w:sz w:val="32"/>
        </w:rPr>
      </w:pPr>
    </w:p>
    <w:p w14:paraId="0F2B33DA">
      <w:pPr>
        <w:pStyle w:val="13"/>
        <w:spacing w:line="560" w:lineRule="exact"/>
        <w:ind w:left="0" w:leftChars="0" w:firstLine="640"/>
        <w:rPr>
          <w:rFonts w:hint="eastAsia" w:hAnsi="Calibri" w:eastAsia="仿宋_GB2312" w:cs="仿宋"/>
          <w:sz w:val="32"/>
        </w:rPr>
      </w:pPr>
      <w:r>
        <w:rPr>
          <w:rFonts w:hint="eastAsia" w:hAnsi="Calibri" w:eastAsia="仿宋_GB2312" w:cs="仿宋"/>
          <w:sz w:val="32"/>
        </w:rPr>
        <w:t>本单位202</w:t>
      </w:r>
      <w:r>
        <w:rPr>
          <w:rFonts w:hint="eastAsia" w:hAnsi="Calibri" w:eastAsia="仿宋_GB2312" w:cs="仿宋"/>
          <w:sz w:val="32"/>
          <w:lang w:val="en-US" w:eastAsia="zh-CN"/>
        </w:rPr>
        <w:t>3</w:t>
      </w:r>
      <w:r>
        <w:rPr>
          <w:rFonts w:hint="eastAsia" w:hAnsi="Calibri" w:eastAsia="仿宋_GB2312" w:cs="仿宋"/>
          <w:sz w:val="32"/>
        </w:rPr>
        <w:t>年项目工作由主管部门统一管理安排，单位无项目支出绩效评价表。</w:t>
      </w:r>
    </w:p>
    <w:p w14:paraId="4055AB76">
      <w:pPr>
        <w:pStyle w:val="13"/>
        <w:spacing w:line="560" w:lineRule="exact"/>
        <w:ind w:left="0" w:leftChars="0" w:firstLine="640"/>
        <w:rPr>
          <w:rFonts w:hint="eastAsia" w:hAnsi="Calibri" w:eastAsia="仿宋_GB2312" w:cs="仿宋"/>
          <w:sz w:val="32"/>
        </w:rPr>
      </w:pPr>
    </w:p>
    <w:p w14:paraId="277CE62B">
      <w:pPr>
        <w:pStyle w:val="13"/>
        <w:spacing w:line="560" w:lineRule="exact"/>
        <w:ind w:left="0" w:leftChars="0" w:firstLine="640"/>
        <w:rPr>
          <w:rFonts w:hint="eastAsia" w:hAnsi="Calibri" w:eastAsia="仿宋_GB2312" w:cs="仿宋"/>
          <w:sz w:val="32"/>
          <w:lang w:val="zh-CN"/>
        </w:rPr>
      </w:pPr>
    </w:p>
    <w:p w14:paraId="71A0C845">
      <w:pPr>
        <w:pStyle w:val="5"/>
        <w:spacing w:before="93"/>
        <w:rPr>
          <w:rFonts w:hAnsi="Calibri" w:cs="仿宋"/>
          <w:sz w:val="32"/>
          <w:szCs w:val="32"/>
        </w:rPr>
      </w:pPr>
    </w:p>
    <w:p w14:paraId="7601ABAD">
      <w:pPr>
        <w:pStyle w:val="5"/>
        <w:spacing w:before="93"/>
        <w:rPr>
          <w:rFonts w:hAnsi="Calibri" w:cs="仿宋"/>
          <w:sz w:val="32"/>
          <w:szCs w:val="32"/>
        </w:rPr>
      </w:pPr>
    </w:p>
    <w:p w14:paraId="404A2C44">
      <w:pPr>
        <w:pStyle w:val="5"/>
        <w:spacing w:before="93"/>
        <w:rPr>
          <w:rFonts w:hAnsi="Calibri" w:cs="仿宋"/>
          <w:sz w:val="32"/>
          <w:szCs w:val="32"/>
        </w:rPr>
      </w:pPr>
    </w:p>
    <w:p w14:paraId="35EF9C03">
      <w:pPr>
        <w:pStyle w:val="5"/>
        <w:spacing w:before="93"/>
        <w:rPr>
          <w:rFonts w:hAnsi="Calibri" w:cs="仿宋"/>
          <w:sz w:val="32"/>
          <w:szCs w:val="32"/>
        </w:rPr>
      </w:pPr>
    </w:p>
    <w:p w14:paraId="1998EE52">
      <w:pPr>
        <w:pStyle w:val="5"/>
        <w:spacing w:before="93"/>
        <w:rPr>
          <w:rFonts w:hAnsi="Calibri" w:cs="仿宋"/>
          <w:sz w:val="32"/>
          <w:szCs w:val="32"/>
        </w:rPr>
      </w:pPr>
    </w:p>
    <w:p w14:paraId="6AC2DB7C">
      <w:pPr>
        <w:pStyle w:val="5"/>
        <w:spacing w:before="93"/>
        <w:rPr>
          <w:rFonts w:hAnsi="Calibri" w:cs="仿宋"/>
          <w:sz w:val="32"/>
          <w:szCs w:val="32"/>
        </w:rPr>
      </w:pPr>
    </w:p>
    <w:p w14:paraId="42FB8E82">
      <w:pPr>
        <w:pStyle w:val="5"/>
        <w:spacing w:before="93"/>
        <w:rPr>
          <w:rFonts w:hAnsi="Calibri" w:cs="仿宋"/>
          <w:sz w:val="32"/>
          <w:szCs w:val="32"/>
        </w:rPr>
      </w:pPr>
    </w:p>
    <w:p w14:paraId="79AE61BF">
      <w:pPr>
        <w:pStyle w:val="5"/>
        <w:spacing w:before="93"/>
        <w:rPr>
          <w:rFonts w:hAnsi="Calibri" w:cs="仿宋"/>
          <w:sz w:val="32"/>
          <w:szCs w:val="32"/>
        </w:rPr>
      </w:pPr>
    </w:p>
    <w:p w14:paraId="79EA37A2">
      <w:pPr>
        <w:pStyle w:val="5"/>
        <w:spacing w:before="93"/>
        <w:rPr>
          <w:rFonts w:hAnsi="Calibri" w:cs="仿宋"/>
          <w:sz w:val="32"/>
          <w:szCs w:val="32"/>
        </w:rPr>
      </w:pPr>
    </w:p>
    <w:p w14:paraId="0F995DBF">
      <w:pPr>
        <w:pStyle w:val="5"/>
        <w:spacing w:before="93"/>
        <w:rPr>
          <w:rFonts w:hAnsi="Calibri" w:cs="仿宋"/>
          <w:sz w:val="32"/>
          <w:szCs w:val="32"/>
        </w:rPr>
      </w:pPr>
    </w:p>
    <w:p w14:paraId="6F99DCF4">
      <w:pPr>
        <w:pStyle w:val="5"/>
        <w:spacing w:before="93"/>
        <w:rPr>
          <w:rFonts w:hAnsi="Calibri" w:cs="仿宋"/>
          <w:sz w:val="32"/>
          <w:szCs w:val="32"/>
        </w:rPr>
      </w:pPr>
    </w:p>
    <w:p w14:paraId="0848A437">
      <w:pPr>
        <w:pStyle w:val="5"/>
        <w:spacing w:before="93"/>
        <w:rPr>
          <w:rFonts w:hAnsi="Calibri" w:cs="仿宋"/>
          <w:sz w:val="32"/>
          <w:szCs w:val="32"/>
        </w:rPr>
      </w:pPr>
    </w:p>
    <w:p w14:paraId="05AF8FA7">
      <w:pPr>
        <w:spacing w:line="600" w:lineRule="exact"/>
        <w:jc w:val="center"/>
        <w:outlineLvl w:val="0"/>
        <w:rPr>
          <w:rFonts w:ascii="仿宋" w:hAnsi="仿宋" w:eastAsia="仿宋"/>
        </w:rPr>
      </w:pPr>
      <w:bookmarkStart w:id="78" w:name="_Toc27470"/>
      <w:r>
        <w:rPr>
          <w:rFonts w:hint="eastAsia" w:ascii="黑体" w:hAnsi="黑体" w:eastAsia="黑体"/>
          <w:sz w:val="44"/>
          <w:szCs w:val="44"/>
        </w:rPr>
        <w:t>第</w:t>
      </w:r>
      <w:r>
        <w:rPr>
          <w:rStyle w:val="27"/>
          <w:rFonts w:hint="eastAsia" w:ascii="黑体" w:hAnsi="黑体" w:eastAsia="黑体"/>
          <w:b w:val="0"/>
        </w:rPr>
        <w:t>五部分 附表</w:t>
      </w:r>
      <w:bookmarkEnd w:id="73"/>
      <w:bookmarkEnd w:id="77"/>
      <w:bookmarkEnd w:id="78"/>
      <w:bookmarkStart w:id="79" w:name="_Toc15396619"/>
    </w:p>
    <w:p w14:paraId="0A6AE497">
      <w:pPr>
        <w:pStyle w:val="3"/>
        <w:rPr>
          <w:rFonts w:ascii="仿宋" w:hAnsi="仿宋" w:eastAsia="仿宋"/>
        </w:rPr>
      </w:pPr>
      <w:bookmarkStart w:id="80" w:name="_Toc19274"/>
      <w:r>
        <w:rPr>
          <w:rFonts w:hint="eastAsia" w:ascii="仿宋" w:hAnsi="仿宋" w:eastAsia="仿宋"/>
          <w:b w:val="0"/>
        </w:rPr>
        <w:t>一、收</w:t>
      </w:r>
      <w:r>
        <w:rPr>
          <w:rStyle w:val="28"/>
          <w:rFonts w:hint="eastAsia" w:ascii="仿宋" w:hAnsi="仿宋" w:eastAsia="仿宋"/>
          <w:b w:val="0"/>
          <w:bCs w:val="0"/>
        </w:rPr>
        <w:t>入支出决算总表</w:t>
      </w:r>
      <w:bookmarkEnd w:id="79"/>
      <w:bookmarkEnd w:id="80"/>
    </w:p>
    <w:p w14:paraId="423C1B87">
      <w:pPr>
        <w:pStyle w:val="3"/>
        <w:rPr>
          <w:rFonts w:ascii="仿宋" w:hAnsi="仿宋" w:eastAsia="仿宋"/>
        </w:rPr>
      </w:pPr>
      <w:bookmarkStart w:id="81" w:name="_Toc15396620"/>
      <w:bookmarkStart w:id="82" w:name="_Toc29918"/>
      <w:r>
        <w:rPr>
          <w:rFonts w:hint="eastAsia" w:ascii="仿宋" w:hAnsi="仿宋" w:eastAsia="仿宋"/>
          <w:b w:val="0"/>
        </w:rPr>
        <w:t>二、收</w:t>
      </w:r>
      <w:r>
        <w:rPr>
          <w:rStyle w:val="28"/>
          <w:rFonts w:hint="eastAsia" w:ascii="仿宋" w:hAnsi="仿宋" w:eastAsia="仿宋"/>
          <w:b w:val="0"/>
          <w:bCs w:val="0"/>
        </w:rPr>
        <w:t>入决算表</w:t>
      </w:r>
      <w:bookmarkEnd w:id="81"/>
      <w:bookmarkEnd w:id="82"/>
    </w:p>
    <w:p w14:paraId="4E382B8C">
      <w:pPr>
        <w:pStyle w:val="3"/>
        <w:rPr>
          <w:rFonts w:ascii="仿宋" w:hAnsi="仿宋" w:eastAsia="仿宋"/>
        </w:rPr>
      </w:pPr>
      <w:bookmarkStart w:id="83" w:name="_Toc18557"/>
      <w:bookmarkStart w:id="84"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3"/>
      <w:bookmarkEnd w:id="84"/>
    </w:p>
    <w:p w14:paraId="172A2BD9">
      <w:pPr>
        <w:pStyle w:val="3"/>
        <w:rPr>
          <w:rFonts w:ascii="仿宋" w:hAnsi="仿宋" w:eastAsia="仿宋"/>
          <w:b w:val="0"/>
        </w:rPr>
      </w:pPr>
      <w:bookmarkStart w:id="85" w:name="_Toc5562"/>
      <w:bookmarkStart w:id="86"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85"/>
      <w:bookmarkEnd w:id="86"/>
    </w:p>
    <w:p w14:paraId="4A945823">
      <w:pPr>
        <w:pStyle w:val="3"/>
        <w:rPr>
          <w:rStyle w:val="28"/>
          <w:rFonts w:ascii="仿宋" w:hAnsi="仿宋" w:eastAsia="仿宋"/>
          <w:b w:val="0"/>
          <w:bCs w:val="0"/>
        </w:rPr>
      </w:pPr>
      <w:bookmarkStart w:id="87" w:name="_Toc15396623"/>
      <w:bookmarkStart w:id="88" w:name="_Toc27172"/>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87"/>
      <w:bookmarkEnd w:id="88"/>
      <w:bookmarkStart w:id="89" w:name="_Toc15396624"/>
    </w:p>
    <w:p w14:paraId="535C65C5">
      <w:pPr>
        <w:pStyle w:val="3"/>
        <w:rPr>
          <w:rFonts w:ascii="仿宋" w:hAnsi="仿宋" w:eastAsia="仿宋"/>
        </w:rPr>
      </w:pPr>
      <w:bookmarkStart w:id="90" w:name="_Toc15155"/>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89"/>
      <w:bookmarkEnd w:id="90"/>
    </w:p>
    <w:p w14:paraId="554D07CB">
      <w:pPr>
        <w:pStyle w:val="3"/>
        <w:rPr>
          <w:rFonts w:ascii="仿宋" w:hAnsi="仿宋" w:eastAsia="仿宋"/>
        </w:rPr>
      </w:pPr>
      <w:bookmarkStart w:id="91" w:name="_Toc5392"/>
      <w:bookmarkStart w:id="92"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91"/>
      <w:bookmarkEnd w:id="92"/>
    </w:p>
    <w:p w14:paraId="6551A182">
      <w:pPr>
        <w:pStyle w:val="3"/>
        <w:rPr>
          <w:rFonts w:ascii="仿宋" w:hAnsi="仿宋" w:eastAsia="仿宋"/>
        </w:rPr>
      </w:pPr>
      <w:bookmarkStart w:id="93" w:name="_Toc14478"/>
      <w:bookmarkStart w:id="94"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3"/>
      <w:bookmarkEnd w:id="94"/>
    </w:p>
    <w:p w14:paraId="313F3304">
      <w:pPr>
        <w:pStyle w:val="3"/>
        <w:rPr>
          <w:rFonts w:ascii="仿宋" w:hAnsi="仿宋" w:eastAsia="仿宋"/>
        </w:rPr>
      </w:pPr>
      <w:bookmarkStart w:id="95" w:name="_Toc15396627"/>
      <w:bookmarkStart w:id="96" w:name="_Toc12863"/>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95"/>
      <w:bookmarkEnd w:id="96"/>
    </w:p>
    <w:p w14:paraId="2CF6DC2A">
      <w:pPr>
        <w:pStyle w:val="3"/>
        <w:rPr>
          <w:rFonts w:ascii="仿宋" w:hAnsi="仿宋" w:eastAsia="仿宋"/>
        </w:rPr>
      </w:pPr>
      <w:bookmarkStart w:id="97" w:name="_Toc15396628"/>
      <w:bookmarkStart w:id="98" w:name="_Toc29276"/>
      <w:r>
        <w:rPr>
          <w:rStyle w:val="28"/>
          <w:rFonts w:hint="eastAsia" w:ascii="仿宋" w:hAnsi="仿宋" w:eastAsia="仿宋"/>
          <w:b w:val="0"/>
          <w:bCs w:val="0"/>
        </w:rPr>
        <w:t>十、</w:t>
      </w:r>
      <w:bookmarkEnd w:id="97"/>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98"/>
    </w:p>
    <w:p w14:paraId="0EF721E7">
      <w:pPr>
        <w:pStyle w:val="3"/>
        <w:rPr>
          <w:rFonts w:ascii="仿宋" w:hAnsi="仿宋" w:eastAsia="仿宋"/>
        </w:rPr>
      </w:pPr>
      <w:bookmarkStart w:id="99" w:name="_Toc15396629"/>
      <w:bookmarkStart w:id="100" w:name="_Toc23911"/>
      <w:r>
        <w:rPr>
          <w:rStyle w:val="28"/>
          <w:rFonts w:hint="eastAsia" w:ascii="仿宋" w:hAnsi="仿宋" w:eastAsia="仿宋"/>
          <w:b w:val="0"/>
          <w:bCs w:val="0"/>
        </w:rPr>
        <w:t>十一、</w:t>
      </w:r>
      <w:bookmarkEnd w:id="99"/>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100"/>
    </w:p>
    <w:p w14:paraId="63B1656A">
      <w:pPr>
        <w:pStyle w:val="3"/>
        <w:rPr>
          <w:rFonts w:ascii="仿宋" w:hAnsi="仿宋" w:eastAsia="仿宋"/>
        </w:rPr>
      </w:pPr>
      <w:bookmarkStart w:id="101" w:name="_Toc15396630"/>
      <w:bookmarkStart w:id="102" w:name="_Toc16726"/>
      <w:r>
        <w:rPr>
          <w:rStyle w:val="28"/>
          <w:rFonts w:hint="eastAsia" w:ascii="仿宋" w:hAnsi="仿宋" w:eastAsia="仿宋"/>
          <w:b w:val="0"/>
          <w:bCs w:val="0"/>
        </w:rPr>
        <w:t>十二、</w:t>
      </w:r>
      <w:bookmarkEnd w:id="101"/>
      <w:r>
        <w:rPr>
          <w:rStyle w:val="28"/>
          <w:rFonts w:hint="eastAsia" w:ascii="仿宋" w:hAnsi="仿宋" w:eastAsia="仿宋"/>
          <w:b w:val="0"/>
          <w:bCs w:val="0"/>
        </w:rPr>
        <w:t>国有资本经营预算财政拨款支出决算表</w:t>
      </w:r>
      <w:bookmarkEnd w:id="102"/>
    </w:p>
    <w:p w14:paraId="1D994BA0">
      <w:pPr>
        <w:pStyle w:val="3"/>
        <w:rPr>
          <w:rFonts w:eastAsia="仿宋"/>
        </w:rPr>
      </w:pPr>
      <w:bookmarkStart w:id="103" w:name="_Toc15396631"/>
      <w:bookmarkStart w:id="104" w:name="_Toc28873"/>
      <w:r>
        <w:rPr>
          <w:rStyle w:val="28"/>
          <w:rFonts w:hint="eastAsia" w:ascii="仿宋" w:hAnsi="仿宋" w:eastAsia="仿宋"/>
          <w:b w:val="0"/>
          <w:bCs w:val="0"/>
        </w:rPr>
        <w:t>十三、</w:t>
      </w:r>
      <w:bookmarkEnd w:id="103"/>
      <w:r>
        <w:rPr>
          <w:rStyle w:val="28"/>
          <w:rFonts w:hint="eastAsia" w:ascii="仿宋" w:hAnsi="仿宋" w:eastAsia="仿宋"/>
          <w:b w:val="0"/>
          <w:bCs w:val="0"/>
        </w:rPr>
        <w:t>财政拨款“三公”经费支出决算表</w:t>
      </w:r>
      <w:bookmarkEnd w:id="10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FA0D15D">
        <w:pPr>
          <w:pStyle w:val="9"/>
          <w:jc w:val="center"/>
        </w:pPr>
        <w:r>
          <w:fldChar w:fldCharType="begin"/>
        </w:r>
        <w:r>
          <w:instrText xml:space="preserve">PAGE   \* MERGEFORMAT</w:instrText>
        </w:r>
        <w:r>
          <w:fldChar w:fldCharType="separate"/>
        </w:r>
        <w:r>
          <w:rPr>
            <w:lang w:val="zh-CN"/>
          </w:rPr>
          <w:t>15</w:t>
        </w:r>
        <w:r>
          <w:fldChar w:fldCharType="end"/>
        </w:r>
      </w:p>
    </w:sdtContent>
  </w:sdt>
  <w:p w14:paraId="3C9E17B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64CB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NzI0OThiMDhjYjY1YmFkNWU1MGU3NjJiZGZmM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8B6C5B"/>
    <w:rsid w:val="03DC2831"/>
    <w:rsid w:val="043A41DC"/>
    <w:rsid w:val="081B5E94"/>
    <w:rsid w:val="08AF3731"/>
    <w:rsid w:val="0A2032A3"/>
    <w:rsid w:val="0A590272"/>
    <w:rsid w:val="0B8A37D8"/>
    <w:rsid w:val="0F5FFB2F"/>
    <w:rsid w:val="0FFFCF60"/>
    <w:rsid w:val="10C055FF"/>
    <w:rsid w:val="118107EC"/>
    <w:rsid w:val="11DD6519"/>
    <w:rsid w:val="16077093"/>
    <w:rsid w:val="16BB723D"/>
    <w:rsid w:val="18015F3F"/>
    <w:rsid w:val="1BE8440E"/>
    <w:rsid w:val="1D155CEE"/>
    <w:rsid w:val="1FDBBF84"/>
    <w:rsid w:val="20DB53A4"/>
    <w:rsid w:val="20F57F95"/>
    <w:rsid w:val="20FC7D99"/>
    <w:rsid w:val="240371BF"/>
    <w:rsid w:val="24501921"/>
    <w:rsid w:val="25711CC6"/>
    <w:rsid w:val="25C741E6"/>
    <w:rsid w:val="276F80C0"/>
    <w:rsid w:val="27842671"/>
    <w:rsid w:val="29F3792F"/>
    <w:rsid w:val="29FD04D3"/>
    <w:rsid w:val="2A8F53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C627AB3"/>
    <w:rsid w:val="3EE7C2F4"/>
    <w:rsid w:val="3F371B56"/>
    <w:rsid w:val="3F792ED8"/>
    <w:rsid w:val="3F9F3A96"/>
    <w:rsid w:val="3FECA4B2"/>
    <w:rsid w:val="3FF58C48"/>
    <w:rsid w:val="42FF6694"/>
    <w:rsid w:val="48BF60AB"/>
    <w:rsid w:val="48F62301"/>
    <w:rsid w:val="493C27E9"/>
    <w:rsid w:val="496F39ED"/>
    <w:rsid w:val="49FF41D3"/>
    <w:rsid w:val="4BE068DB"/>
    <w:rsid w:val="4BF6002B"/>
    <w:rsid w:val="4BFFC6BE"/>
    <w:rsid w:val="4D400AC5"/>
    <w:rsid w:val="4ECE2238"/>
    <w:rsid w:val="51AB2CF6"/>
    <w:rsid w:val="51DB4B86"/>
    <w:rsid w:val="51F64DB0"/>
    <w:rsid w:val="55333C3E"/>
    <w:rsid w:val="5F67802D"/>
    <w:rsid w:val="5F7DC4F2"/>
    <w:rsid w:val="5FB36814"/>
    <w:rsid w:val="5FBB8E56"/>
    <w:rsid w:val="5FFB5535"/>
    <w:rsid w:val="64CA39A1"/>
    <w:rsid w:val="67842C99"/>
    <w:rsid w:val="679B43E7"/>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80C5D59"/>
    <w:rsid w:val="79B517AA"/>
    <w:rsid w:val="79E7B28D"/>
    <w:rsid w:val="7ACFF0C2"/>
    <w:rsid w:val="7AFB9108"/>
    <w:rsid w:val="7BD5340C"/>
    <w:rsid w:val="7BFB19D2"/>
    <w:rsid w:val="7BFD1750"/>
    <w:rsid w:val="7BFDAA1B"/>
    <w:rsid w:val="7CDF9A82"/>
    <w:rsid w:val="7CFFA1BD"/>
    <w:rsid w:val="7D2E3F7A"/>
    <w:rsid w:val="7DED9490"/>
    <w:rsid w:val="7DFF4872"/>
    <w:rsid w:val="7E34091B"/>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4960</Words>
  <Characters>5327</Characters>
  <Lines>54</Lines>
  <Paragraphs>15</Paragraphs>
  <TotalTime>3</TotalTime>
  <ScaleCrop>false</ScaleCrop>
  <LinksUpToDate>false</LinksUpToDate>
  <CharactersWithSpaces>5443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晓凤</cp:lastModifiedBy>
  <cp:lastPrinted>2023-08-03T02:35:00Z</cp:lastPrinted>
  <dcterms:modified xsi:type="dcterms:W3CDTF">2024-10-24T03:30:40Z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044DEA4474204BA7B039790FD7B243AA_12</vt:lpwstr>
  </property>
</Properties>
</file>