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94916">
      <w:pPr>
        <w:spacing w:line="600" w:lineRule="exact"/>
        <w:jc w:val="left"/>
        <w:outlineLvl w:val="9"/>
        <w:rPr>
          <w:rFonts w:ascii="方正小标宋简体" w:hAnsi="宋体" w:eastAsia="方正小标宋简体"/>
          <w:sz w:val="44"/>
          <w:szCs w:val="44"/>
        </w:rPr>
      </w:pPr>
      <w:bookmarkStart w:id="0" w:name="_Toc15306267"/>
    </w:p>
    <w:p w14:paraId="398E52C5">
      <w:pPr>
        <w:pStyle w:val="5"/>
        <w:spacing w:before="93"/>
      </w:pPr>
    </w:p>
    <w:p w14:paraId="68C2C8DC">
      <w:pPr>
        <w:spacing w:line="600" w:lineRule="exact"/>
        <w:jc w:val="center"/>
        <w:outlineLvl w:val="9"/>
        <w:rPr>
          <w:rFonts w:ascii="方正小标宋简体" w:hAnsi="宋体" w:eastAsia="方正小标宋简体"/>
          <w:sz w:val="72"/>
          <w:szCs w:val="72"/>
        </w:rPr>
      </w:pPr>
    </w:p>
    <w:p w14:paraId="37C5BE18">
      <w:pPr>
        <w:spacing w:line="600" w:lineRule="exact"/>
        <w:jc w:val="center"/>
        <w:outlineLvl w:val="9"/>
        <w:rPr>
          <w:rFonts w:ascii="方正小标宋简体" w:hAnsi="宋体" w:eastAsia="方正小标宋简体"/>
          <w:sz w:val="72"/>
          <w:szCs w:val="72"/>
        </w:rPr>
      </w:pPr>
    </w:p>
    <w:p w14:paraId="1A1F4129">
      <w:pPr>
        <w:adjustRightInd w:val="0"/>
        <w:snapToGrid w:val="0"/>
        <w:spacing w:line="360" w:lineRule="auto"/>
        <w:jc w:val="center"/>
        <w:outlineLvl w:val="0"/>
        <w:rPr>
          <w:rFonts w:ascii="方正小标宋简体" w:hAnsi="方正小标宋简体" w:eastAsia="方正小标宋简体" w:cs="方正小标宋简体"/>
          <w:sz w:val="44"/>
          <w:szCs w:val="44"/>
          <w:highlight w:val="none"/>
        </w:rPr>
      </w:pPr>
      <w:bookmarkStart w:id="1" w:name="_Toc15378441"/>
      <w:bookmarkStart w:id="2" w:name="_Toc4066"/>
      <w:bookmarkStart w:id="3" w:name="_Toc15377425"/>
      <w:bookmarkStart w:id="4" w:name="_Toc15396475"/>
      <w:bookmarkStart w:id="5" w:name="_Toc15377193"/>
      <w:bookmarkStart w:id="6" w:name="_Toc15396597"/>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bookmarkEnd w:id="1"/>
      <w:bookmarkEnd w:id="2"/>
      <w:bookmarkEnd w:id="3"/>
      <w:bookmarkEnd w:id="4"/>
      <w:bookmarkEnd w:id="5"/>
      <w:bookmarkEnd w:id="6"/>
    </w:p>
    <w:bookmarkEnd w:id="0"/>
    <w:p w14:paraId="723A2F98">
      <w:pPr>
        <w:adjustRightInd w:val="0"/>
        <w:snapToGrid w:val="0"/>
        <w:spacing w:line="360" w:lineRule="auto"/>
        <w:jc w:val="center"/>
        <w:outlineLvl w:val="0"/>
        <w:rPr>
          <w:rFonts w:hint="eastAsia" w:ascii="方正小标宋简体" w:hAnsi="方正小标宋简体" w:eastAsia="方正小标宋简体" w:cs="方正小标宋简体"/>
          <w:sz w:val="44"/>
          <w:szCs w:val="44"/>
          <w:highlight w:val="none"/>
          <w:lang w:val="en-US" w:eastAsia="zh-CN"/>
        </w:rPr>
      </w:pPr>
      <w:bookmarkStart w:id="7" w:name="_Toc15377426"/>
      <w:bookmarkStart w:id="8" w:name="_Toc15306268"/>
      <w:bookmarkStart w:id="9" w:name="_Toc15396476"/>
      <w:bookmarkStart w:id="10" w:name="_Toc15396598"/>
      <w:bookmarkStart w:id="11" w:name="_Toc15377194"/>
      <w:bookmarkStart w:id="12" w:name="_Toc15378442"/>
      <w:bookmarkStart w:id="13" w:name="_Toc17075"/>
      <w:r>
        <w:rPr>
          <w:rFonts w:hint="eastAsia" w:ascii="方正小标宋简体" w:hAnsi="方正小标宋简体" w:eastAsia="方正小标宋简体" w:cs="方正小标宋简体"/>
          <w:sz w:val="44"/>
          <w:szCs w:val="44"/>
          <w:highlight w:val="none"/>
          <w:lang w:val="en-US" w:eastAsia="zh-CN"/>
        </w:rPr>
        <w:t>峨边彝族自治县五渡镇中心小学</w:t>
      </w:r>
    </w:p>
    <w:p w14:paraId="3D3E73E7">
      <w:pPr>
        <w:adjustRightInd w:val="0"/>
        <w:snapToGrid w:val="0"/>
        <w:spacing w:line="360" w:lineRule="auto"/>
        <w:jc w:val="center"/>
        <w:outlineLvl w:val="0"/>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单位</w:t>
      </w:r>
      <w:r>
        <w:rPr>
          <w:rFonts w:hint="eastAsia" w:ascii="方正小标宋简体" w:hAnsi="方正小标宋简体" w:eastAsia="方正小标宋简体" w:cs="方正小标宋简体"/>
          <w:sz w:val="44"/>
          <w:szCs w:val="44"/>
          <w:highlight w:val="none"/>
        </w:rPr>
        <w:t>决算</w:t>
      </w:r>
      <w:bookmarkEnd w:id="7"/>
      <w:bookmarkEnd w:id="8"/>
      <w:bookmarkEnd w:id="9"/>
      <w:bookmarkEnd w:id="10"/>
      <w:bookmarkEnd w:id="11"/>
      <w:bookmarkEnd w:id="12"/>
      <w:r>
        <w:rPr>
          <w:rFonts w:hint="eastAsia" w:ascii="方正小标宋简体" w:hAnsi="方正小标宋简体" w:eastAsia="方正小标宋简体" w:cs="方正小标宋简体"/>
          <w:sz w:val="44"/>
          <w:szCs w:val="44"/>
          <w:highlight w:val="none"/>
          <w:lang w:val="en-US" w:eastAsia="zh-CN"/>
        </w:rPr>
        <w:t>公开</w:t>
      </w:r>
      <w:bookmarkEnd w:id="13"/>
    </w:p>
    <w:p w14:paraId="0DFDF0B0">
      <w:pPr>
        <w:adjustRightInd w:val="0"/>
        <w:snapToGrid w:val="0"/>
        <w:spacing w:line="360" w:lineRule="auto"/>
        <w:jc w:val="center"/>
        <w:outlineLvl w:val="9"/>
        <w:rPr>
          <w:rFonts w:ascii="方正小标宋简体" w:hAnsi="宋体" w:eastAsia="方正小标宋简体"/>
          <w:sz w:val="52"/>
          <w:szCs w:val="52"/>
        </w:rPr>
      </w:pPr>
    </w:p>
    <w:p w14:paraId="0E0E9263">
      <w:pPr>
        <w:widowControl/>
        <w:jc w:val="center"/>
        <w:rPr>
          <w:rFonts w:ascii="方正小标宋简体" w:hAnsi="宋体" w:eastAsia="方正小标宋简体"/>
          <w:sz w:val="36"/>
          <w:szCs w:val="36"/>
        </w:rPr>
      </w:pPr>
    </w:p>
    <w:p w14:paraId="1D7BE77F">
      <w:pPr>
        <w:bidi w:val="0"/>
        <w:rPr>
          <w:rFonts w:ascii="方正小标宋简体" w:hAnsi="宋体" w:eastAsia="方正小标宋简体"/>
          <w:sz w:val="36"/>
          <w:szCs w:val="36"/>
        </w:rPr>
      </w:pPr>
    </w:p>
    <w:p w14:paraId="3FC8B272">
      <w:pPr>
        <w:bidi w:val="0"/>
        <w:rPr>
          <w:rFonts w:ascii="方正小标宋简体" w:hAnsi="宋体" w:eastAsia="方正小标宋简体"/>
          <w:sz w:val="36"/>
          <w:szCs w:val="36"/>
        </w:rPr>
      </w:pPr>
    </w:p>
    <w:p w14:paraId="00C0C7DA">
      <w:pPr>
        <w:bidi w:val="0"/>
        <w:rPr>
          <w:rFonts w:ascii="方正小标宋简体" w:hAnsi="宋体" w:eastAsia="方正小标宋简体"/>
          <w:sz w:val="36"/>
          <w:szCs w:val="36"/>
        </w:rPr>
      </w:pPr>
    </w:p>
    <w:p w14:paraId="6867F979">
      <w:pPr>
        <w:bidi w:val="0"/>
        <w:rPr>
          <w:rFonts w:ascii="方正小标宋简体" w:hAnsi="宋体" w:eastAsia="方正小标宋简体"/>
          <w:sz w:val="36"/>
          <w:szCs w:val="36"/>
        </w:rPr>
      </w:pPr>
    </w:p>
    <w:p w14:paraId="2A90BEDD">
      <w:pPr>
        <w:bidi w:val="0"/>
        <w:rPr>
          <w:rFonts w:ascii="方正小标宋简体" w:hAnsi="宋体" w:eastAsia="方正小标宋简体"/>
          <w:sz w:val="36"/>
          <w:szCs w:val="36"/>
        </w:rPr>
      </w:pPr>
    </w:p>
    <w:p w14:paraId="053EBCBC">
      <w:pPr>
        <w:bidi w:val="0"/>
        <w:rPr>
          <w:rFonts w:ascii="方正小标宋简体" w:hAnsi="宋体" w:eastAsia="方正小标宋简体"/>
          <w:sz w:val="36"/>
          <w:szCs w:val="36"/>
        </w:rPr>
      </w:pPr>
    </w:p>
    <w:p w14:paraId="475C4C06">
      <w:pPr>
        <w:bidi w:val="0"/>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089B4809">
      <w:pPr>
        <w:pStyle w:val="11"/>
        <w:rPr>
          <w:rFonts w:ascii="黑体" w:hAnsi="黑体" w:eastAsia="黑体" w:cstheme="minorBidi"/>
          <w:sz w:val="28"/>
          <w:szCs w:val="28"/>
        </w:rPr>
      </w:pPr>
      <w:r>
        <w:rPr>
          <w:rFonts w:hint="eastAsia"/>
        </w:rPr>
        <w:t>公开时间：202</w:t>
      </w:r>
      <w:r>
        <w:rPr>
          <w:rFonts w:hint="eastAsia"/>
          <w:lang w:val="en-US" w:eastAsia="zh-CN"/>
        </w:rPr>
        <w:t>5</w:t>
      </w:r>
      <w:r>
        <w:rPr>
          <w:rFonts w:hint="eastAsia"/>
        </w:rPr>
        <w:t>年</w:t>
      </w:r>
      <w:r>
        <w:rPr>
          <w:rFonts w:hint="eastAsia"/>
          <w:lang w:val="en-US" w:eastAsia="zh-CN"/>
        </w:rPr>
        <w:t>11</w:t>
      </w:r>
      <w:r>
        <w:rPr>
          <w:rFonts w:hint="eastAsia"/>
        </w:rPr>
        <w:t>月</w:t>
      </w:r>
      <w:r>
        <w:rPr>
          <w:rFonts w:hint="eastAsia"/>
          <w:lang w:val="en-US" w:eastAsia="zh-CN"/>
        </w:rPr>
        <w:t>27</w:t>
      </w:r>
      <w:r>
        <w:rPr>
          <w:rFonts w:hint="eastAsia"/>
        </w:rPr>
        <w:t>日</w:t>
      </w:r>
    </w:p>
    <w:p w14:paraId="47E47D2C">
      <w:pPr>
        <w:pStyle w:val="11"/>
        <w:tabs>
          <w:tab w:val="right" w:leader="dot" w:pos="8306"/>
          <w:tab w:val="clear" w:pos="8296"/>
        </w:tabs>
        <w:jc w:val="both"/>
      </w:pPr>
      <w:bookmarkStart w:id="14" w:name="_Toc15396599"/>
      <w:bookmarkStart w:id="15" w:name="_Toc15377196"/>
      <w:r>
        <w:fldChar w:fldCharType="begin"/>
      </w:r>
      <w:r>
        <w:instrText xml:space="preserve">TOC \o "1-3" \h \u </w:instrText>
      </w:r>
      <w:r>
        <w:fldChar w:fldCharType="separate"/>
      </w:r>
    </w:p>
    <w:p w14:paraId="1706CBFF">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_Toc29169 </w:instrText>
      </w:r>
      <w:r>
        <w:fldChar w:fldCharType="separate"/>
      </w:r>
      <w:r>
        <w:rPr>
          <w:rFonts w:hint="eastAsia" w:ascii="仿宋" w:hAnsi="仿宋" w:eastAsia="仿宋" w:cs="仿宋"/>
          <w:sz w:val="24"/>
          <w:szCs w:val="24"/>
        </w:rPr>
        <w:t>第一部分 单位</w:t>
      </w:r>
      <w:r>
        <w:rPr>
          <w:rFonts w:hint="eastAsia" w:ascii="仿宋" w:hAnsi="仿宋" w:eastAsia="仿宋" w:cs="仿宋"/>
          <w:bCs w:val="0"/>
          <w:sz w:val="24"/>
          <w:szCs w:val="24"/>
        </w:rPr>
        <w:t>概况</w:t>
      </w:r>
      <w:r>
        <w:tab/>
      </w:r>
      <w:r>
        <w:fldChar w:fldCharType="begin"/>
      </w:r>
      <w:r>
        <w:instrText xml:space="preserve"> PAGEREF _Toc29169 \h </w:instrText>
      </w:r>
      <w:r>
        <w:fldChar w:fldCharType="separate"/>
      </w:r>
      <w:r>
        <w:t>4</w:t>
      </w:r>
      <w:r>
        <w:fldChar w:fldCharType="end"/>
      </w:r>
      <w:r>
        <w:fldChar w:fldCharType="end"/>
      </w:r>
    </w:p>
    <w:p w14:paraId="0745288E">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_Toc28438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bCs w:val="0"/>
          <w:sz w:val="24"/>
          <w:szCs w:val="32"/>
        </w:rPr>
        <w:t>一、 主要职责</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PAGEREF _Toc28438 \h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sz w:val="24"/>
          <w:szCs w:val="32"/>
        </w:rPr>
        <w:t>4</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rPr>
        <w:fldChar w:fldCharType="end"/>
      </w:r>
    </w:p>
    <w:p w14:paraId="2FE37489">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_Toc28982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sz w:val="24"/>
          <w:szCs w:val="32"/>
        </w:rPr>
        <w:t>二、机构设置</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PAGEREF _Toc28982 \h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sz w:val="24"/>
          <w:szCs w:val="32"/>
        </w:rPr>
        <w:t>4</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rPr>
        <w:fldChar w:fldCharType="end"/>
      </w:r>
    </w:p>
    <w:p w14:paraId="2DED0906">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_Toc28572 </w:instrText>
      </w:r>
      <w:r>
        <w:fldChar w:fldCharType="separate"/>
      </w:r>
      <w:r>
        <w:rPr>
          <w:rFonts w:hint="eastAsia" w:ascii="仿宋" w:hAnsi="仿宋" w:eastAsia="仿宋" w:cs="仿宋"/>
          <w:sz w:val="24"/>
          <w:szCs w:val="24"/>
        </w:rPr>
        <w:t>第二部分 202</w:t>
      </w:r>
      <w:r>
        <w:rPr>
          <w:rFonts w:hint="eastAsia" w:ascii="仿宋" w:hAnsi="仿宋" w:eastAsia="仿宋" w:cs="仿宋"/>
          <w:sz w:val="24"/>
          <w:szCs w:val="24"/>
          <w:lang w:val="en-US" w:eastAsia="zh-CN"/>
        </w:rPr>
        <w:t>4</w:t>
      </w:r>
      <w:r>
        <w:rPr>
          <w:rFonts w:hint="eastAsia" w:ascii="仿宋" w:hAnsi="仿宋" w:eastAsia="仿宋" w:cs="仿宋"/>
          <w:sz w:val="24"/>
          <w:szCs w:val="24"/>
        </w:rPr>
        <w:t>年度单位决算情况说明</w:t>
      </w:r>
      <w:r>
        <w:tab/>
      </w:r>
      <w:r>
        <w:fldChar w:fldCharType="begin"/>
      </w:r>
      <w:r>
        <w:instrText xml:space="preserve"> PAGEREF _Toc28572 \h </w:instrText>
      </w:r>
      <w:r>
        <w:fldChar w:fldCharType="separate"/>
      </w:r>
      <w:r>
        <w:t>5</w:t>
      </w:r>
      <w:r>
        <w:fldChar w:fldCharType="end"/>
      </w:r>
      <w:r>
        <w:fldChar w:fldCharType="end"/>
      </w:r>
    </w:p>
    <w:p w14:paraId="1495F24A">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_Toc20932 </w:instrText>
      </w:r>
      <w:r>
        <w:rPr>
          <w:rFonts w:hint="eastAsia" w:asciiTheme="majorEastAsia" w:hAnsiTheme="majorEastAsia" w:eastAsiaTheme="majorEastAsia" w:cstheme="majorEastAsia"/>
          <w:sz w:val="24"/>
          <w:szCs w:val="32"/>
        </w:rPr>
        <w:fldChar w:fldCharType="separate"/>
      </w:r>
      <w:r>
        <w:rPr>
          <w:rFonts w:hint="default" w:asciiTheme="majorEastAsia" w:hAnsiTheme="majorEastAsia" w:eastAsiaTheme="majorEastAsia" w:cstheme="majorEastAsia"/>
          <w:sz w:val="24"/>
          <w:szCs w:val="32"/>
        </w:rPr>
        <w:t xml:space="preserve">一、 </w:t>
      </w:r>
      <w:r>
        <w:rPr>
          <w:rFonts w:hint="eastAsia" w:asciiTheme="majorEastAsia" w:hAnsiTheme="majorEastAsia" w:eastAsiaTheme="majorEastAsia" w:cstheme="majorEastAsia"/>
          <w:sz w:val="24"/>
          <w:szCs w:val="32"/>
        </w:rPr>
        <w:t>收入支出决算总体情况说明</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PAGEREF _Toc20932 \h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sz w:val="24"/>
          <w:szCs w:val="32"/>
        </w:rPr>
        <w:t>5</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rPr>
        <w:fldChar w:fldCharType="end"/>
      </w:r>
    </w:p>
    <w:p w14:paraId="25EFC035">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_Toc28544 </w:instrText>
      </w:r>
      <w:r>
        <w:rPr>
          <w:rFonts w:hint="eastAsia" w:asciiTheme="majorEastAsia" w:hAnsiTheme="majorEastAsia" w:eastAsiaTheme="majorEastAsia" w:cstheme="majorEastAsia"/>
          <w:sz w:val="24"/>
          <w:szCs w:val="32"/>
        </w:rPr>
        <w:fldChar w:fldCharType="separate"/>
      </w:r>
      <w:r>
        <w:rPr>
          <w:rFonts w:hint="default" w:asciiTheme="majorEastAsia" w:hAnsiTheme="majorEastAsia" w:eastAsiaTheme="majorEastAsia" w:cstheme="majorEastAsia"/>
          <w:sz w:val="24"/>
          <w:szCs w:val="32"/>
        </w:rPr>
        <w:t xml:space="preserve">二、 </w:t>
      </w:r>
      <w:r>
        <w:rPr>
          <w:rFonts w:hint="eastAsia" w:asciiTheme="majorEastAsia" w:hAnsiTheme="majorEastAsia" w:eastAsiaTheme="majorEastAsia" w:cstheme="majorEastAsia"/>
          <w:sz w:val="24"/>
          <w:szCs w:val="32"/>
        </w:rPr>
        <w:t>收入决算情况说明</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PAGEREF _Toc28544 \h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sz w:val="24"/>
          <w:szCs w:val="32"/>
        </w:rPr>
        <w:t>6</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rPr>
        <w:fldChar w:fldCharType="end"/>
      </w:r>
    </w:p>
    <w:p w14:paraId="0408D54F">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_Toc22088 </w:instrText>
      </w:r>
      <w:r>
        <w:rPr>
          <w:rFonts w:hint="eastAsia" w:asciiTheme="majorEastAsia" w:hAnsiTheme="majorEastAsia" w:eastAsiaTheme="majorEastAsia" w:cstheme="majorEastAsia"/>
          <w:sz w:val="24"/>
          <w:szCs w:val="32"/>
        </w:rPr>
        <w:fldChar w:fldCharType="separate"/>
      </w:r>
      <w:r>
        <w:rPr>
          <w:rFonts w:hint="default" w:asciiTheme="majorEastAsia" w:hAnsiTheme="majorEastAsia" w:eastAsiaTheme="majorEastAsia" w:cstheme="majorEastAsia"/>
          <w:sz w:val="24"/>
          <w:szCs w:val="32"/>
        </w:rPr>
        <w:t xml:space="preserve">三、 </w:t>
      </w:r>
      <w:r>
        <w:rPr>
          <w:rFonts w:hint="eastAsia" w:asciiTheme="majorEastAsia" w:hAnsiTheme="majorEastAsia" w:eastAsiaTheme="majorEastAsia" w:cstheme="majorEastAsia"/>
          <w:sz w:val="24"/>
          <w:szCs w:val="32"/>
        </w:rPr>
        <w:t>支出决算情况说明</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PAGEREF _Toc22088 \h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sz w:val="24"/>
          <w:szCs w:val="32"/>
        </w:rPr>
        <w:t>6</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rPr>
        <w:fldChar w:fldCharType="end"/>
      </w:r>
    </w:p>
    <w:p w14:paraId="2F6AE2A5">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_Toc26715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sz w:val="24"/>
          <w:szCs w:val="32"/>
        </w:rPr>
        <w:t>四、财政拨款收入支出决算总体情况说明</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PAGEREF _Toc26715 \h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sz w:val="24"/>
          <w:szCs w:val="32"/>
        </w:rPr>
        <w:t>7</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rPr>
        <w:fldChar w:fldCharType="end"/>
      </w:r>
    </w:p>
    <w:p w14:paraId="37D72B6D">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_Toc4803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sz w:val="24"/>
          <w:szCs w:val="32"/>
        </w:rPr>
        <w:t>五、一般公共预算财政拨款支出决算情况说明</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PAGEREF _Toc4803 \h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sz w:val="24"/>
          <w:szCs w:val="32"/>
        </w:rPr>
        <w:t>8</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rPr>
        <w:fldChar w:fldCharType="end"/>
      </w:r>
    </w:p>
    <w:p w14:paraId="10B16B1C">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_Toc10045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sz w:val="24"/>
          <w:szCs w:val="32"/>
        </w:rPr>
        <w:t>六、一般公共预算财政拨款基本支出决算情况说明</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lang w:val="en-US" w:eastAsia="zh-CN"/>
        </w:rPr>
        <w:t>1</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lang w:val="en-US" w:eastAsia="zh-CN"/>
        </w:rPr>
        <w:t>0</w:t>
      </w:r>
    </w:p>
    <w:p w14:paraId="65481BEC">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eastAsia="宋体"/>
          <w:lang w:val="en-US" w:eastAsia="zh-CN"/>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_Toc15412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sz w:val="24"/>
          <w:szCs w:val="32"/>
        </w:rPr>
        <w:t>七、财政拨款“三公”经费支出决算情况说明</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lang w:val="en-US" w:eastAsia="zh-CN"/>
        </w:rPr>
        <w:t>1</w:t>
      </w:r>
      <w:r>
        <w:rPr>
          <w:rFonts w:hint="eastAsia" w:asciiTheme="majorEastAsia" w:hAnsiTheme="majorEastAsia" w:eastAsiaTheme="majorEastAsia" w:cstheme="majorEastAsia"/>
          <w:sz w:val="24"/>
          <w:szCs w:val="32"/>
          <w:lang w:val="en-US" w:eastAsia="zh-CN"/>
        </w:rPr>
        <w:fldChar w:fldCharType="end"/>
      </w:r>
      <w:r>
        <w:rPr>
          <w:rFonts w:hint="eastAsia" w:asciiTheme="majorEastAsia" w:hAnsiTheme="majorEastAsia" w:eastAsiaTheme="majorEastAsia" w:cstheme="majorEastAsia"/>
          <w:sz w:val="24"/>
          <w:szCs w:val="32"/>
          <w:lang w:val="en-US" w:eastAsia="zh-CN"/>
        </w:rPr>
        <w:t>1</w:t>
      </w:r>
    </w:p>
    <w:p w14:paraId="412816FF">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_Toc17354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sz w:val="24"/>
          <w:szCs w:val="32"/>
        </w:rPr>
        <w:t>八、政府性基金预算支出决算情况说明</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lang w:val="en-US" w:eastAsia="zh-CN"/>
        </w:rPr>
        <w:t>1</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lang w:val="en-US" w:eastAsia="zh-CN"/>
        </w:rPr>
        <w:t>2</w:t>
      </w:r>
    </w:p>
    <w:p w14:paraId="7CA19742">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_Toc5153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sz w:val="24"/>
          <w:szCs w:val="32"/>
        </w:rPr>
        <w:t>九、 国有资本经营预算支出决算情况说明</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lang w:val="en-US" w:eastAsia="zh-CN"/>
        </w:rPr>
        <w:t>1</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lang w:val="en-US" w:eastAsia="zh-CN"/>
        </w:rPr>
        <w:t>2</w:t>
      </w:r>
    </w:p>
    <w:p w14:paraId="127ACD06">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_Toc28723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sz w:val="24"/>
          <w:szCs w:val="32"/>
        </w:rPr>
        <w:t>十、 其他重要事项的情况说明</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lang w:val="en-US" w:eastAsia="zh-CN"/>
        </w:rPr>
        <w:t>1</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lang w:val="en-US" w:eastAsia="zh-CN"/>
        </w:rPr>
        <w:t>3</w:t>
      </w:r>
    </w:p>
    <w:p w14:paraId="034B5AA0">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_Toc15581 </w:instrText>
      </w:r>
      <w:r>
        <w:rPr>
          <w:rFonts w:hint="eastAsia" w:ascii="仿宋" w:hAnsi="仿宋" w:eastAsia="仿宋" w:cs="仿宋"/>
          <w:sz w:val="24"/>
          <w:szCs w:val="24"/>
        </w:rPr>
        <w:fldChar w:fldCharType="separate"/>
      </w:r>
      <w:r>
        <w:rPr>
          <w:rFonts w:hint="eastAsia" w:ascii="仿宋" w:hAnsi="仿宋" w:eastAsia="仿宋" w:cs="仿宋"/>
          <w:sz w:val="24"/>
          <w:szCs w:val="24"/>
        </w:rPr>
        <w:t>第三部分 名词解释</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5</w:t>
      </w:r>
    </w:p>
    <w:p w14:paraId="29263ABD">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_Toc27222 </w:instrText>
      </w:r>
      <w:r>
        <w:rPr>
          <w:rFonts w:hint="eastAsia" w:ascii="仿宋" w:hAnsi="仿宋" w:eastAsia="仿宋" w:cs="仿宋"/>
          <w:sz w:val="24"/>
          <w:szCs w:val="24"/>
        </w:rPr>
        <w:fldChar w:fldCharType="separate"/>
      </w:r>
      <w:r>
        <w:rPr>
          <w:rFonts w:hint="eastAsia" w:ascii="仿宋" w:hAnsi="仿宋" w:eastAsia="仿宋" w:cs="仿宋"/>
          <w:sz w:val="24"/>
          <w:szCs w:val="24"/>
        </w:rPr>
        <w:t>第四部分 附件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_Toc27222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EB8C76A">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eastAsia="仿宋"/>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_Toc20061 </w:instrText>
      </w:r>
      <w:r>
        <w:rPr>
          <w:rFonts w:hint="eastAsia" w:ascii="仿宋" w:hAnsi="仿宋" w:eastAsia="仿宋" w:cs="仿宋"/>
          <w:sz w:val="24"/>
          <w:szCs w:val="24"/>
        </w:rPr>
        <w:fldChar w:fldCharType="separate"/>
      </w:r>
      <w:r>
        <w:rPr>
          <w:rFonts w:hint="eastAsia" w:ascii="仿宋" w:hAnsi="仿宋" w:eastAsia="仿宋" w:cs="仿宋"/>
          <w:sz w:val="24"/>
          <w:szCs w:val="24"/>
        </w:rPr>
        <w:t>第五部分 附表</w:t>
      </w:r>
      <w:r>
        <w:rPr>
          <w:rFonts w:hint="eastAsia" w:ascii="仿宋" w:hAnsi="仿宋" w:eastAsia="仿宋" w:cs="仿宋"/>
          <w:sz w:val="24"/>
          <w:szCs w:val="24"/>
        </w:rPr>
        <w:tab/>
      </w:r>
      <w:r>
        <w:rPr>
          <w:rFonts w:hint="eastAsia" w:ascii="仿宋" w:hAnsi="仿宋" w:eastAsia="仿宋" w:cs="仿宋"/>
          <w:sz w:val="24"/>
          <w:szCs w:val="24"/>
          <w:lang w:val="en-US" w:eastAsia="zh-CN"/>
        </w:rPr>
        <w:t>2</w:t>
      </w:r>
      <w:r>
        <w:rPr>
          <w:rFonts w:hint="eastAsia" w:ascii="仿宋" w:hAnsi="仿宋" w:eastAsia="仿宋" w:cs="仿宋"/>
          <w:sz w:val="24"/>
          <w:szCs w:val="24"/>
        </w:rPr>
        <w:fldChar w:fldCharType="end"/>
      </w:r>
      <w:r>
        <w:rPr>
          <w:rFonts w:hint="eastAsia"/>
          <w:lang w:val="en-US" w:eastAsia="zh-CN"/>
        </w:rPr>
        <w:t>4</w:t>
      </w:r>
    </w:p>
    <w:p w14:paraId="52CB1398">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_Toc18812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sz w:val="24"/>
          <w:szCs w:val="32"/>
        </w:rPr>
        <w:t>一、收</w:t>
      </w:r>
      <w:r>
        <w:rPr>
          <w:rFonts w:hint="eastAsia" w:asciiTheme="majorEastAsia" w:hAnsiTheme="majorEastAsia" w:eastAsiaTheme="majorEastAsia" w:cstheme="majorEastAsia"/>
          <w:bCs w:val="0"/>
          <w:sz w:val="24"/>
          <w:szCs w:val="32"/>
        </w:rPr>
        <w:t>入支出决算总表</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lang w:val="en-US" w:eastAsia="zh-CN"/>
        </w:rPr>
        <w:t>2</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lang w:val="en-US" w:eastAsia="zh-CN"/>
        </w:rPr>
        <w:t>4</w:t>
      </w:r>
    </w:p>
    <w:p w14:paraId="6812CB90">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_Toc10411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sz w:val="24"/>
          <w:szCs w:val="32"/>
        </w:rPr>
        <w:t>二、收</w:t>
      </w:r>
      <w:r>
        <w:rPr>
          <w:rFonts w:hint="eastAsia" w:asciiTheme="majorEastAsia" w:hAnsiTheme="majorEastAsia" w:eastAsiaTheme="majorEastAsia" w:cstheme="majorEastAsia"/>
          <w:bCs w:val="0"/>
          <w:sz w:val="24"/>
          <w:szCs w:val="32"/>
        </w:rPr>
        <w:t>入决算表</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lang w:val="en-US" w:eastAsia="zh-CN"/>
        </w:rPr>
        <w:t>2</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lang w:val="en-US" w:eastAsia="zh-CN"/>
        </w:rPr>
        <w:t>4</w:t>
      </w:r>
    </w:p>
    <w:p w14:paraId="116BA1D8">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_Toc13423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bCs w:val="0"/>
          <w:sz w:val="24"/>
          <w:szCs w:val="32"/>
        </w:rPr>
        <w:t>三、</w:t>
      </w:r>
      <w:r>
        <w:rPr>
          <w:rFonts w:hint="eastAsia" w:asciiTheme="majorEastAsia" w:hAnsiTheme="majorEastAsia" w:eastAsiaTheme="majorEastAsia" w:cstheme="majorEastAsia"/>
          <w:sz w:val="24"/>
          <w:szCs w:val="32"/>
        </w:rPr>
        <w:t>支</w:t>
      </w:r>
      <w:r>
        <w:rPr>
          <w:rFonts w:hint="eastAsia" w:asciiTheme="majorEastAsia" w:hAnsiTheme="majorEastAsia" w:eastAsiaTheme="majorEastAsia" w:cstheme="majorEastAsia"/>
          <w:bCs w:val="0"/>
          <w:sz w:val="24"/>
          <w:szCs w:val="32"/>
        </w:rPr>
        <w:t>出决算表</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lang w:val="en-US" w:eastAsia="zh-CN"/>
        </w:rPr>
        <w:t>2</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lang w:val="en-US" w:eastAsia="zh-CN"/>
        </w:rPr>
        <w:t>4</w:t>
      </w:r>
    </w:p>
    <w:p w14:paraId="6CF0EADE">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_Toc1116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bCs w:val="0"/>
          <w:sz w:val="24"/>
          <w:szCs w:val="32"/>
        </w:rPr>
        <w:t>四、</w:t>
      </w:r>
      <w:r>
        <w:rPr>
          <w:rFonts w:hint="eastAsia" w:asciiTheme="majorEastAsia" w:hAnsiTheme="majorEastAsia" w:eastAsiaTheme="majorEastAsia" w:cstheme="majorEastAsia"/>
          <w:sz w:val="24"/>
          <w:szCs w:val="32"/>
        </w:rPr>
        <w:t>财</w:t>
      </w:r>
      <w:r>
        <w:rPr>
          <w:rFonts w:hint="eastAsia" w:asciiTheme="majorEastAsia" w:hAnsiTheme="majorEastAsia" w:eastAsiaTheme="majorEastAsia" w:cstheme="majorEastAsia"/>
          <w:bCs w:val="0"/>
          <w:sz w:val="24"/>
          <w:szCs w:val="32"/>
        </w:rPr>
        <w:t>政拨款收入支出决算总表</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lang w:val="en-US" w:eastAsia="zh-CN"/>
        </w:rPr>
        <w:t>2</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lang w:val="en-US" w:eastAsia="zh-CN"/>
        </w:rPr>
        <w:t>4</w:t>
      </w:r>
    </w:p>
    <w:p w14:paraId="096CBCAE">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_Toc11608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bCs w:val="0"/>
          <w:sz w:val="24"/>
          <w:szCs w:val="32"/>
        </w:rPr>
        <w:t>五、</w:t>
      </w:r>
      <w:r>
        <w:rPr>
          <w:rFonts w:hint="eastAsia" w:asciiTheme="majorEastAsia" w:hAnsiTheme="majorEastAsia" w:eastAsiaTheme="majorEastAsia" w:cstheme="majorEastAsia"/>
          <w:sz w:val="24"/>
          <w:szCs w:val="32"/>
        </w:rPr>
        <w:t>财</w:t>
      </w:r>
      <w:r>
        <w:rPr>
          <w:rFonts w:hint="eastAsia" w:asciiTheme="majorEastAsia" w:hAnsiTheme="majorEastAsia" w:eastAsiaTheme="majorEastAsia" w:cstheme="majorEastAsia"/>
          <w:bCs w:val="0"/>
          <w:sz w:val="24"/>
          <w:szCs w:val="32"/>
        </w:rPr>
        <w:t>政拨款支出决算明细表</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lang w:val="en-US" w:eastAsia="zh-CN"/>
        </w:rPr>
        <w:t>2</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lang w:val="en-US" w:eastAsia="zh-CN"/>
        </w:rPr>
        <w:t>4</w:t>
      </w:r>
    </w:p>
    <w:p w14:paraId="19A484ED">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_Toc20683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bCs w:val="0"/>
          <w:sz w:val="24"/>
          <w:szCs w:val="32"/>
        </w:rPr>
        <w:t>六、</w:t>
      </w:r>
      <w:r>
        <w:rPr>
          <w:rFonts w:hint="eastAsia" w:asciiTheme="majorEastAsia" w:hAnsiTheme="majorEastAsia" w:eastAsiaTheme="majorEastAsia" w:cstheme="majorEastAsia"/>
          <w:sz w:val="24"/>
          <w:szCs w:val="32"/>
        </w:rPr>
        <w:t>一</w:t>
      </w:r>
      <w:r>
        <w:rPr>
          <w:rFonts w:hint="eastAsia" w:asciiTheme="majorEastAsia" w:hAnsiTheme="majorEastAsia" w:eastAsiaTheme="majorEastAsia" w:cstheme="majorEastAsia"/>
          <w:bCs w:val="0"/>
          <w:sz w:val="24"/>
          <w:szCs w:val="32"/>
        </w:rPr>
        <w:t>般公共预算财政拨款支出决算表</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lang w:val="en-US" w:eastAsia="zh-CN"/>
        </w:rPr>
        <w:t>2</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lang w:val="en-US" w:eastAsia="zh-CN"/>
        </w:rPr>
        <w:t>4</w:t>
      </w:r>
    </w:p>
    <w:p w14:paraId="29D216B2">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_Toc4393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bCs w:val="0"/>
          <w:sz w:val="24"/>
          <w:szCs w:val="32"/>
        </w:rPr>
        <w:t>七、</w:t>
      </w:r>
      <w:r>
        <w:rPr>
          <w:rFonts w:hint="eastAsia" w:asciiTheme="majorEastAsia" w:hAnsiTheme="majorEastAsia" w:eastAsiaTheme="majorEastAsia" w:cstheme="majorEastAsia"/>
          <w:sz w:val="24"/>
          <w:szCs w:val="32"/>
        </w:rPr>
        <w:t>一</w:t>
      </w:r>
      <w:r>
        <w:rPr>
          <w:rFonts w:hint="eastAsia" w:asciiTheme="majorEastAsia" w:hAnsiTheme="majorEastAsia" w:eastAsiaTheme="majorEastAsia" w:cstheme="majorEastAsia"/>
          <w:bCs w:val="0"/>
          <w:sz w:val="24"/>
          <w:szCs w:val="32"/>
        </w:rPr>
        <w:t>般公共预算财政拨款支出决算明细表</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lang w:val="en-US" w:eastAsia="zh-CN"/>
        </w:rPr>
        <w:t>2</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lang w:val="en-US" w:eastAsia="zh-CN"/>
        </w:rPr>
        <w:t>4</w:t>
      </w:r>
    </w:p>
    <w:p w14:paraId="244D1246">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_Toc32287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bCs w:val="0"/>
          <w:sz w:val="24"/>
          <w:szCs w:val="32"/>
        </w:rPr>
        <w:t>八、</w:t>
      </w:r>
      <w:r>
        <w:rPr>
          <w:rFonts w:hint="eastAsia" w:asciiTheme="majorEastAsia" w:hAnsiTheme="majorEastAsia" w:eastAsiaTheme="majorEastAsia" w:cstheme="majorEastAsia"/>
          <w:sz w:val="24"/>
          <w:szCs w:val="32"/>
        </w:rPr>
        <w:t>一</w:t>
      </w:r>
      <w:r>
        <w:rPr>
          <w:rFonts w:hint="eastAsia" w:asciiTheme="majorEastAsia" w:hAnsiTheme="majorEastAsia" w:eastAsiaTheme="majorEastAsia" w:cstheme="majorEastAsia"/>
          <w:bCs w:val="0"/>
          <w:sz w:val="24"/>
          <w:szCs w:val="32"/>
        </w:rPr>
        <w:t>般公共预算财政拨款基本支出决算表</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lang w:val="en-US" w:eastAsia="zh-CN"/>
        </w:rPr>
        <w:t>2</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lang w:val="en-US" w:eastAsia="zh-CN"/>
        </w:rPr>
        <w:t>4</w:t>
      </w:r>
    </w:p>
    <w:p w14:paraId="7187E0D5">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_Toc25217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bCs w:val="0"/>
          <w:sz w:val="24"/>
          <w:szCs w:val="32"/>
        </w:rPr>
        <w:t>九、</w:t>
      </w:r>
      <w:r>
        <w:rPr>
          <w:rFonts w:hint="eastAsia" w:asciiTheme="majorEastAsia" w:hAnsiTheme="majorEastAsia" w:eastAsiaTheme="majorEastAsia" w:cstheme="majorEastAsia"/>
          <w:sz w:val="24"/>
          <w:szCs w:val="32"/>
        </w:rPr>
        <w:t>一</w:t>
      </w:r>
      <w:r>
        <w:rPr>
          <w:rFonts w:hint="eastAsia" w:asciiTheme="majorEastAsia" w:hAnsiTheme="majorEastAsia" w:eastAsiaTheme="majorEastAsia" w:cstheme="majorEastAsia"/>
          <w:bCs w:val="0"/>
          <w:sz w:val="24"/>
          <w:szCs w:val="32"/>
        </w:rPr>
        <w:t>般公共预算财政拨款项目支出决算表</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lang w:val="en-US" w:eastAsia="zh-CN"/>
        </w:rPr>
        <w:t>24</w:t>
      </w:r>
      <w:r>
        <w:rPr>
          <w:rFonts w:hint="eastAsia" w:asciiTheme="majorEastAsia" w:hAnsiTheme="majorEastAsia" w:eastAsiaTheme="majorEastAsia" w:cstheme="majorEastAsia"/>
          <w:sz w:val="24"/>
          <w:szCs w:val="32"/>
        </w:rPr>
        <w:fldChar w:fldCharType="end"/>
      </w:r>
    </w:p>
    <w:p w14:paraId="0857592A">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_Toc21308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bCs w:val="0"/>
          <w:sz w:val="24"/>
          <w:szCs w:val="32"/>
        </w:rPr>
        <w:t>十、</w:t>
      </w:r>
      <w:r>
        <w:rPr>
          <w:rFonts w:hint="eastAsia" w:asciiTheme="majorEastAsia" w:hAnsiTheme="majorEastAsia" w:eastAsiaTheme="majorEastAsia" w:cstheme="majorEastAsia"/>
          <w:sz w:val="24"/>
          <w:szCs w:val="32"/>
        </w:rPr>
        <w:t>政</w:t>
      </w:r>
      <w:r>
        <w:rPr>
          <w:rFonts w:hint="eastAsia" w:asciiTheme="majorEastAsia" w:hAnsiTheme="majorEastAsia" w:eastAsiaTheme="majorEastAsia" w:cstheme="majorEastAsia"/>
          <w:bCs w:val="0"/>
          <w:sz w:val="24"/>
          <w:szCs w:val="32"/>
        </w:rPr>
        <w:t>府性基金预算财政拨款收入支出决算表</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lang w:val="en-US" w:eastAsia="zh-CN"/>
        </w:rPr>
        <w:t>2</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lang w:val="en-US" w:eastAsia="zh-CN"/>
        </w:rPr>
        <w:t>4</w:t>
      </w:r>
    </w:p>
    <w:p w14:paraId="568CBA11">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_Toc2129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bCs w:val="0"/>
          <w:sz w:val="24"/>
          <w:szCs w:val="32"/>
        </w:rPr>
        <w:t>十一、</w:t>
      </w:r>
      <w:r>
        <w:rPr>
          <w:rFonts w:hint="eastAsia" w:asciiTheme="majorEastAsia" w:hAnsiTheme="majorEastAsia" w:eastAsiaTheme="majorEastAsia" w:cstheme="majorEastAsia"/>
          <w:sz w:val="24"/>
          <w:szCs w:val="32"/>
        </w:rPr>
        <w:t>国</w:t>
      </w:r>
      <w:r>
        <w:rPr>
          <w:rFonts w:hint="eastAsia" w:asciiTheme="majorEastAsia" w:hAnsiTheme="majorEastAsia" w:eastAsiaTheme="majorEastAsia" w:cstheme="majorEastAsia"/>
          <w:bCs w:val="0"/>
          <w:sz w:val="24"/>
          <w:szCs w:val="32"/>
        </w:rPr>
        <w:t>有资本经营预算财政拨款收入支出决算表</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lang w:val="en-US" w:eastAsia="zh-CN"/>
        </w:rPr>
        <w:t>2</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lang w:val="en-US" w:eastAsia="zh-CN"/>
        </w:rPr>
        <w:t>4</w:t>
      </w:r>
    </w:p>
    <w:p w14:paraId="13C4D26F">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_Toc28787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bCs w:val="0"/>
          <w:sz w:val="24"/>
          <w:szCs w:val="32"/>
        </w:rPr>
        <w:t>十二、国有资本经营预算财政拨款支出决算表</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lang w:val="en-US" w:eastAsia="zh-CN"/>
        </w:rPr>
        <w:t>2</w:t>
      </w:r>
      <w:r>
        <w:rPr>
          <w:rFonts w:hint="eastAsia" w:asciiTheme="majorEastAsia" w:hAnsiTheme="majorEastAsia" w:eastAsiaTheme="majorEastAsia" w:cstheme="majorEastAsia"/>
          <w:sz w:val="24"/>
          <w:szCs w:val="32"/>
        </w:rPr>
        <w:fldChar w:fldCharType="end"/>
      </w:r>
      <w:r>
        <w:rPr>
          <w:rFonts w:hint="eastAsia" w:asciiTheme="majorEastAsia" w:hAnsiTheme="majorEastAsia" w:eastAsiaTheme="majorEastAsia" w:cstheme="majorEastAsia"/>
          <w:sz w:val="24"/>
          <w:szCs w:val="32"/>
          <w:lang w:val="en-US" w:eastAsia="zh-CN"/>
        </w:rPr>
        <w:t>4</w:t>
      </w:r>
    </w:p>
    <w:p w14:paraId="1E2E32BB">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eastAsia="宋体"/>
          <w:lang w:val="en-US" w:eastAsia="zh-CN"/>
        </w:rPr>
      </w:pPr>
      <w:r>
        <w:rPr>
          <w:rFonts w:hint="eastAsia" w:asciiTheme="majorEastAsia" w:hAnsiTheme="majorEastAsia" w:eastAsiaTheme="majorEastAsia" w:cstheme="majorEastAsia"/>
          <w:sz w:val="24"/>
          <w:szCs w:val="32"/>
        </w:rPr>
        <w:fldChar w:fldCharType="begin"/>
      </w:r>
      <w:r>
        <w:rPr>
          <w:rFonts w:hint="eastAsia" w:asciiTheme="majorEastAsia" w:hAnsiTheme="majorEastAsia" w:eastAsiaTheme="majorEastAsia" w:cstheme="majorEastAsia"/>
          <w:sz w:val="24"/>
          <w:szCs w:val="32"/>
        </w:rPr>
        <w:instrText xml:space="preserve"> HYPERLINK \l _Toc2653 </w:instrText>
      </w:r>
      <w:r>
        <w:rPr>
          <w:rFonts w:hint="eastAsia" w:asciiTheme="majorEastAsia" w:hAnsiTheme="majorEastAsia" w:eastAsiaTheme="majorEastAsia" w:cstheme="majorEastAsia"/>
          <w:sz w:val="24"/>
          <w:szCs w:val="32"/>
        </w:rPr>
        <w:fldChar w:fldCharType="separate"/>
      </w:r>
      <w:r>
        <w:rPr>
          <w:rFonts w:hint="eastAsia" w:asciiTheme="majorEastAsia" w:hAnsiTheme="majorEastAsia" w:eastAsiaTheme="majorEastAsia" w:cstheme="majorEastAsia"/>
          <w:bCs w:val="0"/>
          <w:sz w:val="24"/>
          <w:szCs w:val="32"/>
        </w:rPr>
        <w:t>十三、财政拨款“三公”经费支出决算表</w:t>
      </w:r>
      <w:r>
        <w:rPr>
          <w:rFonts w:hint="eastAsia" w:asciiTheme="majorEastAsia" w:hAnsiTheme="majorEastAsia" w:eastAsiaTheme="majorEastAsia" w:cstheme="majorEastAsia"/>
          <w:sz w:val="24"/>
          <w:szCs w:val="32"/>
        </w:rPr>
        <w:tab/>
      </w:r>
      <w:r>
        <w:rPr>
          <w:rFonts w:hint="eastAsia" w:asciiTheme="majorEastAsia" w:hAnsiTheme="majorEastAsia" w:eastAsiaTheme="majorEastAsia" w:cstheme="majorEastAsia"/>
          <w:sz w:val="24"/>
          <w:szCs w:val="32"/>
          <w:lang w:val="en-US" w:eastAsia="zh-CN"/>
        </w:rPr>
        <w:t>2</w:t>
      </w:r>
      <w:r>
        <w:rPr>
          <w:rFonts w:hint="eastAsia" w:asciiTheme="majorEastAsia" w:hAnsiTheme="majorEastAsia" w:eastAsiaTheme="majorEastAsia" w:cstheme="majorEastAsia"/>
          <w:sz w:val="24"/>
          <w:szCs w:val="32"/>
        </w:rPr>
        <w:fldChar w:fldCharType="end"/>
      </w:r>
      <w:r>
        <w:rPr>
          <w:rFonts w:hint="eastAsia"/>
          <w:lang w:val="en-US" w:eastAsia="zh-CN"/>
        </w:rPr>
        <w:t>4</w:t>
      </w:r>
    </w:p>
    <w:p w14:paraId="1FA6E2B6">
      <w:r>
        <w:fldChar w:fldCharType="end"/>
      </w:r>
    </w:p>
    <w:p w14:paraId="264DC4C8">
      <w:pPr>
        <w:widowControl/>
        <w:spacing w:line="440" w:lineRule="exact"/>
        <w:jc w:val="left"/>
        <w:rPr>
          <w:rFonts w:ascii="仿宋" w:hAnsi="仿宋" w:eastAsia="仿宋"/>
          <w:bCs/>
          <w:kern w:val="44"/>
          <w:sz w:val="24"/>
        </w:rPr>
      </w:pPr>
      <w:r>
        <w:rPr>
          <w:rFonts w:ascii="仿宋" w:hAnsi="仿宋" w:eastAsia="仿宋"/>
          <w:b/>
          <w:sz w:val="24"/>
        </w:rPr>
        <w:br w:type="page"/>
      </w:r>
    </w:p>
    <w:p w14:paraId="14CD269C">
      <w:pPr>
        <w:pStyle w:val="2"/>
        <w:jc w:val="center"/>
        <w:rPr>
          <w:rFonts w:ascii="黑体" w:eastAsia="黑体"/>
          <w:sz w:val="32"/>
          <w:szCs w:val="32"/>
        </w:rPr>
      </w:pPr>
      <w:bookmarkStart w:id="16" w:name="_Toc29169"/>
      <w:r>
        <w:rPr>
          <w:rFonts w:hint="eastAsia" w:ascii="黑体" w:hAnsi="黑体" w:eastAsia="黑体"/>
          <w:b w:val="0"/>
        </w:rPr>
        <w:t>第一部分 单位</w:t>
      </w:r>
      <w:r>
        <w:rPr>
          <w:rStyle w:val="28"/>
          <w:rFonts w:hint="eastAsia" w:ascii="黑体" w:hAnsi="黑体" w:eastAsia="黑体"/>
          <w:b w:val="0"/>
          <w:bCs w:val="0"/>
        </w:rPr>
        <w:t>概况</w:t>
      </w:r>
      <w:bookmarkEnd w:id="14"/>
      <w:bookmarkEnd w:id="15"/>
      <w:bookmarkEnd w:id="16"/>
    </w:p>
    <w:p w14:paraId="02F7C12B">
      <w:pPr>
        <w:pStyle w:val="3"/>
        <w:numPr>
          <w:ilvl w:val="0"/>
          <w:numId w:val="0"/>
        </w:numPr>
        <w:ind w:firstLine="640" w:firstLineChars="200"/>
        <w:rPr>
          <w:rStyle w:val="29"/>
          <w:rFonts w:ascii="黑体" w:hAnsi="黑体" w:eastAsia="黑体"/>
          <w:b w:val="0"/>
          <w:bCs w:val="0"/>
        </w:rPr>
      </w:pPr>
      <w:bookmarkStart w:id="17" w:name="_Toc28438"/>
      <w:bookmarkStart w:id="18" w:name="_Toc15396600"/>
      <w:bookmarkStart w:id="19" w:name="_Toc15377197"/>
      <w:r>
        <w:rPr>
          <w:rStyle w:val="29"/>
          <w:rFonts w:hint="eastAsia" w:ascii="黑体" w:hAnsi="黑体" w:eastAsia="黑体"/>
          <w:b w:val="0"/>
          <w:bCs w:val="0"/>
          <w:lang w:eastAsia="zh-CN"/>
        </w:rPr>
        <w:t>一、</w:t>
      </w:r>
      <w:r>
        <w:rPr>
          <w:rStyle w:val="29"/>
          <w:rFonts w:hint="eastAsia" w:ascii="黑体" w:hAnsi="黑体" w:eastAsia="黑体"/>
          <w:b w:val="0"/>
          <w:bCs w:val="0"/>
        </w:rPr>
        <w:t>主要职责</w:t>
      </w:r>
      <w:bookmarkEnd w:id="17"/>
    </w:p>
    <w:p w14:paraId="068841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认真贯彻执行国家教育方针、政策和法律法规。</w:t>
      </w:r>
    </w:p>
    <w:p w14:paraId="75B239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根据学校实际情况，制定学校发展规划和年度工作</w:t>
      </w:r>
      <w:r>
        <w:rPr>
          <w:rFonts w:hint="eastAsia" w:ascii="仿宋" w:hAnsi="仿宋" w:eastAsia="仿宋" w:cs="仿宋"/>
          <w:sz w:val="32"/>
          <w:szCs w:val="32"/>
          <w:lang w:val="en-US" w:eastAsia="zh-CN"/>
        </w:rPr>
        <w:t>总结</w:t>
      </w:r>
      <w:r>
        <w:rPr>
          <w:rFonts w:hint="eastAsia" w:ascii="仿宋" w:hAnsi="仿宋" w:eastAsia="仿宋" w:cs="仿宋"/>
          <w:sz w:val="32"/>
          <w:szCs w:val="32"/>
        </w:rPr>
        <w:t>。</w:t>
      </w:r>
    </w:p>
    <w:p w14:paraId="447C28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根据规划和计划做好年度</w:t>
      </w:r>
      <w:r>
        <w:rPr>
          <w:rFonts w:hint="eastAsia" w:ascii="仿宋" w:hAnsi="仿宋" w:eastAsia="仿宋" w:cs="仿宋"/>
          <w:sz w:val="32"/>
          <w:szCs w:val="32"/>
          <w:lang w:val="en-US" w:eastAsia="zh-CN"/>
        </w:rPr>
        <w:t>决算</w:t>
      </w:r>
      <w:r>
        <w:rPr>
          <w:rFonts w:hint="eastAsia" w:ascii="仿宋" w:hAnsi="仿宋" w:eastAsia="仿宋" w:cs="仿宋"/>
          <w:sz w:val="32"/>
          <w:szCs w:val="32"/>
        </w:rPr>
        <w:t>。</w:t>
      </w:r>
    </w:p>
    <w:p w14:paraId="220FD1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做好学校教师发展、青年教师培养、后备干部选拔培养和任用工作。</w:t>
      </w:r>
    </w:p>
    <w:p w14:paraId="1CFC31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做好家校联系和控辍保学工作。</w:t>
      </w:r>
    </w:p>
    <w:p w14:paraId="77082F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做好校园美化和绿化工作。</w:t>
      </w:r>
    </w:p>
    <w:p w14:paraId="3079F8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做好环境治理和安全卫生工作。</w:t>
      </w:r>
    </w:p>
    <w:p w14:paraId="617F77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做好教学教研提升教学质量工作</w:t>
      </w:r>
    </w:p>
    <w:p w14:paraId="13594C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rPr>
        <w:t>做好廉政建设、党建和师德师风建设工作。</w:t>
      </w:r>
    </w:p>
    <w:p w14:paraId="0DE3DB74">
      <w:pPr>
        <w:pStyle w:val="3"/>
        <w:ind w:firstLine="640" w:firstLineChars="200"/>
        <w:rPr>
          <w:rFonts w:hint="eastAsia" w:ascii="黑体" w:hAnsi="黑体" w:eastAsia="黑体"/>
          <w:b w:val="0"/>
        </w:rPr>
      </w:pPr>
      <w:bookmarkStart w:id="20" w:name="_Toc28982"/>
      <w:r>
        <w:rPr>
          <w:rFonts w:hint="eastAsia" w:ascii="黑体" w:hAnsi="黑体" w:eastAsia="黑体"/>
          <w:b w:val="0"/>
        </w:rPr>
        <w:t>二、机构设置</w:t>
      </w:r>
      <w:bookmarkEnd w:id="20"/>
    </w:p>
    <w:p w14:paraId="394691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峨边彝族自治县五渡镇中心小学，单位基本性质为事业单位，属峨边彝族自治县教育局下设二级单位1个。核定内设机构为：行政办、教务处、少队、安全办、后勤办、德育办等6个部门，还有2个村幼儿园教学点。</w:t>
      </w:r>
    </w:p>
    <w:p w14:paraId="2D378F36"/>
    <w:bookmarkEnd w:id="18"/>
    <w:bookmarkEnd w:id="19"/>
    <w:p w14:paraId="77AF4E25">
      <w:pPr>
        <w:widowControl/>
        <w:jc w:val="left"/>
        <w:rPr>
          <w:rFonts w:ascii="仿宋" w:hAnsi="仿宋" w:eastAsia="仿宋"/>
          <w:kern w:val="0"/>
          <w:sz w:val="32"/>
          <w:szCs w:val="32"/>
        </w:rPr>
      </w:pPr>
      <w:r>
        <w:rPr>
          <w:rFonts w:ascii="仿宋" w:hAnsi="仿宋" w:eastAsia="仿宋"/>
          <w:sz w:val="32"/>
          <w:szCs w:val="32"/>
        </w:rPr>
        <w:br w:type="page"/>
      </w:r>
    </w:p>
    <w:p w14:paraId="23BBE9DB">
      <w:pPr>
        <w:pStyle w:val="2"/>
        <w:ind w:right="440"/>
        <w:jc w:val="center"/>
        <w:rPr>
          <w:rStyle w:val="28"/>
          <w:rFonts w:ascii="黑体" w:hAnsi="黑体" w:eastAsia="黑体"/>
          <w:b w:val="0"/>
          <w:bCs/>
        </w:rPr>
      </w:pPr>
      <w:bookmarkStart w:id="21" w:name="_Toc15396602"/>
      <w:bookmarkStart w:id="22" w:name="_Toc28572"/>
      <w:bookmarkStart w:id="23" w:name="_Toc15377204"/>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8"/>
          <w:rFonts w:hint="eastAsia" w:ascii="黑体" w:hAnsi="黑体" w:eastAsia="黑体"/>
          <w:b w:val="0"/>
          <w:bCs/>
        </w:rPr>
        <w:t>单位决算情况说明</w:t>
      </w:r>
      <w:bookmarkEnd w:id="21"/>
      <w:bookmarkEnd w:id="22"/>
      <w:bookmarkEnd w:id="23"/>
    </w:p>
    <w:p w14:paraId="70684812"/>
    <w:p w14:paraId="78C5CAD9">
      <w:pPr>
        <w:pStyle w:val="27"/>
        <w:numPr>
          <w:ilvl w:val="0"/>
          <w:numId w:val="1"/>
        </w:numPr>
        <w:spacing w:line="600" w:lineRule="exact"/>
        <w:ind w:firstLineChars="0"/>
        <w:outlineLvl w:val="1"/>
        <w:rPr>
          <w:rStyle w:val="29"/>
          <w:rFonts w:ascii="黑体" w:hAnsi="黑体" w:eastAsia="黑体"/>
          <w:b w:val="0"/>
        </w:rPr>
      </w:pPr>
      <w:bookmarkStart w:id="24" w:name="_Toc20932"/>
      <w:bookmarkStart w:id="25" w:name="_Toc15377205"/>
      <w:bookmarkStart w:id="26"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4"/>
      <w:bookmarkEnd w:id="25"/>
      <w:bookmarkEnd w:id="26"/>
    </w:p>
    <w:p w14:paraId="192978A8">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b/>
          <w:sz w:val="32"/>
          <w:szCs w:val="32"/>
        </w:rPr>
        <w:t>9</w:t>
      </w:r>
      <w:r>
        <w:rPr>
          <w:rFonts w:hint="eastAsia" w:ascii="仿宋" w:hAnsi="仿宋" w:eastAsia="仿宋"/>
          <w:b/>
          <w:sz w:val="32"/>
          <w:szCs w:val="32"/>
          <w:lang w:val="en-US" w:eastAsia="zh-CN"/>
        </w:rPr>
        <w:t>29.12</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w:t>
      </w:r>
      <w:r>
        <w:rPr>
          <w:rFonts w:hint="eastAsia" w:ascii="仿宋" w:hAnsi="仿宋" w:eastAsia="仿宋"/>
          <w:sz w:val="32"/>
          <w:szCs w:val="32"/>
          <w:lang w:val="en-US" w:eastAsia="zh-CN"/>
        </w:rPr>
        <w:t>减少63.94</w:t>
      </w:r>
      <w:r>
        <w:rPr>
          <w:rFonts w:hint="eastAsia" w:ascii="仿宋" w:hAnsi="仿宋" w:eastAsia="仿宋"/>
          <w:sz w:val="32"/>
          <w:szCs w:val="32"/>
        </w:rPr>
        <w:t>万元，</w:t>
      </w:r>
      <w:r>
        <w:rPr>
          <w:rFonts w:hint="eastAsia" w:ascii="仿宋" w:hAnsi="仿宋" w:eastAsia="仿宋"/>
          <w:sz w:val="32"/>
          <w:szCs w:val="32"/>
          <w:lang w:val="en-US" w:eastAsia="zh-CN"/>
        </w:rPr>
        <w:t>减少6.9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学生减少，教育经费投入减少</w:t>
      </w:r>
      <w:r>
        <w:rPr>
          <w:rFonts w:hint="eastAsia" w:ascii="仿宋" w:hAnsi="仿宋" w:eastAsia="仿宋"/>
          <w:sz w:val="32"/>
          <w:szCs w:val="32"/>
        </w:rPr>
        <w:t>。</w:t>
      </w:r>
    </w:p>
    <w:p w14:paraId="665AAC7A">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1F5BF3E1">
      <w:pPr>
        <w:pStyle w:val="27"/>
        <w:numPr>
          <w:ilvl w:val="0"/>
          <w:numId w:val="0"/>
        </w:numPr>
        <w:tabs>
          <w:tab w:val="left" w:pos="635"/>
        </w:tabs>
        <w:spacing w:line="600" w:lineRule="exact"/>
        <w:ind w:left="640" w:leftChars="0"/>
        <w:outlineLvl w:val="9"/>
        <w:rPr>
          <w:rStyle w:val="29"/>
          <w:rFonts w:ascii="黑体" w:hAnsi="黑体" w:eastAsia="黑体"/>
          <w:b w:val="0"/>
        </w:rPr>
      </w:pPr>
      <w:bookmarkStart w:id="27" w:name="_Toc15396604"/>
      <w:bookmarkStart w:id="28" w:name="_Toc15377206"/>
    </w:p>
    <w:p w14:paraId="085B6692">
      <w:pPr>
        <w:pStyle w:val="27"/>
        <w:numPr>
          <w:ilvl w:val="0"/>
          <w:numId w:val="0"/>
        </w:numPr>
        <w:tabs>
          <w:tab w:val="left" w:pos="635"/>
        </w:tabs>
        <w:spacing w:line="600" w:lineRule="exact"/>
        <w:ind w:left="640" w:leftChars="0"/>
        <w:outlineLvl w:val="9"/>
        <w:rPr>
          <w:rStyle w:val="29"/>
          <w:rFonts w:ascii="黑体" w:hAnsi="黑体" w:eastAsia="黑体"/>
          <w:b w:val="0"/>
        </w:rPr>
      </w:pPr>
      <w:r>
        <w:rPr>
          <w:rFonts w:hint="eastAsia" w:ascii="仿宋_GB2312" w:eastAsia="仿宋_GB2312"/>
          <w:color w:val="000000"/>
          <w:sz w:val="32"/>
          <w:szCs w:val="32"/>
        </w:rPr>
        <w:drawing>
          <wp:anchor distT="0" distB="0" distL="114300" distR="114300" simplePos="0" relativeHeight="251659264" behindDoc="1" locked="0" layoutInCell="1" allowOverlap="1">
            <wp:simplePos x="0" y="0"/>
            <wp:positionH relativeFrom="column">
              <wp:posOffset>47625</wp:posOffset>
            </wp:positionH>
            <wp:positionV relativeFrom="paragraph">
              <wp:posOffset>88900</wp:posOffset>
            </wp:positionV>
            <wp:extent cx="4578350" cy="2724785"/>
            <wp:effectExtent l="4445" t="4445" r="8255" b="1397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bookmarkStart w:id="29" w:name="_Toc4141"/>
    </w:p>
    <w:bookmarkEnd w:id="29"/>
    <w:p w14:paraId="30E6EA80">
      <w:pPr>
        <w:pStyle w:val="27"/>
        <w:numPr>
          <w:ilvl w:val="0"/>
          <w:numId w:val="0"/>
        </w:numPr>
        <w:tabs>
          <w:tab w:val="left" w:pos="635"/>
        </w:tabs>
        <w:spacing w:line="600" w:lineRule="exact"/>
        <w:ind w:left="640" w:leftChars="0"/>
        <w:outlineLvl w:val="9"/>
        <w:rPr>
          <w:rStyle w:val="29"/>
          <w:rFonts w:ascii="黑体" w:hAnsi="黑体" w:eastAsia="黑体"/>
          <w:b w:val="0"/>
        </w:rPr>
      </w:pPr>
    </w:p>
    <w:p w14:paraId="0971E764">
      <w:pPr>
        <w:pStyle w:val="27"/>
        <w:numPr>
          <w:ilvl w:val="0"/>
          <w:numId w:val="0"/>
        </w:numPr>
        <w:tabs>
          <w:tab w:val="left" w:pos="635"/>
        </w:tabs>
        <w:spacing w:line="600" w:lineRule="exact"/>
        <w:ind w:left="640" w:leftChars="0"/>
        <w:outlineLvl w:val="9"/>
        <w:rPr>
          <w:rStyle w:val="29"/>
          <w:rFonts w:ascii="黑体" w:hAnsi="黑体" w:eastAsia="黑体"/>
          <w:b w:val="0"/>
        </w:rPr>
      </w:pPr>
    </w:p>
    <w:p w14:paraId="71A022E8">
      <w:pPr>
        <w:pStyle w:val="27"/>
        <w:numPr>
          <w:ilvl w:val="0"/>
          <w:numId w:val="0"/>
        </w:numPr>
        <w:tabs>
          <w:tab w:val="left" w:pos="635"/>
        </w:tabs>
        <w:spacing w:line="600" w:lineRule="exact"/>
        <w:ind w:left="640" w:leftChars="0"/>
        <w:outlineLvl w:val="9"/>
        <w:rPr>
          <w:rStyle w:val="29"/>
          <w:rFonts w:ascii="黑体" w:hAnsi="黑体" w:eastAsia="黑体"/>
          <w:b w:val="0"/>
        </w:rPr>
      </w:pPr>
    </w:p>
    <w:p w14:paraId="7F7B99FF">
      <w:pPr>
        <w:pStyle w:val="27"/>
        <w:numPr>
          <w:ilvl w:val="0"/>
          <w:numId w:val="0"/>
        </w:numPr>
        <w:tabs>
          <w:tab w:val="left" w:pos="635"/>
        </w:tabs>
        <w:spacing w:line="600" w:lineRule="exact"/>
        <w:ind w:left="640" w:leftChars="0"/>
        <w:outlineLvl w:val="9"/>
        <w:rPr>
          <w:rStyle w:val="29"/>
          <w:rFonts w:ascii="黑体" w:hAnsi="黑体" w:eastAsia="黑体"/>
          <w:b w:val="0"/>
        </w:rPr>
      </w:pPr>
    </w:p>
    <w:p w14:paraId="218DFCFB">
      <w:pPr>
        <w:pStyle w:val="27"/>
        <w:numPr>
          <w:ilvl w:val="0"/>
          <w:numId w:val="0"/>
        </w:numPr>
        <w:tabs>
          <w:tab w:val="left" w:pos="635"/>
        </w:tabs>
        <w:spacing w:line="600" w:lineRule="exact"/>
        <w:ind w:left="640" w:leftChars="0"/>
        <w:outlineLvl w:val="9"/>
        <w:rPr>
          <w:rStyle w:val="29"/>
          <w:rFonts w:ascii="黑体" w:hAnsi="黑体" w:eastAsia="黑体"/>
          <w:b w:val="0"/>
        </w:rPr>
      </w:pPr>
    </w:p>
    <w:p w14:paraId="06C31017">
      <w:pPr>
        <w:pStyle w:val="27"/>
        <w:numPr>
          <w:ilvl w:val="0"/>
          <w:numId w:val="0"/>
        </w:numPr>
        <w:tabs>
          <w:tab w:val="left" w:pos="635"/>
        </w:tabs>
        <w:spacing w:line="600" w:lineRule="exact"/>
        <w:ind w:left="640" w:leftChars="0"/>
        <w:outlineLvl w:val="9"/>
        <w:rPr>
          <w:rStyle w:val="29"/>
          <w:rFonts w:ascii="黑体" w:hAnsi="黑体" w:eastAsia="黑体"/>
          <w:b w:val="0"/>
        </w:rPr>
      </w:pPr>
    </w:p>
    <w:p w14:paraId="69C00AAE">
      <w:pPr>
        <w:pStyle w:val="27"/>
        <w:numPr>
          <w:ilvl w:val="0"/>
          <w:numId w:val="0"/>
        </w:numPr>
        <w:tabs>
          <w:tab w:val="left" w:pos="635"/>
        </w:tabs>
        <w:spacing w:line="600" w:lineRule="exact"/>
        <w:ind w:left="640" w:leftChars="0"/>
        <w:outlineLvl w:val="9"/>
        <w:rPr>
          <w:rStyle w:val="29"/>
          <w:rFonts w:ascii="黑体" w:hAnsi="黑体" w:eastAsia="黑体"/>
          <w:b w:val="0"/>
        </w:rPr>
      </w:pPr>
    </w:p>
    <w:p w14:paraId="394597C8">
      <w:pPr>
        <w:pStyle w:val="27"/>
        <w:numPr>
          <w:ilvl w:val="0"/>
          <w:numId w:val="1"/>
        </w:numPr>
        <w:tabs>
          <w:tab w:val="left" w:pos="635"/>
        </w:tabs>
        <w:spacing w:line="600" w:lineRule="exact"/>
        <w:ind w:firstLineChars="0"/>
        <w:outlineLvl w:val="1"/>
        <w:rPr>
          <w:rStyle w:val="29"/>
          <w:rFonts w:ascii="黑体" w:hAnsi="黑体" w:eastAsia="黑体"/>
          <w:b w:val="0"/>
        </w:rPr>
      </w:pPr>
      <w:bookmarkStart w:id="30" w:name="_Toc28544"/>
      <w:r>
        <w:rPr>
          <w:rFonts w:hint="eastAsia" w:ascii="黑体" w:hAnsi="黑体" w:eastAsia="黑体"/>
          <w:sz w:val="32"/>
          <w:szCs w:val="32"/>
        </w:rPr>
        <w:t>收</w:t>
      </w:r>
      <w:r>
        <w:rPr>
          <w:rStyle w:val="29"/>
          <w:rFonts w:hint="eastAsia" w:ascii="黑体" w:hAnsi="黑体" w:eastAsia="黑体"/>
          <w:b w:val="0"/>
        </w:rPr>
        <w:t>入决算情况说明</w:t>
      </w:r>
      <w:bookmarkEnd w:id="27"/>
      <w:bookmarkEnd w:id="28"/>
      <w:bookmarkEnd w:id="30"/>
    </w:p>
    <w:p w14:paraId="3C60C566">
      <w:pPr>
        <w:spacing w:line="600" w:lineRule="exact"/>
        <w:ind w:firstLine="640" w:firstLineChars="200"/>
        <w:outlineLvl w:val="1"/>
        <w:rPr>
          <w:rFonts w:ascii="仿宋" w:hAnsi="仿宋" w:eastAsia="仿宋"/>
          <w:sz w:val="32"/>
          <w:szCs w:val="32"/>
        </w:rPr>
      </w:pPr>
      <w:bookmarkStart w:id="31" w:name="_Toc26189"/>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年度本年收入合计</w:t>
      </w:r>
      <w:r>
        <w:rPr>
          <w:rFonts w:hint="eastAsia" w:ascii="仿宋" w:hAnsi="仿宋" w:eastAsia="仿宋"/>
          <w:sz w:val="32"/>
          <w:szCs w:val="32"/>
          <w:lang w:val="en-US" w:eastAsia="zh-CN"/>
        </w:rPr>
        <w:t>801.5</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766.86</w:t>
      </w:r>
      <w:r>
        <w:rPr>
          <w:rFonts w:hint="eastAsia" w:ascii="仿宋" w:hAnsi="仿宋" w:eastAsia="仿宋"/>
          <w:sz w:val="32"/>
          <w:szCs w:val="32"/>
        </w:rPr>
        <w:t>万元，占</w:t>
      </w:r>
      <w:r>
        <w:rPr>
          <w:rFonts w:ascii="仿宋" w:hAnsi="仿宋" w:eastAsia="仿宋"/>
          <w:b/>
          <w:sz w:val="32"/>
          <w:szCs w:val="32"/>
        </w:rPr>
        <w:t>95.</w:t>
      </w:r>
      <w:r>
        <w:rPr>
          <w:rFonts w:hint="eastAsia" w:ascii="仿宋" w:hAnsi="仿宋" w:eastAsia="仿宋"/>
          <w:b/>
          <w:sz w:val="32"/>
          <w:szCs w:val="32"/>
          <w:lang w:val="en-US" w:eastAsia="zh-CN"/>
        </w:rPr>
        <w:t>7</w:t>
      </w:r>
      <w:r>
        <w:rPr>
          <w:rFonts w:ascii="仿宋" w:hAnsi="仿宋" w:eastAsia="仿宋"/>
          <w:b/>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34.63</w:t>
      </w:r>
      <w:r>
        <w:rPr>
          <w:rFonts w:hint="eastAsia" w:ascii="仿宋" w:hAnsi="仿宋" w:eastAsia="仿宋"/>
          <w:sz w:val="32"/>
          <w:szCs w:val="32"/>
        </w:rPr>
        <w:t>万元，占</w:t>
      </w:r>
      <w:r>
        <w:rPr>
          <w:rFonts w:ascii="仿宋" w:hAnsi="仿宋" w:eastAsia="仿宋"/>
          <w:b/>
          <w:sz w:val="32"/>
          <w:szCs w:val="32"/>
        </w:rPr>
        <w:t>4.</w:t>
      </w:r>
      <w:r>
        <w:rPr>
          <w:rFonts w:hint="eastAsia" w:ascii="仿宋" w:hAnsi="仿宋" w:eastAsia="仿宋"/>
          <w:b/>
          <w:sz w:val="32"/>
          <w:szCs w:val="32"/>
          <w:lang w:val="en-US" w:eastAsia="zh-CN"/>
        </w:rPr>
        <w:t>3</w:t>
      </w:r>
      <w:r>
        <w:rPr>
          <w:rFonts w:ascii="仿宋" w:hAnsi="仿宋" w:eastAsia="仿宋"/>
          <w:sz w:val="32"/>
          <w:szCs w:val="32"/>
        </w:rPr>
        <w:t>%</w:t>
      </w:r>
      <w:bookmarkEnd w:id="31"/>
    </w:p>
    <w:p w14:paraId="2F4D93FF">
      <w:pPr>
        <w:spacing w:line="600" w:lineRule="exact"/>
        <w:outlineLvl w:val="9"/>
      </w:pPr>
      <w:r>
        <w:rPr>
          <w:rFonts w:hint="eastAsia" w:ascii="仿宋" w:hAnsi="仿宋" w:eastAsia="仿宋"/>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-109855</wp:posOffset>
            </wp:positionH>
            <wp:positionV relativeFrom="paragraph">
              <wp:posOffset>351155</wp:posOffset>
            </wp:positionV>
            <wp:extent cx="4727575" cy="3010535"/>
            <wp:effectExtent l="4445" t="4445" r="11430" b="1397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D1CF6AB">
      <w:pPr>
        <w:pStyle w:val="27"/>
        <w:numPr>
          <w:ilvl w:val="0"/>
          <w:numId w:val="1"/>
        </w:numPr>
        <w:spacing w:line="600" w:lineRule="exact"/>
        <w:ind w:firstLineChars="0"/>
        <w:outlineLvl w:val="1"/>
        <w:rPr>
          <w:rStyle w:val="29"/>
          <w:rFonts w:ascii="黑体" w:hAnsi="黑体" w:eastAsia="黑体"/>
          <w:b w:val="0"/>
        </w:rPr>
      </w:pPr>
      <w:bookmarkStart w:id="32" w:name="_Toc22088"/>
      <w:bookmarkStart w:id="33" w:name="_Toc15396605"/>
      <w:bookmarkStart w:id="34" w:name="_Toc15377207"/>
      <w:r>
        <w:rPr>
          <w:rFonts w:hint="eastAsia" w:ascii="黑体" w:hAnsi="黑体" w:eastAsia="黑体"/>
          <w:sz w:val="32"/>
          <w:szCs w:val="32"/>
        </w:rPr>
        <w:t>支</w:t>
      </w:r>
      <w:r>
        <w:rPr>
          <w:rStyle w:val="29"/>
          <w:rFonts w:hint="eastAsia" w:ascii="黑体" w:hAnsi="黑体" w:eastAsia="黑体"/>
          <w:b w:val="0"/>
        </w:rPr>
        <w:t>出决算情况说明</w:t>
      </w:r>
      <w:bookmarkEnd w:id="32"/>
      <w:bookmarkEnd w:id="33"/>
      <w:bookmarkEnd w:id="34"/>
    </w:p>
    <w:p w14:paraId="1B710B68">
      <w:pPr>
        <w:spacing w:line="600" w:lineRule="exact"/>
        <w:ind w:firstLine="640" w:firstLineChars="200"/>
        <w:outlineLvl w:val="1"/>
        <w:rPr>
          <w:rFonts w:ascii="仿宋" w:hAnsi="仿宋" w:eastAsia="仿宋"/>
          <w:sz w:val="32"/>
          <w:szCs w:val="32"/>
        </w:rPr>
      </w:pPr>
      <w:bookmarkStart w:id="35" w:name="_Toc4388"/>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rFonts w:ascii="仿宋" w:hAnsi="仿宋" w:eastAsia="仿宋"/>
          <w:b/>
          <w:sz w:val="32"/>
          <w:szCs w:val="32"/>
        </w:rPr>
        <w:t>8</w:t>
      </w:r>
      <w:r>
        <w:rPr>
          <w:rFonts w:hint="eastAsia" w:ascii="仿宋" w:hAnsi="仿宋" w:eastAsia="仿宋"/>
          <w:b/>
          <w:sz w:val="32"/>
          <w:szCs w:val="32"/>
          <w:lang w:val="en-US" w:eastAsia="zh-CN"/>
        </w:rPr>
        <w:t>04.04</w:t>
      </w:r>
      <w:r>
        <w:rPr>
          <w:rFonts w:hint="eastAsia" w:ascii="仿宋" w:hAnsi="仿宋" w:eastAsia="仿宋"/>
          <w:sz w:val="32"/>
          <w:szCs w:val="32"/>
        </w:rPr>
        <w:t>万元，其中：基本支出591.32万元，占</w:t>
      </w:r>
      <w:r>
        <w:rPr>
          <w:rFonts w:hint="eastAsia" w:ascii="仿宋" w:hAnsi="仿宋" w:eastAsia="仿宋"/>
          <w:sz w:val="32"/>
          <w:szCs w:val="32"/>
          <w:lang w:val="en-US" w:eastAsia="zh-CN"/>
        </w:rPr>
        <w:t>73.5</w:t>
      </w:r>
      <w:r>
        <w:rPr>
          <w:rFonts w:ascii="仿宋" w:hAnsi="仿宋" w:eastAsia="仿宋"/>
          <w:sz w:val="32"/>
          <w:szCs w:val="32"/>
        </w:rPr>
        <w:t>%</w:t>
      </w:r>
      <w:r>
        <w:rPr>
          <w:rFonts w:hint="eastAsia" w:ascii="仿宋" w:hAnsi="仿宋" w:eastAsia="仿宋"/>
          <w:sz w:val="32"/>
          <w:szCs w:val="32"/>
        </w:rPr>
        <w:t>；项目支出212.72万元，占</w:t>
      </w:r>
      <w:r>
        <w:rPr>
          <w:rFonts w:hint="eastAsia" w:ascii="仿宋" w:hAnsi="仿宋" w:eastAsia="仿宋"/>
          <w:sz w:val="32"/>
          <w:szCs w:val="32"/>
          <w:lang w:val="en-US" w:eastAsia="zh-CN"/>
        </w:rPr>
        <w:t>26.5</w:t>
      </w:r>
      <w:r>
        <w:rPr>
          <w:rFonts w:ascii="仿宋" w:hAnsi="仿宋" w:eastAsia="仿宋"/>
          <w:sz w:val="32"/>
          <w:szCs w:val="32"/>
        </w:rPr>
        <w:t>%</w:t>
      </w:r>
      <w:r>
        <w:rPr>
          <w:rFonts w:hint="eastAsia" w:ascii="仿宋" w:hAnsi="仿宋" w:eastAsia="仿宋"/>
          <w:sz w:val="32"/>
          <w:szCs w:val="32"/>
        </w:rPr>
        <w:t>。</w:t>
      </w:r>
      <w:bookmarkEnd w:id="35"/>
    </w:p>
    <w:p w14:paraId="08C4FCBB">
      <w:pPr>
        <w:pStyle w:val="13"/>
        <w:jc w:val="both"/>
        <w:outlineLvl w:val="9"/>
      </w:pPr>
      <w:r>
        <w:rPr>
          <w:rFonts w:hint="eastAsia" w:ascii="仿宋" w:hAnsi="仿宋"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252095</wp:posOffset>
            </wp:positionH>
            <wp:positionV relativeFrom="paragraph">
              <wp:posOffset>40005</wp:posOffset>
            </wp:positionV>
            <wp:extent cx="4727575" cy="3010535"/>
            <wp:effectExtent l="4445" t="4445" r="11430" b="1397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30369E2">
      <w:pPr>
        <w:spacing w:line="600" w:lineRule="exact"/>
        <w:ind w:firstLine="640" w:firstLineChars="200"/>
        <w:outlineLvl w:val="1"/>
        <w:rPr>
          <w:rStyle w:val="29"/>
          <w:rFonts w:ascii="黑体" w:hAnsi="黑体" w:eastAsia="黑体"/>
          <w:b w:val="0"/>
        </w:rPr>
      </w:pPr>
      <w:bookmarkStart w:id="36" w:name="_Toc26715"/>
      <w:bookmarkStart w:id="37" w:name="_Toc15396606"/>
      <w:bookmarkStart w:id="38"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6"/>
      <w:bookmarkEnd w:id="37"/>
      <w:bookmarkEnd w:id="38"/>
    </w:p>
    <w:p w14:paraId="7B76FF04">
      <w:pPr>
        <w:spacing w:line="600" w:lineRule="exact"/>
        <w:ind w:firstLine="64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年度财政拨款收、支总计均为</w:t>
      </w:r>
      <w:r>
        <w:rPr>
          <w:rFonts w:hint="eastAsia" w:ascii="仿宋" w:hAnsi="仿宋" w:eastAsia="仿宋"/>
          <w:b/>
          <w:sz w:val="32"/>
          <w:szCs w:val="32"/>
        </w:rPr>
        <w:t>9</w:t>
      </w:r>
      <w:r>
        <w:rPr>
          <w:rFonts w:hint="eastAsia" w:ascii="仿宋" w:hAnsi="仿宋" w:eastAsia="仿宋"/>
          <w:b/>
          <w:sz w:val="32"/>
          <w:szCs w:val="32"/>
          <w:lang w:val="en-US" w:eastAsia="zh-CN"/>
        </w:rPr>
        <w:t>29.12</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年度相比，财政拨款收、支总计各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63.94</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6.9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学生减少，教育经费投入减少</w:t>
      </w:r>
      <w:r>
        <w:rPr>
          <w:rFonts w:hint="eastAsia" w:ascii="仿宋" w:hAnsi="仿宋" w:eastAsia="仿宋"/>
          <w:sz w:val="32"/>
          <w:szCs w:val="32"/>
        </w:rPr>
        <w:t>。</w:t>
      </w:r>
    </w:p>
    <w:p w14:paraId="736B9880">
      <w:pPr>
        <w:pStyle w:val="13"/>
        <w:outlineLvl w:val="9"/>
      </w:pPr>
      <w:r>
        <w:rPr>
          <w:rFonts w:hint="eastAsia" w:ascii="仿宋_GB2312" w:eastAsia="仿宋_GB2312"/>
          <w:color w:val="000000"/>
          <w:sz w:val="32"/>
          <w:szCs w:val="32"/>
        </w:rPr>
        <w:drawing>
          <wp:anchor distT="0" distB="0" distL="114300" distR="114300" simplePos="0" relativeHeight="251662336" behindDoc="1" locked="0" layoutInCell="1" allowOverlap="1">
            <wp:simplePos x="0" y="0"/>
            <wp:positionH relativeFrom="column">
              <wp:posOffset>400050</wp:posOffset>
            </wp:positionH>
            <wp:positionV relativeFrom="paragraph">
              <wp:posOffset>116205</wp:posOffset>
            </wp:positionV>
            <wp:extent cx="5080000" cy="3810000"/>
            <wp:effectExtent l="4445" t="4445" r="20955" b="1460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B2F7632"/>
    <w:p w14:paraId="1DADF3DD">
      <w:pPr>
        <w:pStyle w:val="13"/>
        <w:outlineLvl w:val="9"/>
      </w:pPr>
    </w:p>
    <w:p w14:paraId="560F19FF"/>
    <w:p w14:paraId="3F31E449">
      <w:pPr>
        <w:pStyle w:val="13"/>
        <w:outlineLvl w:val="9"/>
      </w:pPr>
    </w:p>
    <w:p w14:paraId="792F6752"/>
    <w:p w14:paraId="5AF2BBD3">
      <w:pPr>
        <w:pStyle w:val="13"/>
        <w:outlineLvl w:val="9"/>
      </w:pPr>
    </w:p>
    <w:p w14:paraId="434BE4CD"/>
    <w:p w14:paraId="73036A1D">
      <w:pPr>
        <w:pStyle w:val="13"/>
        <w:outlineLvl w:val="9"/>
      </w:pPr>
    </w:p>
    <w:p w14:paraId="4C83F159">
      <w:pPr>
        <w:spacing w:line="600" w:lineRule="exact"/>
        <w:ind w:firstLine="640" w:firstLineChars="200"/>
        <w:outlineLvl w:val="1"/>
        <w:rPr>
          <w:rStyle w:val="29"/>
          <w:rFonts w:ascii="黑体" w:hAnsi="黑体" w:eastAsia="黑体"/>
          <w:b w:val="0"/>
        </w:rPr>
      </w:pPr>
      <w:bookmarkStart w:id="39" w:name="_Toc4803"/>
      <w:bookmarkStart w:id="40" w:name="_Toc15377209"/>
      <w:bookmarkStart w:id="41"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9"/>
      <w:bookmarkEnd w:id="40"/>
      <w:bookmarkEnd w:id="41"/>
    </w:p>
    <w:p w14:paraId="5297BD9B">
      <w:pPr>
        <w:spacing w:line="600" w:lineRule="exact"/>
        <w:ind w:firstLine="640" w:firstLineChars="200"/>
        <w:outlineLvl w:val="2"/>
        <w:rPr>
          <w:rFonts w:hint="eastAsia" w:ascii="楷体" w:hAnsi="楷体" w:eastAsia="楷体" w:cs="楷体"/>
          <w:b w:val="0"/>
          <w:bCs/>
          <w:sz w:val="32"/>
          <w:szCs w:val="32"/>
        </w:rPr>
      </w:pPr>
      <w:bookmarkStart w:id="42" w:name="_Toc15377210"/>
      <w:bookmarkStart w:id="43" w:name="_Toc27919"/>
      <w:r>
        <w:rPr>
          <w:rFonts w:hint="eastAsia" w:ascii="楷体" w:hAnsi="楷体" w:eastAsia="楷体" w:cs="楷体"/>
          <w:b w:val="0"/>
          <w:bCs/>
          <w:sz w:val="32"/>
          <w:szCs w:val="32"/>
        </w:rPr>
        <w:t>（一）一般公共预算财政拨款支出决算总体情况</w:t>
      </w:r>
      <w:bookmarkEnd w:id="42"/>
      <w:bookmarkEnd w:id="43"/>
    </w:p>
    <w:p w14:paraId="34CAE00D">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sz w:val="32"/>
          <w:szCs w:val="32"/>
          <w:lang w:val="en-US" w:eastAsia="zh-CN"/>
        </w:rPr>
        <w:t>766.86</w:t>
      </w:r>
      <w:r>
        <w:rPr>
          <w:rFonts w:hint="eastAsia" w:ascii="仿宋" w:hAnsi="仿宋" w:eastAsia="仿宋"/>
          <w:sz w:val="32"/>
          <w:szCs w:val="32"/>
        </w:rPr>
        <w:t>万元，占本年支出合计的</w:t>
      </w:r>
      <w:r>
        <w:rPr>
          <w:rFonts w:ascii="仿宋" w:hAnsi="仿宋" w:eastAsia="仿宋"/>
          <w:b/>
          <w:sz w:val="32"/>
          <w:szCs w:val="32"/>
        </w:rPr>
        <w:t>95.</w:t>
      </w:r>
      <w:r>
        <w:rPr>
          <w:rFonts w:hint="eastAsia" w:ascii="仿宋" w:hAnsi="仿宋" w:eastAsia="仿宋"/>
          <w:b/>
          <w:sz w:val="32"/>
          <w:szCs w:val="32"/>
          <w:lang w:val="en-US" w:eastAsia="zh-CN"/>
        </w:rPr>
        <w:t>7</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年度相比，一般公共预算财政拨款支出增加</w:t>
      </w:r>
      <w:r>
        <w:rPr>
          <w:rFonts w:hint="eastAsia" w:ascii="仿宋" w:hAnsi="仿宋" w:eastAsia="仿宋"/>
          <w:sz w:val="32"/>
          <w:szCs w:val="32"/>
          <w:lang w:val="en-US" w:eastAsia="zh-CN"/>
        </w:rPr>
        <w:t>55.76</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7.3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学生减少，教育经费投入减少</w:t>
      </w:r>
      <w:r>
        <w:rPr>
          <w:rFonts w:hint="eastAsia" w:ascii="仿宋" w:hAnsi="仿宋" w:eastAsia="仿宋"/>
          <w:sz w:val="32"/>
          <w:szCs w:val="32"/>
        </w:rPr>
        <w:t>。</w:t>
      </w:r>
    </w:p>
    <w:p w14:paraId="1499DF25">
      <w:pPr>
        <w:rPr>
          <w:rFonts w:ascii="仿宋" w:hAnsi="仿宋" w:eastAsia="仿宋"/>
          <w:sz w:val="32"/>
          <w:szCs w:val="32"/>
        </w:rPr>
      </w:pPr>
    </w:p>
    <w:p w14:paraId="6FBAE864">
      <w:pPr>
        <w:pStyle w:val="13"/>
        <w:outlineLvl w:val="9"/>
        <w:rPr>
          <w:rFonts w:ascii="仿宋" w:hAnsi="仿宋" w:eastAsia="仿宋"/>
          <w:sz w:val="32"/>
          <w:szCs w:val="32"/>
        </w:rPr>
      </w:pPr>
    </w:p>
    <w:p w14:paraId="383E674E">
      <w:pPr>
        <w:rPr>
          <w:rFonts w:ascii="仿宋" w:hAnsi="仿宋" w:eastAsia="仿宋"/>
          <w:sz w:val="32"/>
          <w:szCs w:val="32"/>
        </w:rPr>
      </w:pPr>
    </w:p>
    <w:p w14:paraId="5FD709BB">
      <w:pPr>
        <w:pStyle w:val="13"/>
        <w:outlineLvl w:val="9"/>
        <w:rPr>
          <w:rFonts w:ascii="仿宋" w:hAnsi="仿宋" w:eastAsia="仿宋"/>
          <w:sz w:val="32"/>
          <w:szCs w:val="32"/>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160020</wp:posOffset>
            </wp:positionH>
            <wp:positionV relativeFrom="paragraph">
              <wp:posOffset>-521335</wp:posOffset>
            </wp:positionV>
            <wp:extent cx="4688205" cy="3017520"/>
            <wp:effectExtent l="4445" t="4445" r="12700" b="698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D0DE680">
      <w:pPr>
        <w:rPr>
          <w:rFonts w:ascii="仿宋" w:hAnsi="仿宋" w:eastAsia="仿宋"/>
          <w:sz w:val="32"/>
          <w:szCs w:val="32"/>
        </w:rPr>
      </w:pPr>
    </w:p>
    <w:p w14:paraId="3DB72884">
      <w:pPr>
        <w:pStyle w:val="13"/>
        <w:outlineLvl w:val="9"/>
        <w:rPr>
          <w:rFonts w:ascii="仿宋" w:hAnsi="仿宋" w:eastAsia="仿宋"/>
          <w:sz w:val="32"/>
          <w:szCs w:val="32"/>
        </w:rPr>
      </w:pPr>
    </w:p>
    <w:p w14:paraId="33A6F021">
      <w:pPr>
        <w:rPr>
          <w:rFonts w:ascii="仿宋" w:hAnsi="仿宋" w:eastAsia="仿宋"/>
          <w:sz w:val="32"/>
          <w:szCs w:val="32"/>
        </w:rPr>
      </w:pPr>
    </w:p>
    <w:p w14:paraId="04E92EB1">
      <w:pPr>
        <w:pStyle w:val="13"/>
        <w:outlineLvl w:val="9"/>
        <w:rPr>
          <w:rFonts w:ascii="仿宋" w:hAnsi="仿宋" w:eastAsia="仿宋"/>
          <w:sz w:val="32"/>
          <w:szCs w:val="32"/>
        </w:rPr>
      </w:pPr>
    </w:p>
    <w:p w14:paraId="76D6CB87"/>
    <w:p w14:paraId="15E1EB5A">
      <w:pPr>
        <w:spacing w:line="600" w:lineRule="exact"/>
        <w:ind w:firstLine="640" w:firstLineChars="200"/>
        <w:outlineLvl w:val="2"/>
        <w:rPr>
          <w:rFonts w:hint="eastAsia" w:ascii="楷体" w:hAnsi="楷体" w:eastAsia="楷体" w:cs="楷体"/>
          <w:b w:val="0"/>
          <w:bCs/>
          <w:sz w:val="32"/>
          <w:szCs w:val="32"/>
        </w:rPr>
      </w:pPr>
      <w:bookmarkStart w:id="44" w:name="_Toc15377211"/>
      <w:bookmarkStart w:id="45" w:name="_Toc21649"/>
      <w:r>
        <w:rPr>
          <w:rFonts w:hint="eastAsia" w:ascii="楷体" w:hAnsi="楷体" w:eastAsia="楷体" w:cs="楷体"/>
          <w:b w:val="0"/>
          <w:bCs/>
          <w:sz w:val="32"/>
          <w:szCs w:val="32"/>
        </w:rPr>
        <w:t>（二）一般公共预算财政拨款支出决算结构情况</w:t>
      </w:r>
      <w:bookmarkEnd w:id="44"/>
      <w:bookmarkEnd w:id="45"/>
      <w:bookmarkStart w:id="124" w:name="_GoBack"/>
      <w:bookmarkEnd w:id="124"/>
    </w:p>
    <w:p w14:paraId="45BEB3EE">
      <w:pPr>
        <w:spacing w:line="600" w:lineRule="exact"/>
        <w:ind w:firstLine="64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sz w:val="32"/>
          <w:szCs w:val="32"/>
          <w:lang w:val="en-US" w:eastAsia="zh-CN"/>
        </w:rPr>
        <w:t>769.4</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b/>
          <w:sz w:val="32"/>
          <w:szCs w:val="32"/>
          <w:lang w:val="en-US" w:eastAsia="zh-CN"/>
        </w:rPr>
        <w:t>635.61</w:t>
      </w:r>
      <w:r>
        <w:rPr>
          <w:rFonts w:hint="eastAsia" w:ascii="仿宋" w:hAnsi="仿宋" w:eastAsia="仿宋"/>
          <w:sz w:val="32"/>
          <w:szCs w:val="32"/>
        </w:rPr>
        <w:t>万元，占</w:t>
      </w:r>
      <w:r>
        <w:rPr>
          <w:rFonts w:hint="eastAsia" w:ascii="仿宋" w:hAnsi="仿宋" w:eastAsia="仿宋"/>
          <w:sz w:val="32"/>
          <w:szCs w:val="32"/>
          <w:lang w:val="en-US" w:eastAsia="zh-CN"/>
        </w:rPr>
        <w:t>82.6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bCs/>
          <w:sz w:val="32"/>
          <w:szCs w:val="32"/>
          <w:lang w:val="en-US" w:eastAsia="zh-CN"/>
        </w:rPr>
        <w:t>74.48</w:t>
      </w:r>
      <w:r>
        <w:rPr>
          <w:rFonts w:hint="eastAsia" w:ascii="仿宋" w:hAnsi="仿宋" w:eastAsia="仿宋"/>
          <w:sz w:val="32"/>
          <w:szCs w:val="32"/>
        </w:rPr>
        <w:t>万元，占</w:t>
      </w:r>
      <w:r>
        <w:rPr>
          <w:rFonts w:hint="eastAsia" w:ascii="仿宋" w:hAnsi="仿宋" w:eastAsia="仿宋"/>
          <w:sz w:val="32"/>
          <w:szCs w:val="32"/>
          <w:lang w:val="en-US" w:eastAsia="zh-CN"/>
        </w:rPr>
        <w:t>9.7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bCs/>
          <w:sz w:val="32"/>
          <w:szCs w:val="32"/>
          <w:lang w:val="en-US" w:eastAsia="zh-CN"/>
        </w:rPr>
        <w:t>16.66</w:t>
      </w:r>
      <w:r>
        <w:rPr>
          <w:rFonts w:hint="eastAsia" w:ascii="仿宋" w:hAnsi="仿宋" w:eastAsia="仿宋"/>
          <w:sz w:val="32"/>
          <w:szCs w:val="32"/>
        </w:rPr>
        <w:t>万元，占</w:t>
      </w:r>
      <w:r>
        <w:rPr>
          <w:rFonts w:hint="eastAsia" w:ascii="仿宋" w:hAnsi="仿宋" w:eastAsia="仿宋"/>
          <w:sz w:val="32"/>
          <w:szCs w:val="32"/>
          <w:lang w:val="en-US" w:eastAsia="zh-CN"/>
        </w:rPr>
        <w:t>2.2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bCs/>
          <w:sz w:val="32"/>
          <w:szCs w:val="32"/>
          <w:lang w:val="en-US" w:eastAsia="zh-CN"/>
        </w:rPr>
        <w:t>42.66</w:t>
      </w:r>
      <w:r>
        <w:rPr>
          <w:rFonts w:hint="eastAsia" w:ascii="仿宋" w:hAnsi="仿宋" w:eastAsia="仿宋"/>
          <w:sz w:val="32"/>
          <w:szCs w:val="32"/>
        </w:rPr>
        <w:t>万元，占</w:t>
      </w:r>
      <w:r>
        <w:rPr>
          <w:rFonts w:hint="eastAsia" w:ascii="仿宋" w:hAnsi="仿宋" w:eastAsia="仿宋"/>
          <w:sz w:val="32"/>
          <w:szCs w:val="32"/>
          <w:lang w:val="en-US" w:eastAsia="zh-CN"/>
        </w:rPr>
        <w:t>5.5</w:t>
      </w:r>
      <w:r>
        <w:rPr>
          <w:rFonts w:ascii="仿宋" w:hAnsi="仿宋" w:eastAsia="仿宋"/>
          <w:sz w:val="32"/>
          <w:szCs w:val="32"/>
        </w:rPr>
        <w:t>%</w:t>
      </w:r>
      <w:r>
        <w:rPr>
          <w:rFonts w:hint="eastAsia" w:ascii="仿宋" w:hAnsi="仿宋" w:eastAsia="仿宋"/>
          <w:sz w:val="32"/>
          <w:szCs w:val="32"/>
        </w:rPr>
        <w:t>。</w:t>
      </w:r>
    </w:p>
    <w:p w14:paraId="46A88059">
      <w:pPr>
        <w:spacing w:line="600" w:lineRule="exact"/>
        <w:ind w:firstLine="640"/>
        <w:rPr>
          <w:rFonts w:ascii="仿宋" w:hAnsi="仿宋" w:eastAsia="仿宋"/>
          <w:b/>
          <w:sz w:val="32"/>
          <w:szCs w:val="32"/>
        </w:rPr>
      </w:pPr>
    </w:p>
    <w:p w14:paraId="371C7851">
      <w:pPr>
        <w:rPr>
          <w:rFonts w:ascii="仿宋" w:hAnsi="仿宋" w:eastAsia="仿宋"/>
          <w:sz w:val="32"/>
          <w:szCs w:val="32"/>
        </w:rPr>
      </w:pPr>
    </w:p>
    <w:p w14:paraId="2F551422">
      <w:pPr>
        <w:pStyle w:val="13"/>
        <w:outlineLvl w:val="9"/>
        <w:rPr>
          <w:rFonts w:ascii="仿宋" w:hAnsi="仿宋" w:eastAsia="仿宋"/>
          <w:sz w:val="32"/>
          <w:szCs w:val="32"/>
        </w:rPr>
      </w:pPr>
      <w:r>
        <w:rPr>
          <w:rFonts w:hint="eastAsia" w:ascii="仿宋" w:hAnsi="仿宋" w:eastAsia="仿宋"/>
          <w:b/>
          <w:color w:val="auto"/>
          <w:sz w:val="32"/>
          <w:szCs w:val="32"/>
          <w:highlight w:val="none"/>
          <w:lang w:eastAsia="zh-CN"/>
        </w:rPr>
        <w:drawing>
          <wp:anchor distT="0" distB="0" distL="114300" distR="114300" simplePos="0" relativeHeight="251664384" behindDoc="1" locked="0" layoutInCell="1" allowOverlap="1">
            <wp:simplePos x="0" y="0"/>
            <wp:positionH relativeFrom="column">
              <wp:posOffset>372110</wp:posOffset>
            </wp:positionH>
            <wp:positionV relativeFrom="paragraph">
              <wp:posOffset>123190</wp:posOffset>
            </wp:positionV>
            <wp:extent cx="4747895" cy="3152775"/>
            <wp:effectExtent l="4445" t="4445" r="10160" b="508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4EDB6AE">
      <w:pPr>
        <w:rPr>
          <w:rFonts w:ascii="仿宋" w:hAnsi="仿宋" w:eastAsia="仿宋"/>
          <w:sz w:val="32"/>
          <w:szCs w:val="32"/>
        </w:rPr>
      </w:pPr>
    </w:p>
    <w:p w14:paraId="6F5AA267">
      <w:pPr>
        <w:pStyle w:val="13"/>
        <w:outlineLvl w:val="9"/>
        <w:rPr>
          <w:rFonts w:ascii="仿宋" w:hAnsi="仿宋" w:eastAsia="仿宋"/>
          <w:sz w:val="32"/>
          <w:szCs w:val="32"/>
        </w:rPr>
      </w:pPr>
    </w:p>
    <w:p w14:paraId="6F9C3F40">
      <w:pPr>
        <w:rPr>
          <w:rFonts w:ascii="仿宋" w:hAnsi="仿宋" w:eastAsia="仿宋"/>
          <w:sz w:val="32"/>
          <w:szCs w:val="32"/>
        </w:rPr>
      </w:pPr>
    </w:p>
    <w:p w14:paraId="0BB3A282">
      <w:pPr>
        <w:pStyle w:val="13"/>
        <w:outlineLvl w:val="9"/>
        <w:rPr>
          <w:rFonts w:ascii="仿宋" w:hAnsi="仿宋" w:eastAsia="仿宋"/>
          <w:sz w:val="32"/>
          <w:szCs w:val="32"/>
        </w:rPr>
      </w:pPr>
    </w:p>
    <w:p w14:paraId="08D8D2C5">
      <w:pPr>
        <w:rPr>
          <w:rFonts w:ascii="仿宋" w:hAnsi="仿宋" w:eastAsia="仿宋"/>
          <w:sz w:val="32"/>
          <w:szCs w:val="32"/>
        </w:rPr>
      </w:pPr>
    </w:p>
    <w:p w14:paraId="1569DE4E">
      <w:pPr>
        <w:pStyle w:val="13"/>
        <w:jc w:val="both"/>
        <w:outlineLvl w:val="9"/>
      </w:pPr>
    </w:p>
    <w:p w14:paraId="4E466A64">
      <w:pPr>
        <w:spacing w:line="600" w:lineRule="exact"/>
        <w:ind w:firstLine="640" w:firstLineChars="200"/>
        <w:outlineLvl w:val="2"/>
        <w:rPr>
          <w:rFonts w:hint="eastAsia" w:ascii="楷体" w:hAnsi="楷体" w:eastAsia="楷体" w:cs="楷体"/>
          <w:b w:val="0"/>
          <w:bCs/>
          <w:sz w:val="32"/>
          <w:szCs w:val="32"/>
        </w:rPr>
      </w:pPr>
      <w:bookmarkStart w:id="46" w:name="_Toc15377212"/>
      <w:bookmarkStart w:id="47" w:name="_Toc29198"/>
      <w:r>
        <w:rPr>
          <w:rFonts w:hint="eastAsia" w:ascii="楷体" w:hAnsi="楷体" w:eastAsia="楷体" w:cs="楷体"/>
          <w:b w:val="0"/>
          <w:bCs/>
          <w:sz w:val="32"/>
          <w:szCs w:val="32"/>
        </w:rPr>
        <w:t>（三）一般公共预算财政拨款支出决算具体情况</w:t>
      </w:r>
      <w:bookmarkEnd w:id="46"/>
      <w:bookmarkEnd w:id="47"/>
    </w:p>
    <w:p w14:paraId="54CF54A5">
      <w:pPr>
        <w:spacing w:line="600" w:lineRule="exact"/>
        <w:ind w:firstLine="643" w:firstLineChars="200"/>
        <w:outlineLvl w:val="1"/>
        <w:rPr>
          <w:rStyle w:val="17"/>
          <w:rFonts w:hint="eastAsia" w:ascii="仿宋" w:hAnsi="仿宋" w:eastAsia="仿宋"/>
          <w:bCs/>
          <w:sz w:val="32"/>
          <w:szCs w:val="32"/>
        </w:rPr>
      </w:pPr>
      <w:bookmarkStart w:id="48" w:name="_Toc15377444"/>
      <w:bookmarkStart w:id="49" w:name="_Toc15377213"/>
      <w:bookmarkStart w:id="50" w:name="_Toc14330"/>
      <w:bookmarkStart w:id="51" w:name="_Toc15378460"/>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年度一般公共预算支出决算数为</w:t>
      </w:r>
      <w:r>
        <w:rPr>
          <w:rFonts w:hint="eastAsia" w:ascii="仿宋" w:hAnsi="仿宋" w:eastAsia="仿宋"/>
          <w:b/>
          <w:sz w:val="32"/>
          <w:szCs w:val="32"/>
          <w:lang w:val="en-US" w:eastAsia="zh-CN"/>
        </w:rPr>
        <w:t>769.4万元</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48"/>
      <w:bookmarkEnd w:id="49"/>
      <w:bookmarkEnd w:id="50"/>
      <w:bookmarkEnd w:id="51"/>
    </w:p>
    <w:p w14:paraId="171A95FC">
      <w:pPr>
        <w:numPr>
          <w:ilvl w:val="0"/>
          <w:numId w:val="0"/>
        </w:numPr>
        <w:spacing w:line="600" w:lineRule="exact"/>
        <w:ind w:firstLine="643" w:firstLineChars="200"/>
        <w:outlineLvl w:val="2"/>
        <w:rPr>
          <w:rStyle w:val="17"/>
          <w:rFonts w:hint="eastAsia" w:ascii="仿宋" w:hAnsi="仿宋" w:eastAsia="仿宋"/>
          <w:bCs/>
          <w:sz w:val="32"/>
          <w:szCs w:val="32"/>
        </w:rPr>
      </w:pPr>
      <w:bookmarkStart w:id="52" w:name="_Toc31674"/>
      <w:r>
        <w:rPr>
          <w:rStyle w:val="17"/>
          <w:rFonts w:hint="eastAsia" w:ascii="仿宋" w:hAnsi="仿宋" w:eastAsia="仿宋"/>
          <w:bCs/>
          <w:sz w:val="32"/>
          <w:szCs w:val="32"/>
          <w:lang w:val="en-US" w:eastAsia="zh-CN"/>
        </w:rPr>
        <w:t>1.</w:t>
      </w:r>
      <w:r>
        <w:rPr>
          <w:rStyle w:val="17"/>
          <w:rFonts w:hint="eastAsia" w:ascii="仿宋" w:hAnsi="仿宋" w:eastAsia="仿宋"/>
          <w:bCs/>
          <w:sz w:val="32"/>
          <w:szCs w:val="32"/>
        </w:rPr>
        <w:t>教育（类）</w:t>
      </w:r>
      <w:r>
        <w:rPr>
          <w:rStyle w:val="17"/>
          <w:rFonts w:hint="eastAsia" w:ascii="仿宋" w:hAnsi="仿宋" w:eastAsia="仿宋"/>
          <w:bCs/>
          <w:sz w:val="32"/>
          <w:szCs w:val="32"/>
          <w:lang w:eastAsia="zh-CN"/>
        </w:rPr>
        <w:t>普通教育</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学前教育</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：支出决算数为</w:t>
      </w:r>
      <w:r>
        <w:rPr>
          <w:rStyle w:val="17"/>
          <w:rFonts w:hint="eastAsia" w:ascii="仿宋" w:hAnsi="仿宋" w:eastAsia="仿宋"/>
          <w:bCs/>
          <w:sz w:val="32"/>
          <w:szCs w:val="32"/>
          <w:lang w:val="en-US" w:eastAsia="zh-CN"/>
        </w:rPr>
        <w:t>94.42万元，完成预算数100%。</w:t>
      </w:r>
      <w:bookmarkEnd w:id="52"/>
    </w:p>
    <w:p w14:paraId="7D7F50E2">
      <w:pPr>
        <w:numPr>
          <w:ilvl w:val="0"/>
          <w:numId w:val="0"/>
        </w:numPr>
        <w:spacing w:line="600" w:lineRule="exact"/>
        <w:ind w:firstLine="643" w:firstLineChars="200"/>
        <w:outlineLvl w:val="2"/>
        <w:rPr>
          <w:rStyle w:val="17"/>
          <w:rFonts w:hint="eastAsia" w:ascii="仿宋" w:hAnsi="仿宋" w:eastAsia="仿宋"/>
          <w:bCs/>
          <w:sz w:val="32"/>
          <w:szCs w:val="32"/>
        </w:rPr>
      </w:pPr>
      <w:bookmarkStart w:id="53" w:name="_Toc24034"/>
      <w:r>
        <w:rPr>
          <w:rStyle w:val="17"/>
          <w:rFonts w:hint="eastAsia" w:ascii="仿宋" w:hAnsi="仿宋" w:eastAsia="仿宋"/>
          <w:bCs/>
          <w:sz w:val="32"/>
          <w:szCs w:val="32"/>
          <w:lang w:val="en-US" w:eastAsia="zh-CN"/>
        </w:rPr>
        <w:t>2.</w:t>
      </w:r>
      <w:r>
        <w:rPr>
          <w:rStyle w:val="17"/>
          <w:rFonts w:hint="eastAsia" w:ascii="仿宋" w:hAnsi="仿宋" w:eastAsia="仿宋"/>
          <w:bCs/>
          <w:sz w:val="32"/>
          <w:szCs w:val="32"/>
          <w:lang w:eastAsia="zh-CN"/>
        </w:rPr>
        <w:t>教育（类）小学教育（</w:t>
      </w:r>
      <w:r>
        <w:rPr>
          <w:rStyle w:val="17"/>
          <w:rFonts w:hint="eastAsia" w:ascii="仿宋" w:hAnsi="仿宋" w:eastAsia="仿宋"/>
          <w:bCs/>
          <w:sz w:val="32"/>
          <w:szCs w:val="32"/>
          <w:lang w:val="en-US" w:eastAsia="zh-CN"/>
        </w:rPr>
        <w:t>项</w:t>
      </w:r>
      <w:r>
        <w:rPr>
          <w:rStyle w:val="17"/>
          <w:rFonts w:hint="eastAsia" w:ascii="仿宋" w:hAnsi="仿宋" w:eastAsia="仿宋"/>
          <w:bCs/>
          <w:sz w:val="32"/>
          <w:szCs w:val="32"/>
          <w:lang w:eastAsia="zh-CN"/>
        </w:rPr>
        <w:t>）</w:t>
      </w:r>
      <w:r>
        <w:rPr>
          <w:rStyle w:val="17"/>
          <w:rFonts w:hint="eastAsia" w:ascii="仿宋" w:hAnsi="仿宋" w:eastAsia="仿宋"/>
          <w:bCs/>
          <w:sz w:val="32"/>
          <w:szCs w:val="32"/>
          <w:lang w:val="en-US" w:eastAsia="zh-CN"/>
        </w:rPr>
        <w:t>其他教育（项）：</w:t>
      </w:r>
      <w:r>
        <w:rPr>
          <w:rStyle w:val="17"/>
          <w:rFonts w:hint="eastAsia" w:ascii="仿宋" w:hAnsi="仿宋" w:eastAsia="仿宋"/>
          <w:bCs/>
          <w:sz w:val="32"/>
          <w:szCs w:val="32"/>
        </w:rPr>
        <w:t xml:space="preserve"> 支出决算为</w:t>
      </w:r>
      <w:r>
        <w:rPr>
          <w:rStyle w:val="17"/>
          <w:rFonts w:hint="eastAsia" w:ascii="仿宋" w:hAnsi="仿宋" w:eastAsia="仿宋"/>
          <w:bCs/>
          <w:sz w:val="32"/>
          <w:szCs w:val="32"/>
          <w:lang w:val="en-US" w:eastAsia="zh-CN"/>
        </w:rPr>
        <w:t>538.64</w:t>
      </w:r>
      <w:r>
        <w:rPr>
          <w:rStyle w:val="17"/>
          <w:rFonts w:hint="eastAsia" w:ascii="仿宋" w:hAnsi="仿宋" w:eastAsia="仿宋"/>
          <w:bCs/>
          <w:sz w:val="32"/>
          <w:szCs w:val="32"/>
        </w:rPr>
        <w:t>万元，完成预算</w:t>
      </w:r>
      <w:r>
        <w:rPr>
          <w:rStyle w:val="17"/>
          <w:rFonts w:hint="eastAsia" w:ascii="仿宋" w:hAnsi="仿宋" w:eastAsia="仿宋"/>
          <w:bCs/>
          <w:sz w:val="32"/>
          <w:szCs w:val="32"/>
          <w:lang w:val="en-US" w:eastAsia="zh-CN"/>
        </w:rPr>
        <w:t>100</w:t>
      </w:r>
      <w:r>
        <w:rPr>
          <w:rStyle w:val="17"/>
          <w:rFonts w:hint="eastAsia" w:ascii="仿宋" w:hAnsi="仿宋" w:eastAsia="仿宋"/>
          <w:bCs/>
          <w:sz w:val="32"/>
          <w:szCs w:val="32"/>
        </w:rPr>
        <w:t>%。</w:t>
      </w:r>
      <w:bookmarkEnd w:id="53"/>
    </w:p>
    <w:p w14:paraId="5FF8F0C7">
      <w:pPr>
        <w:numPr>
          <w:ilvl w:val="0"/>
          <w:numId w:val="0"/>
        </w:numPr>
        <w:spacing w:line="600" w:lineRule="exact"/>
        <w:ind w:firstLine="643" w:firstLineChars="200"/>
        <w:outlineLvl w:val="2"/>
        <w:rPr>
          <w:rFonts w:hint="eastAsia"/>
        </w:rPr>
      </w:pPr>
      <w:bookmarkStart w:id="54" w:name="_Toc9569"/>
      <w:r>
        <w:rPr>
          <w:rStyle w:val="17"/>
          <w:rFonts w:hint="eastAsia" w:ascii="仿宋" w:hAnsi="仿宋" w:eastAsia="仿宋"/>
          <w:bCs/>
          <w:sz w:val="32"/>
          <w:szCs w:val="32"/>
          <w:lang w:val="en-US" w:eastAsia="zh-CN"/>
        </w:rPr>
        <w:t>3.</w:t>
      </w:r>
      <w:r>
        <w:rPr>
          <w:rStyle w:val="17"/>
          <w:rFonts w:hint="eastAsia" w:ascii="仿宋" w:hAnsi="仿宋" w:eastAsia="仿宋"/>
          <w:bCs/>
          <w:sz w:val="32"/>
          <w:szCs w:val="32"/>
          <w:lang w:eastAsia="zh-CN"/>
        </w:rPr>
        <w:t>教育（类）初中教育支出（</w:t>
      </w:r>
      <w:r>
        <w:rPr>
          <w:rStyle w:val="17"/>
          <w:rFonts w:hint="eastAsia" w:ascii="仿宋" w:hAnsi="仿宋" w:eastAsia="仿宋"/>
          <w:bCs/>
          <w:sz w:val="32"/>
          <w:szCs w:val="32"/>
          <w:lang w:val="en-US" w:eastAsia="zh-CN"/>
        </w:rPr>
        <w:t>项</w:t>
      </w:r>
      <w:r>
        <w:rPr>
          <w:rStyle w:val="17"/>
          <w:rFonts w:hint="eastAsia" w:ascii="仿宋" w:hAnsi="仿宋" w:eastAsia="仿宋"/>
          <w:bCs/>
          <w:sz w:val="32"/>
          <w:szCs w:val="32"/>
          <w:lang w:eastAsia="zh-CN"/>
        </w:rPr>
        <w:t>）</w:t>
      </w:r>
      <w:r>
        <w:rPr>
          <w:rStyle w:val="17"/>
          <w:rFonts w:hint="eastAsia" w:ascii="仿宋" w:hAnsi="仿宋" w:eastAsia="仿宋"/>
          <w:bCs/>
          <w:sz w:val="32"/>
          <w:szCs w:val="32"/>
          <w:lang w:val="en-US" w:eastAsia="zh-CN"/>
        </w:rPr>
        <w:t>其他教育（项）：</w:t>
      </w:r>
      <w:r>
        <w:rPr>
          <w:rStyle w:val="17"/>
          <w:rFonts w:hint="eastAsia" w:ascii="仿宋" w:hAnsi="仿宋" w:eastAsia="仿宋"/>
          <w:bCs/>
          <w:sz w:val="32"/>
          <w:szCs w:val="32"/>
        </w:rPr>
        <w:t xml:space="preserve"> 支出决算为</w:t>
      </w:r>
      <w:r>
        <w:rPr>
          <w:rStyle w:val="17"/>
          <w:rFonts w:hint="eastAsia" w:ascii="仿宋" w:hAnsi="仿宋" w:eastAsia="仿宋"/>
          <w:bCs/>
          <w:sz w:val="32"/>
          <w:szCs w:val="32"/>
          <w:lang w:val="en-US" w:eastAsia="zh-CN"/>
        </w:rPr>
        <w:t>2.54</w:t>
      </w:r>
      <w:r>
        <w:rPr>
          <w:rStyle w:val="17"/>
          <w:rFonts w:hint="eastAsia" w:ascii="仿宋" w:hAnsi="仿宋" w:eastAsia="仿宋"/>
          <w:bCs/>
          <w:sz w:val="32"/>
          <w:szCs w:val="32"/>
        </w:rPr>
        <w:t>万元，完成预算</w:t>
      </w:r>
      <w:r>
        <w:rPr>
          <w:rStyle w:val="17"/>
          <w:rFonts w:hint="eastAsia" w:ascii="仿宋" w:hAnsi="仿宋" w:eastAsia="仿宋"/>
          <w:bCs/>
          <w:sz w:val="32"/>
          <w:szCs w:val="32"/>
          <w:lang w:val="en-US" w:eastAsia="zh-CN"/>
        </w:rPr>
        <w:t>100</w:t>
      </w:r>
      <w:r>
        <w:rPr>
          <w:rStyle w:val="17"/>
          <w:rFonts w:hint="eastAsia" w:ascii="仿宋" w:hAnsi="仿宋" w:eastAsia="仿宋"/>
          <w:bCs/>
          <w:sz w:val="32"/>
          <w:szCs w:val="32"/>
        </w:rPr>
        <w:t>%。</w:t>
      </w:r>
      <w:bookmarkEnd w:id="54"/>
    </w:p>
    <w:p w14:paraId="7769D047">
      <w:pPr>
        <w:spacing w:line="600" w:lineRule="exact"/>
        <w:ind w:firstLine="643" w:firstLineChars="200"/>
        <w:outlineLvl w:val="2"/>
        <w:rPr>
          <w:rStyle w:val="17"/>
          <w:rFonts w:hint="eastAsia" w:ascii="仿宋" w:hAnsi="仿宋" w:eastAsia="仿宋"/>
          <w:bCs/>
          <w:sz w:val="32"/>
          <w:szCs w:val="32"/>
        </w:rPr>
      </w:pPr>
      <w:bookmarkStart w:id="55" w:name="_Toc25195"/>
      <w:r>
        <w:rPr>
          <w:rStyle w:val="17"/>
          <w:rFonts w:hint="eastAsia" w:ascii="仿宋" w:hAnsi="仿宋" w:eastAsia="仿宋"/>
          <w:bCs/>
          <w:sz w:val="32"/>
          <w:szCs w:val="32"/>
          <w:lang w:val="en-US" w:eastAsia="zh-CN"/>
        </w:rPr>
        <w:t>4</w:t>
      </w:r>
      <w:r>
        <w:rPr>
          <w:rStyle w:val="17"/>
          <w:rFonts w:hint="eastAsia" w:ascii="仿宋" w:hAnsi="仿宋" w:eastAsia="仿宋"/>
          <w:bCs/>
          <w:sz w:val="32"/>
          <w:szCs w:val="32"/>
        </w:rPr>
        <w:t>.社会保障和就业（类）行政事业单位养老支出（款）机关事业单位基本养老保险缴费支出（项）</w:t>
      </w:r>
      <w:r>
        <w:rPr>
          <w:rStyle w:val="17"/>
          <w:rFonts w:hint="eastAsia" w:ascii="仿宋" w:hAnsi="仿宋" w:eastAsia="仿宋"/>
          <w:bCs/>
          <w:sz w:val="32"/>
          <w:szCs w:val="32"/>
          <w:lang w:eastAsia="zh-CN"/>
        </w:rPr>
        <w:t>：</w:t>
      </w:r>
      <w:r>
        <w:rPr>
          <w:rStyle w:val="17"/>
          <w:rFonts w:hint="eastAsia" w:ascii="仿宋" w:hAnsi="仿宋" w:eastAsia="仿宋"/>
          <w:bCs/>
          <w:sz w:val="32"/>
          <w:szCs w:val="32"/>
        </w:rPr>
        <w:t xml:space="preserve"> 支出决算为</w:t>
      </w:r>
      <w:r>
        <w:rPr>
          <w:rStyle w:val="17"/>
          <w:rFonts w:hint="eastAsia" w:ascii="仿宋" w:hAnsi="仿宋" w:eastAsia="仿宋"/>
          <w:bCs/>
          <w:sz w:val="32"/>
          <w:szCs w:val="32"/>
          <w:lang w:val="en-US" w:eastAsia="zh-CN"/>
        </w:rPr>
        <w:t>43.52</w:t>
      </w:r>
      <w:r>
        <w:rPr>
          <w:rStyle w:val="17"/>
          <w:rFonts w:hint="eastAsia" w:ascii="仿宋" w:hAnsi="仿宋" w:eastAsia="仿宋"/>
          <w:bCs/>
          <w:sz w:val="32"/>
          <w:szCs w:val="32"/>
        </w:rPr>
        <w:t>万元，完成预算</w:t>
      </w:r>
      <w:r>
        <w:rPr>
          <w:rStyle w:val="17"/>
          <w:rFonts w:hint="eastAsia" w:ascii="仿宋" w:hAnsi="仿宋" w:eastAsia="仿宋"/>
          <w:bCs/>
          <w:sz w:val="32"/>
          <w:szCs w:val="32"/>
          <w:lang w:val="en-US" w:eastAsia="zh-CN"/>
        </w:rPr>
        <w:t>100</w:t>
      </w:r>
      <w:r>
        <w:rPr>
          <w:rStyle w:val="17"/>
          <w:rFonts w:hint="eastAsia" w:ascii="仿宋" w:hAnsi="仿宋" w:eastAsia="仿宋"/>
          <w:bCs/>
          <w:sz w:val="32"/>
          <w:szCs w:val="32"/>
        </w:rPr>
        <w:t>%。</w:t>
      </w:r>
      <w:bookmarkEnd w:id="55"/>
    </w:p>
    <w:p w14:paraId="573F0650">
      <w:pPr>
        <w:spacing w:line="600" w:lineRule="exact"/>
        <w:ind w:firstLine="643" w:firstLineChars="200"/>
        <w:outlineLvl w:val="2"/>
        <w:rPr>
          <w:rStyle w:val="17"/>
          <w:rFonts w:hint="eastAsia" w:ascii="仿宋" w:hAnsi="仿宋" w:eastAsia="仿宋"/>
          <w:bCs/>
          <w:sz w:val="32"/>
          <w:szCs w:val="32"/>
        </w:rPr>
      </w:pPr>
      <w:bookmarkStart w:id="56" w:name="_Toc6252"/>
      <w:r>
        <w:rPr>
          <w:rStyle w:val="17"/>
          <w:rFonts w:hint="eastAsia" w:ascii="仿宋" w:hAnsi="仿宋" w:eastAsia="仿宋"/>
          <w:bCs/>
          <w:sz w:val="32"/>
          <w:szCs w:val="32"/>
          <w:lang w:val="en-US" w:eastAsia="zh-CN"/>
        </w:rPr>
        <w:t>5.</w:t>
      </w:r>
      <w:r>
        <w:rPr>
          <w:rStyle w:val="17"/>
          <w:rFonts w:hint="eastAsia" w:ascii="仿宋" w:hAnsi="仿宋" w:eastAsia="仿宋"/>
          <w:bCs/>
          <w:sz w:val="32"/>
          <w:szCs w:val="32"/>
        </w:rPr>
        <w:t>社会保障和就业（类）行政事业单位养老支出（款）机关事业单位职业年金缴费支出（项）</w:t>
      </w:r>
      <w:r>
        <w:rPr>
          <w:rStyle w:val="17"/>
          <w:rFonts w:hint="eastAsia" w:ascii="仿宋" w:hAnsi="仿宋" w:eastAsia="仿宋"/>
          <w:bCs/>
          <w:sz w:val="32"/>
          <w:szCs w:val="32"/>
          <w:lang w:eastAsia="zh-CN"/>
        </w:rPr>
        <w:t>：</w:t>
      </w:r>
      <w:r>
        <w:rPr>
          <w:rStyle w:val="17"/>
          <w:rFonts w:hint="eastAsia" w:ascii="仿宋" w:hAnsi="仿宋" w:eastAsia="仿宋"/>
          <w:bCs/>
          <w:sz w:val="32"/>
          <w:szCs w:val="32"/>
        </w:rPr>
        <w:t xml:space="preserve"> 支出决算为</w:t>
      </w:r>
      <w:r>
        <w:rPr>
          <w:rStyle w:val="17"/>
          <w:rFonts w:hint="eastAsia" w:ascii="仿宋" w:hAnsi="仿宋" w:eastAsia="仿宋"/>
          <w:bCs/>
          <w:sz w:val="32"/>
          <w:szCs w:val="32"/>
          <w:lang w:val="en-US" w:eastAsia="zh-CN"/>
        </w:rPr>
        <w:t>18.39</w:t>
      </w:r>
      <w:r>
        <w:rPr>
          <w:rStyle w:val="17"/>
          <w:rFonts w:hint="eastAsia" w:ascii="仿宋" w:hAnsi="仿宋" w:eastAsia="仿宋"/>
          <w:bCs/>
          <w:sz w:val="32"/>
          <w:szCs w:val="32"/>
        </w:rPr>
        <w:t>万元，完成预算</w:t>
      </w:r>
      <w:r>
        <w:rPr>
          <w:rStyle w:val="17"/>
          <w:rFonts w:hint="eastAsia" w:ascii="仿宋" w:hAnsi="仿宋" w:eastAsia="仿宋"/>
          <w:bCs/>
          <w:sz w:val="32"/>
          <w:szCs w:val="32"/>
          <w:lang w:val="en-US" w:eastAsia="zh-CN"/>
        </w:rPr>
        <w:t>100</w:t>
      </w:r>
      <w:r>
        <w:rPr>
          <w:rStyle w:val="17"/>
          <w:rFonts w:hint="eastAsia" w:ascii="仿宋" w:hAnsi="仿宋" w:eastAsia="仿宋"/>
          <w:bCs/>
          <w:sz w:val="32"/>
          <w:szCs w:val="32"/>
        </w:rPr>
        <w:t>%。</w:t>
      </w:r>
      <w:bookmarkEnd w:id="56"/>
    </w:p>
    <w:p w14:paraId="1102F65A">
      <w:pPr>
        <w:spacing w:line="600" w:lineRule="exact"/>
        <w:ind w:firstLine="643" w:firstLineChars="200"/>
        <w:outlineLvl w:val="2"/>
        <w:rPr>
          <w:rStyle w:val="17"/>
          <w:rFonts w:hint="eastAsia" w:ascii="仿宋" w:hAnsi="仿宋" w:eastAsia="仿宋"/>
          <w:bCs/>
          <w:sz w:val="32"/>
          <w:szCs w:val="32"/>
          <w:lang w:val="en-US" w:eastAsia="zh-CN"/>
        </w:rPr>
      </w:pPr>
      <w:bookmarkStart w:id="57" w:name="_Toc30719"/>
      <w:r>
        <w:rPr>
          <w:rStyle w:val="17"/>
          <w:rFonts w:hint="eastAsia" w:ascii="仿宋" w:hAnsi="仿宋" w:eastAsia="仿宋"/>
          <w:bCs/>
          <w:sz w:val="32"/>
          <w:szCs w:val="32"/>
          <w:lang w:val="en-US" w:eastAsia="zh-CN"/>
        </w:rPr>
        <w:t>6.</w:t>
      </w:r>
      <w:r>
        <w:rPr>
          <w:rStyle w:val="17"/>
          <w:rFonts w:hint="eastAsia" w:ascii="仿宋" w:hAnsi="仿宋" w:eastAsia="仿宋"/>
          <w:bCs/>
          <w:sz w:val="32"/>
          <w:szCs w:val="32"/>
        </w:rPr>
        <w:t>社会保障和就业（类）其他社会保障和就业支出（</w:t>
      </w:r>
      <w:r>
        <w:rPr>
          <w:rStyle w:val="17"/>
          <w:rFonts w:hint="eastAsia" w:ascii="仿宋" w:hAnsi="仿宋" w:eastAsia="仿宋"/>
          <w:bCs/>
          <w:sz w:val="32"/>
          <w:szCs w:val="32"/>
          <w:lang w:val="en-US" w:eastAsia="zh-CN"/>
        </w:rPr>
        <w:t>款</w:t>
      </w:r>
      <w:r>
        <w:rPr>
          <w:rStyle w:val="17"/>
          <w:rFonts w:hint="eastAsia" w:ascii="仿宋" w:hAnsi="仿宋" w:eastAsia="仿宋"/>
          <w:bCs/>
          <w:sz w:val="32"/>
          <w:szCs w:val="32"/>
        </w:rPr>
        <w:t>）其他社会保障和就业支出</w:t>
      </w:r>
      <w:r>
        <w:rPr>
          <w:rStyle w:val="17"/>
          <w:rFonts w:hint="eastAsia" w:ascii="仿宋" w:hAnsi="仿宋" w:eastAsia="仿宋"/>
          <w:bCs/>
          <w:sz w:val="32"/>
          <w:szCs w:val="32"/>
          <w:lang w:eastAsia="zh-CN"/>
        </w:rPr>
        <w:t>（项）：支出决算为</w:t>
      </w:r>
      <w:r>
        <w:rPr>
          <w:rStyle w:val="17"/>
          <w:rFonts w:hint="eastAsia" w:ascii="仿宋" w:hAnsi="仿宋" w:eastAsia="仿宋"/>
          <w:bCs/>
          <w:sz w:val="32"/>
          <w:szCs w:val="32"/>
          <w:lang w:val="en-US" w:eastAsia="zh-CN"/>
        </w:rPr>
        <w:t>12.56万元，完成预算100%</w:t>
      </w:r>
      <w:bookmarkEnd w:id="57"/>
    </w:p>
    <w:p w14:paraId="53848AE5">
      <w:pPr>
        <w:spacing w:line="600" w:lineRule="exact"/>
        <w:ind w:firstLine="643" w:firstLineChars="200"/>
        <w:outlineLvl w:val="2"/>
        <w:rPr>
          <w:rStyle w:val="17"/>
          <w:rFonts w:hint="eastAsia" w:ascii="仿宋" w:hAnsi="仿宋" w:eastAsia="仿宋"/>
          <w:bCs/>
          <w:sz w:val="32"/>
          <w:szCs w:val="32"/>
        </w:rPr>
      </w:pPr>
      <w:bookmarkStart w:id="58" w:name="_Toc14768"/>
      <w:r>
        <w:rPr>
          <w:rStyle w:val="17"/>
          <w:rFonts w:hint="eastAsia" w:ascii="仿宋" w:hAnsi="仿宋" w:eastAsia="仿宋"/>
          <w:bCs/>
          <w:sz w:val="32"/>
          <w:szCs w:val="32"/>
          <w:lang w:val="en-US" w:eastAsia="zh-CN"/>
        </w:rPr>
        <w:t>7.</w:t>
      </w:r>
      <w:r>
        <w:rPr>
          <w:rStyle w:val="17"/>
          <w:rFonts w:hint="eastAsia" w:ascii="仿宋" w:hAnsi="仿宋" w:eastAsia="仿宋"/>
          <w:bCs/>
          <w:sz w:val="32"/>
          <w:szCs w:val="32"/>
        </w:rPr>
        <w:t>卫生健康（类）行政事业单位医疗（款）</w:t>
      </w:r>
      <w:r>
        <w:rPr>
          <w:rStyle w:val="17"/>
          <w:rFonts w:hint="eastAsia" w:ascii="仿宋" w:hAnsi="仿宋" w:eastAsia="仿宋"/>
          <w:bCs/>
          <w:sz w:val="32"/>
          <w:szCs w:val="32"/>
          <w:lang w:eastAsia="zh-CN"/>
        </w:rPr>
        <w:t>：</w:t>
      </w:r>
      <w:r>
        <w:rPr>
          <w:rStyle w:val="17"/>
          <w:rFonts w:hint="eastAsia" w:ascii="仿宋" w:hAnsi="仿宋" w:eastAsia="仿宋"/>
          <w:bCs/>
          <w:sz w:val="32"/>
          <w:szCs w:val="32"/>
        </w:rPr>
        <w:t>支出决算数为</w:t>
      </w:r>
      <w:r>
        <w:rPr>
          <w:rStyle w:val="17"/>
          <w:rFonts w:hint="eastAsia" w:ascii="仿宋" w:hAnsi="仿宋" w:eastAsia="仿宋"/>
          <w:bCs/>
          <w:sz w:val="32"/>
          <w:szCs w:val="32"/>
          <w:lang w:val="en-US" w:eastAsia="zh-CN"/>
        </w:rPr>
        <w:t>16.66</w:t>
      </w:r>
      <w:r>
        <w:rPr>
          <w:rStyle w:val="17"/>
          <w:rFonts w:hint="eastAsia" w:ascii="仿宋" w:hAnsi="仿宋" w:eastAsia="仿宋"/>
          <w:bCs/>
          <w:sz w:val="32"/>
          <w:szCs w:val="32"/>
        </w:rPr>
        <w:t>万元，完成预算</w:t>
      </w:r>
      <w:r>
        <w:rPr>
          <w:rStyle w:val="17"/>
          <w:rFonts w:hint="eastAsia" w:ascii="仿宋" w:hAnsi="仿宋" w:eastAsia="仿宋"/>
          <w:bCs/>
          <w:sz w:val="32"/>
          <w:szCs w:val="32"/>
          <w:lang w:val="en-US" w:eastAsia="zh-CN"/>
        </w:rPr>
        <w:t>100</w:t>
      </w:r>
      <w:r>
        <w:rPr>
          <w:rStyle w:val="17"/>
          <w:rFonts w:hint="eastAsia" w:ascii="仿宋" w:hAnsi="仿宋" w:eastAsia="仿宋"/>
          <w:bCs/>
          <w:sz w:val="32"/>
          <w:szCs w:val="32"/>
        </w:rPr>
        <w:t>%。</w:t>
      </w:r>
      <w:bookmarkEnd w:id="58"/>
    </w:p>
    <w:p w14:paraId="190C6D53">
      <w:pPr>
        <w:spacing w:line="600" w:lineRule="exact"/>
        <w:ind w:firstLine="643" w:firstLineChars="200"/>
        <w:outlineLvl w:val="2"/>
        <w:rPr>
          <w:rStyle w:val="17"/>
          <w:rFonts w:hint="eastAsia" w:ascii="仿宋" w:hAnsi="仿宋" w:eastAsia="仿宋"/>
          <w:bCs/>
          <w:sz w:val="32"/>
          <w:szCs w:val="32"/>
        </w:rPr>
      </w:pPr>
      <w:bookmarkStart w:id="59" w:name="_Toc25554"/>
      <w:r>
        <w:rPr>
          <w:rStyle w:val="17"/>
          <w:rFonts w:hint="eastAsia" w:ascii="仿宋" w:hAnsi="仿宋" w:eastAsia="仿宋"/>
          <w:bCs/>
          <w:sz w:val="32"/>
          <w:szCs w:val="32"/>
          <w:lang w:val="en-US" w:eastAsia="zh-CN"/>
        </w:rPr>
        <w:t>8.</w:t>
      </w:r>
      <w:r>
        <w:rPr>
          <w:rStyle w:val="17"/>
          <w:rFonts w:hint="eastAsia" w:ascii="仿宋" w:hAnsi="仿宋" w:eastAsia="仿宋"/>
          <w:bCs/>
          <w:sz w:val="32"/>
          <w:szCs w:val="32"/>
        </w:rPr>
        <w:t>卫生健康（类）行政事业单位医疗（款）事业单位医疗（项）</w:t>
      </w:r>
      <w:r>
        <w:rPr>
          <w:rStyle w:val="17"/>
          <w:rFonts w:hint="eastAsia" w:ascii="仿宋" w:hAnsi="仿宋" w:eastAsia="仿宋"/>
          <w:bCs/>
          <w:sz w:val="32"/>
          <w:szCs w:val="32"/>
          <w:lang w:eastAsia="zh-CN"/>
        </w:rPr>
        <w:t>：</w:t>
      </w:r>
      <w:r>
        <w:rPr>
          <w:rStyle w:val="17"/>
          <w:rFonts w:hint="eastAsia" w:ascii="仿宋" w:hAnsi="仿宋" w:eastAsia="仿宋"/>
          <w:bCs/>
          <w:sz w:val="32"/>
          <w:szCs w:val="32"/>
        </w:rPr>
        <w:t>支出决算数为</w:t>
      </w:r>
      <w:r>
        <w:rPr>
          <w:rStyle w:val="17"/>
          <w:rFonts w:hint="eastAsia" w:ascii="仿宋" w:hAnsi="仿宋" w:eastAsia="仿宋"/>
          <w:bCs/>
          <w:sz w:val="32"/>
          <w:szCs w:val="32"/>
          <w:lang w:val="en-US" w:eastAsia="zh-CN"/>
        </w:rPr>
        <w:t>16.66</w:t>
      </w:r>
      <w:r>
        <w:rPr>
          <w:rStyle w:val="17"/>
          <w:rFonts w:hint="eastAsia" w:ascii="仿宋" w:hAnsi="仿宋" w:eastAsia="仿宋"/>
          <w:bCs/>
          <w:sz w:val="32"/>
          <w:szCs w:val="32"/>
        </w:rPr>
        <w:t>万元，完成预算</w:t>
      </w:r>
      <w:r>
        <w:rPr>
          <w:rStyle w:val="17"/>
          <w:rFonts w:hint="eastAsia" w:ascii="仿宋" w:hAnsi="仿宋" w:eastAsia="仿宋"/>
          <w:bCs/>
          <w:sz w:val="32"/>
          <w:szCs w:val="32"/>
          <w:lang w:val="en-US" w:eastAsia="zh-CN"/>
        </w:rPr>
        <w:t>100</w:t>
      </w:r>
      <w:r>
        <w:rPr>
          <w:rStyle w:val="17"/>
          <w:rFonts w:hint="eastAsia" w:ascii="仿宋" w:hAnsi="仿宋" w:eastAsia="仿宋"/>
          <w:bCs/>
          <w:sz w:val="32"/>
          <w:szCs w:val="32"/>
        </w:rPr>
        <w:t>%。</w:t>
      </w:r>
      <w:bookmarkEnd w:id="59"/>
    </w:p>
    <w:p w14:paraId="6BC5C728">
      <w:pPr>
        <w:spacing w:line="600" w:lineRule="exact"/>
        <w:ind w:firstLine="643" w:firstLineChars="200"/>
        <w:outlineLvl w:val="2"/>
        <w:rPr>
          <w:rFonts w:ascii="仿宋" w:hAnsi="仿宋" w:eastAsia="仿宋"/>
          <w:b/>
          <w:sz w:val="32"/>
          <w:szCs w:val="32"/>
        </w:rPr>
      </w:pPr>
      <w:bookmarkStart w:id="60" w:name="_Toc12075"/>
      <w:r>
        <w:rPr>
          <w:rStyle w:val="17"/>
          <w:rFonts w:hint="eastAsia" w:ascii="仿宋" w:hAnsi="仿宋" w:eastAsia="仿宋"/>
          <w:bCs/>
          <w:sz w:val="32"/>
          <w:szCs w:val="32"/>
          <w:lang w:val="en-US" w:eastAsia="zh-CN"/>
        </w:rPr>
        <w:t>9.</w:t>
      </w:r>
      <w:r>
        <w:rPr>
          <w:rStyle w:val="17"/>
          <w:rFonts w:hint="eastAsia" w:ascii="仿宋" w:hAnsi="仿宋" w:eastAsia="仿宋"/>
          <w:bCs/>
          <w:sz w:val="32"/>
          <w:szCs w:val="32"/>
        </w:rPr>
        <w:t>住房保障支出（类）住房改革支出（款）住房公积金（项）</w:t>
      </w:r>
      <w:r>
        <w:rPr>
          <w:rStyle w:val="17"/>
          <w:rFonts w:hint="eastAsia" w:ascii="仿宋" w:hAnsi="仿宋" w:eastAsia="仿宋"/>
          <w:bCs/>
          <w:sz w:val="32"/>
          <w:szCs w:val="32"/>
          <w:lang w:eastAsia="zh-CN"/>
        </w:rPr>
        <w:t>：</w:t>
      </w:r>
      <w:r>
        <w:rPr>
          <w:rStyle w:val="17"/>
          <w:rFonts w:hint="eastAsia" w:ascii="仿宋" w:hAnsi="仿宋" w:eastAsia="仿宋"/>
          <w:bCs/>
          <w:sz w:val="32"/>
          <w:szCs w:val="32"/>
        </w:rPr>
        <w:t>支出决算数</w:t>
      </w:r>
      <w:r>
        <w:rPr>
          <w:rStyle w:val="17"/>
          <w:rFonts w:hint="eastAsia" w:ascii="仿宋" w:hAnsi="仿宋" w:eastAsia="仿宋"/>
          <w:bCs/>
          <w:sz w:val="32"/>
          <w:szCs w:val="32"/>
          <w:lang w:eastAsia="zh-CN"/>
        </w:rPr>
        <w:t>为</w:t>
      </w:r>
      <w:r>
        <w:rPr>
          <w:rStyle w:val="17"/>
          <w:rFonts w:hint="eastAsia" w:ascii="仿宋" w:hAnsi="仿宋" w:eastAsia="仿宋"/>
          <w:bCs/>
          <w:sz w:val="32"/>
          <w:szCs w:val="32"/>
          <w:lang w:val="en-US" w:eastAsia="zh-CN"/>
        </w:rPr>
        <w:t>42.66</w:t>
      </w:r>
      <w:r>
        <w:rPr>
          <w:rStyle w:val="17"/>
          <w:rFonts w:hint="eastAsia" w:ascii="仿宋" w:hAnsi="仿宋" w:eastAsia="仿宋"/>
          <w:bCs/>
          <w:sz w:val="32"/>
          <w:szCs w:val="32"/>
        </w:rPr>
        <w:t>万元，完成预算100%。</w:t>
      </w:r>
      <w:bookmarkEnd w:id="60"/>
    </w:p>
    <w:p w14:paraId="13770DC0">
      <w:pPr>
        <w:tabs>
          <w:tab w:val="right" w:pos="8306"/>
        </w:tabs>
        <w:spacing w:line="600" w:lineRule="exact"/>
        <w:ind w:firstLine="640"/>
        <w:outlineLvl w:val="1"/>
        <w:rPr>
          <w:rStyle w:val="29"/>
        </w:rPr>
      </w:pPr>
      <w:bookmarkStart w:id="61" w:name="_Toc15396608"/>
      <w:bookmarkStart w:id="62" w:name="_Toc10045"/>
      <w:bookmarkStart w:id="63"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61"/>
      <w:bookmarkEnd w:id="62"/>
      <w:bookmarkEnd w:id="63"/>
      <w:r>
        <w:rPr>
          <w:rStyle w:val="29"/>
          <w:rFonts w:ascii="黑体" w:hAnsi="黑体" w:eastAsia="黑体"/>
          <w:b w:val="0"/>
        </w:rPr>
        <w:tab/>
      </w:r>
    </w:p>
    <w:p w14:paraId="517A48A5">
      <w:pPr>
        <w:spacing w:line="600"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ascii="仿宋" w:hAnsi="仿宋" w:eastAsia="仿宋"/>
          <w:sz w:val="32"/>
          <w:szCs w:val="32"/>
          <w:lang w:val="en-US" w:eastAsia="zh-CN"/>
        </w:rPr>
        <w:t>591.32</w:t>
      </w:r>
      <w:r>
        <w:rPr>
          <w:rFonts w:hint="eastAsia" w:ascii="仿宋" w:hAnsi="仿宋" w:eastAsia="仿宋"/>
          <w:sz w:val="32"/>
          <w:szCs w:val="32"/>
        </w:rPr>
        <w:t>万元，其中：</w:t>
      </w:r>
    </w:p>
    <w:p w14:paraId="40405B7F">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ascii="仿宋" w:hAnsi="仿宋" w:eastAsia="仿宋"/>
          <w:b/>
          <w:sz w:val="32"/>
          <w:szCs w:val="32"/>
        </w:rPr>
        <w:t>57</w:t>
      </w:r>
      <w:r>
        <w:rPr>
          <w:rFonts w:hint="eastAsia" w:ascii="仿宋" w:hAnsi="仿宋" w:eastAsia="仿宋"/>
          <w:b/>
          <w:sz w:val="32"/>
          <w:szCs w:val="32"/>
          <w:lang w:val="en-US" w:eastAsia="zh-CN"/>
        </w:rPr>
        <w:t>4.01</w:t>
      </w:r>
      <w:r>
        <w:rPr>
          <w:rFonts w:hint="eastAsia" w:ascii="仿宋" w:hAnsi="仿宋" w:eastAsia="仿宋"/>
          <w:sz w:val="32"/>
          <w:szCs w:val="32"/>
        </w:rPr>
        <w:t>万元，主要包括：基本工资、津贴补贴、伙食补助费、绩效工资、机关事业单位基本养老保险缴费、职业年金缴费、</w:t>
      </w:r>
      <w:r>
        <w:rPr>
          <w:rFonts w:hint="eastAsia" w:ascii="仿宋" w:hAnsi="仿宋" w:eastAsia="仿宋"/>
          <w:sz w:val="32"/>
          <w:szCs w:val="32"/>
          <w:lang w:eastAsia="zh-CN"/>
        </w:rPr>
        <w:t>职工基本医疗保险缴费、</w:t>
      </w:r>
      <w:r>
        <w:rPr>
          <w:rFonts w:hint="eastAsia" w:ascii="仿宋" w:hAnsi="仿宋" w:eastAsia="仿宋"/>
          <w:sz w:val="32"/>
          <w:szCs w:val="32"/>
        </w:rPr>
        <w:t>其他社会保障缴费、其他工资福利支出、生活补助、住房公积金、其他对个人和家庭的补助支出等。</w:t>
      </w:r>
    </w:p>
    <w:p w14:paraId="39B21929">
      <w:pPr>
        <w:spacing w:line="600" w:lineRule="exact"/>
        <w:ind w:firstLine="645"/>
        <w:rPr>
          <w:rFonts w:hint="eastAsia" w:ascii="仿宋" w:hAnsi="仿宋" w:eastAsia="仿宋"/>
          <w:b/>
          <w:sz w:val="32"/>
          <w:szCs w:val="32"/>
          <w:lang w:eastAsia="zh-CN"/>
        </w:rPr>
      </w:pPr>
      <w:r>
        <w:rPr>
          <w:rFonts w:hint="eastAsia" w:ascii="仿宋" w:hAnsi="仿宋" w:eastAsia="仿宋"/>
          <w:sz w:val="32"/>
          <w:szCs w:val="32"/>
        </w:rPr>
        <w:t>公用经费</w:t>
      </w:r>
      <w:r>
        <w:rPr>
          <w:rFonts w:hint="eastAsia" w:ascii="仿宋" w:hAnsi="仿宋" w:eastAsia="仿宋"/>
          <w:sz w:val="32"/>
          <w:szCs w:val="32"/>
          <w:lang w:val="en-US" w:eastAsia="zh-CN"/>
        </w:rPr>
        <w:t>17.31</w:t>
      </w:r>
      <w:r>
        <w:rPr>
          <w:rFonts w:hint="eastAsia" w:ascii="仿宋" w:hAnsi="仿宋" w:eastAsia="仿宋"/>
          <w:sz w:val="32"/>
          <w:szCs w:val="32"/>
        </w:rPr>
        <w:t>万元，主要包括：工会经费、福利费</w:t>
      </w:r>
      <w:r>
        <w:rPr>
          <w:rFonts w:hint="eastAsia" w:ascii="仿宋" w:hAnsi="仿宋" w:eastAsia="仿宋"/>
          <w:sz w:val="32"/>
          <w:szCs w:val="32"/>
          <w:lang w:eastAsia="zh-CN"/>
        </w:rPr>
        <w:t>等支出。</w:t>
      </w:r>
    </w:p>
    <w:p w14:paraId="05A2162C">
      <w:pPr>
        <w:spacing w:line="600" w:lineRule="exact"/>
        <w:ind w:firstLine="640"/>
        <w:outlineLvl w:val="1"/>
        <w:rPr>
          <w:rStyle w:val="29"/>
          <w:rFonts w:ascii="黑体" w:hAnsi="黑体" w:eastAsia="黑体"/>
          <w:b w:val="0"/>
        </w:rPr>
      </w:pPr>
      <w:bookmarkStart w:id="64" w:name="_Toc15377215"/>
      <w:bookmarkStart w:id="65" w:name="_Toc15412"/>
      <w:bookmarkStart w:id="66"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64"/>
      <w:bookmarkEnd w:id="65"/>
      <w:bookmarkEnd w:id="66"/>
    </w:p>
    <w:p w14:paraId="3D98E560">
      <w:pPr>
        <w:spacing w:line="600" w:lineRule="exact"/>
        <w:ind w:firstLine="640"/>
        <w:outlineLvl w:val="2"/>
        <w:rPr>
          <w:rFonts w:ascii="仿宋" w:hAnsi="仿宋" w:eastAsia="仿宋"/>
          <w:b/>
          <w:sz w:val="32"/>
          <w:szCs w:val="32"/>
        </w:rPr>
      </w:pPr>
      <w:bookmarkStart w:id="67" w:name="_Toc11126"/>
      <w:bookmarkStart w:id="68" w:name="_Toc15377216"/>
      <w:r>
        <w:rPr>
          <w:rFonts w:hint="eastAsia" w:ascii="仿宋" w:hAnsi="仿宋" w:eastAsia="仿宋"/>
          <w:b/>
          <w:sz w:val="32"/>
          <w:szCs w:val="32"/>
        </w:rPr>
        <w:t>（一）“三公”经费财政拨款支出决算总体情况说明</w:t>
      </w:r>
      <w:bookmarkEnd w:id="67"/>
      <w:bookmarkEnd w:id="68"/>
    </w:p>
    <w:p w14:paraId="5727199B">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0</w:t>
      </w:r>
      <w:r>
        <w:rPr>
          <w:rFonts w:hint="eastAsia" w:ascii="仿宋" w:hAnsi="仿宋" w:eastAsia="仿宋"/>
          <w:sz w:val="32"/>
          <w:szCs w:val="32"/>
        </w:rPr>
        <w:t>%。</w:t>
      </w:r>
    </w:p>
    <w:p w14:paraId="4A3E0340">
      <w:pPr>
        <w:spacing w:line="600" w:lineRule="exact"/>
        <w:ind w:firstLine="643" w:firstLineChars="200"/>
        <w:outlineLvl w:val="2"/>
        <w:rPr>
          <w:rFonts w:ascii="仿宋" w:hAnsi="仿宋" w:eastAsia="仿宋"/>
          <w:b/>
          <w:sz w:val="32"/>
          <w:szCs w:val="32"/>
        </w:rPr>
      </w:pPr>
      <w:bookmarkStart w:id="69" w:name="_Toc8747"/>
      <w:bookmarkStart w:id="70" w:name="_Toc15377217"/>
      <w:r>
        <w:rPr>
          <w:rFonts w:hint="eastAsia" w:ascii="仿宋" w:hAnsi="仿宋" w:eastAsia="仿宋"/>
          <w:b/>
          <w:sz w:val="32"/>
          <w:szCs w:val="32"/>
        </w:rPr>
        <w:t>（二）“三公”经费财政拨款支出决算具体情况说明</w:t>
      </w:r>
      <w:bookmarkEnd w:id="69"/>
      <w:bookmarkEnd w:id="70"/>
    </w:p>
    <w:p w14:paraId="76DF8AE8">
      <w:pPr>
        <w:spacing w:line="600" w:lineRule="exact"/>
        <w:ind w:firstLine="640" w:firstLineChars="200"/>
        <w:outlineLvl w:val="2"/>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1EE428DC">
      <w:pPr>
        <w:spacing w:line="600" w:lineRule="exact"/>
        <w:ind w:firstLine="640" w:firstLineChars="200"/>
        <w:outlineLvl w:val="2"/>
        <w:rPr>
          <w:rFonts w:ascii="仿宋" w:hAnsi="仿宋" w:eastAsia="仿宋"/>
          <w:sz w:val="32"/>
          <w:szCs w:val="32"/>
        </w:rPr>
      </w:pPr>
      <w:r>
        <w:rPr>
          <w:rFonts w:hint="eastAsia" w:ascii="仿宋" w:hAnsi="仿宋" w:eastAsia="仿宋"/>
          <w:b w:val="0"/>
          <w:bCs/>
          <w:color w:val="auto"/>
          <w:sz w:val="32"/>
          <w:szCs w:val="32"/>
          <w:highlight w:val="none"/>
        </w:rPr>
        <w:t>（图7：“三公”经费财政拨款支出结构）（饼状图）</w:t>
      </w:r>
    </w:p>
    <w:p w14:paraId="0A116C09">
      <w:pPr>
        <w:pStyle w:val="13"/>
        <w:jc w:val="both"/>
        <w:outlineLvl w:val="9"/>
        <w:rPr>
          <w:rFonts w:hint="eastAsia" w:eastAsia="宋体"/>
          <w:lang w:eastAsia="zh-CN"/>
        </w:rPr>
      </w:pPr>
      <w:r>
        <w:rPr>
          <w:rFonts w:hint="eastAsia" w:eastAsia="宋体"/>
          <w:lang w:eastAsia="zh-CN"/>
        </w:rPr>
        <w:drawing>
          <wp:inline distT="0" distB="0" distL="114300" distR="114300">
            <wp:extent cx="5256530" cy="2988310"/>
            <wp:effectExtent l="5080" t="4445" r="15240"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EB4D67">
      <w:pPr>
        <w:spacing w:line="600" w:lineRule="exact"/>
        <w:ind w:firstLine="640"/>
        <w:rPr>
          <w:rFonts w:ascii="仿宋_GB2312" w:eastAsia="仿宋_GB2312"/>
          <w:b/>
          <w:sz w:val="32"/>
          <w:szCs w:val="32"/>
        </w:rPr>
      </w:pPr>
      <w:bookmarkStart w:id="71" w:name="_Toc15396610"/>
      <w:bookmarkStart w:id="72"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w:t>
      </w:r>
      <w:r>
        <w:rPr>
          <w:rFonts w:hint="eastAsia" w:ascii="仿宋_GB2312" w:eastAsia="仿宋_GB2312"/>
          <w:sz w:val="32"/>
          <w:szCs w:val="32"/>
          <w:lang w:val="en-US" w:eastAsia="zh-CN"/>
        </w:rPr>
        <w:t>3</w:t>
      </w:r>
      <w:r>
        <w:rPr>
          <w:rFonts w:hint="eastAsia" w:ascii="仿宋_GB2312" w:eastAsia="仿宋_GB2312"/>
          <w:sz w:val="32"/>
          <w:szCs w:val="32"/>
        </w:rPr>
        <w:t>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无因公出国，无经费支出</w:t>
      </w:r>
      <w:r>
        <w:rPr>
          <w:rFonts w:hint="eastAsia" w:ascii="仿宋_GB2312" w:eastAsia="仿宋_GB2312"/>
          <w:sz w:val="32"/>
          <w:szCs w:val="32"/>
        </w:rPr>
        <w:t>。</w:t>
      </w:r>
    </w:p>
    <w:p w14:paraId="69BE5E82">
      <w:pPr>
        <w:spacing w:line="600"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年度增加</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无公务用车</w:t>
      </w:r>
      <w:r>
        <w:rPr>
          <w:rFonts w:hint="eastAsia" w:ascii="仿宋_GB2312" w:eastAsia="仿宋_GB2312"/>
          <w:sz w:val="32"/>
          <w:szCs w:val="32"/>
        </w:rPr>
        <w:t>。</w:t>
      </w:r>
    </w:p>
    <w:p w14:paraId="68400614">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41DC031A">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6ABF1251">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公务接待费支出决算比202</w:t>
      </w:r>
      <w:r>
        <w:rPr>
          <w:rFonts w:hint="eastAsia" w:ascii="仿宋_GB2312" w:eastAsia="仿宋_GB2312"/>
          <w:sz w:val="32"/>
          <w:szCs w:val="32"/>
          <w:lang w:val="en-US" w:eastAsia="zh-CN"/>
        </w:rPr>
        <w:t>3</w:t>
      </w:r>
      <w:r>
        <w:rPr>
          <w:rFonts w:hint="eastAsia" w:ascii="仿宋_GB2312" w:eastAsia="仿宋_GB2312"/>
          <w:sz w:val="32"/>
          <w:szCs w:val="32"/>
        </w:rPr>
        <w:t>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厉行节约</w:t>
      </w:r>
      <w:r>
        <w:rPr>
          <w:rFonts w:hint="eastAsia" w:ascii="仿宋_GB2312" w:eastAsia="仿宋_GB2312"/>
          <w:sz w:val="32"/>
          <w:szCs w:val="32"/>
        </w:rPr>
        <w:t>。</w:t>
      </w:r>
    </w:p>
    <w:p w14:paraId="75557E6B">
      <w:pPr>
        <w:spacing w:line="600" w:lineRule="exact"/>
        <w:ind w:firstLine="640"/>
        <w:rPr>
          <w:rFonts w:hint="eastAsia" w:ascii="仿宋_GB2312" w:eastAsia="仿宋_GB2312"/>
          <w:sz w:val="32"/>
          <w:szCs w:val="32"/>
          <w:lang w:eastAsia="zh-CN"/>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p>
    <w:p w14:paraId="1C379E2B">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5CD888D4">
      <w:pPr>
        <w:spacing w:line="600" w:lineRule="exact"/>
        <w:ind w:firstLine="640"/>
        <w:outlineLvl w:val="1"/>
        <w:rPr>
          <w:rStyle w:val="29"/>
          <w:rFonts w:ascii="黑体" w:hAnsi="黑体" w:eastAsia="黑体"/>
        </w:rPr>
      </w:pPr>
      <w:bookmarkStart w:id="73" w:name="_Toc17354"/>
      <w:r>
        <w:rPr>
          <w:rFonts w:hint="eastAsia" w:ascii="黑体" w:eastAsia="黑体"/>
          <w:sz w:val="32"/>
          <w:szCs w:val="32"/>
        </w:rPr>
        <w:t>八、</w:t>
      </w:r>
      <w:r>
        <w:rPr>
          <w:rStyle w:val="29"/>
          <w:rFonts w:hint="eastAsia" w:ascii="黑体" w:hAnsi="黑体" w:eastAsia="黑体"/>
          <w:b w:val="0"/>
        </w:rPr>
        <w:t>政府性基金预算支出决算情况说明</w:t>
      </w:r>
      <w:bookmarkEnd w:id="71"/>
      <w:bookmarkEnd w:id="72"/>
      <w:bookmarkEnd w:id="73"/>
    </w:p>
    <w:p w14:paraId="764A63BA">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7B4CD928">
      <w:pPr>
        <w:numPr>
          <w:ilvl w:val="0"/>
          <w:numId w:val="2"/>
        </w:numPr>
        <w:spacing w:line="600" w:lineRule="exact"/>
        <w:ind w:firstLine="640"/>
        <w:outlineLvl w:val="1"/>
        <w:rPr>
          <w:rStyle w:val="29"/>
          <w:rFonts w:ascii="黑体" w:hAnsi="黑体" w:eastAsia="黑体"/>
          <w:b w:val="0"/>
        </w:rPr>
      </w:pPr>
      <w:bookmarkStart w:id="74" w:name="_Toc5153"/>
      <w:bookmarkStart w:id="75" w:name="_Toc15396611"/>
      <w:bookmarkStart w:id="76" w:name="_Toc15377219"/>
      <w:r>
        <w:rPr>
          <w:rStyle w:val="29"/>
          <w:rFonts w:hint="eastAsia" w:ascii="黑体" w:hAnsi="黑体" w:eastAsia="黑体"/>
          <w:b w:val="0"/>
        </w:rPr>
        <w:t>国有资本经营预算支出决算情况说明</w:t>
      </w:r>
      <w:bookmarkEnd w:id="74"/>
      <w:bookmarkEnd w:id="75"/>
      <w:bookmarkEnd w:id="76"/>
    </w:p>
    <w:p w14:paraId="16374FB1">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01774D2D">
      <w:pPr>
        <w:numPr>
          <w:ilvl w:val="0"/>
          <w:numId w:val="2"/>
        </w:numPr>
        <w:spacing w:line="600" w:lineRule="exact"/>
        <w:ind w:firstLine="640"/>
        <w:outlineLvl w:val="1"/>
        <w:rPr>
          <w:rStyle w:val="29"/>
          <w:rFonts w:ascii="黑体" w:hAnsi="黑体" w:eastAsia="黑体"/>
          <w:b w:val="0"/>
        </w:rPr>
      </w:pPr>
      <w:bookmarkStart w:id="77" w:name="_Toc15377221"/>
      <w:bookmarkStart w:id="78" w:name="_Toc28723"/>
      <w:bookmarkStart w:id="79" w:name="_Toc15396612"/>
      <w:r>
        <w:rPr>
          <w:rStyle w:val="29"/>
          <w:rFonts w:hint="eastAsia" w:ascii="黑体" w:hAnsi="黑体" w:eastAsia="黑体"/>
          <w:b w:val="0"/>
        </w:rPr>
        <w:t>其他重要事项的情况说明</w:t>
      </w:r>
      <w:bookmarkEnd w:id="77"/>
      <w:bookmarkEnd w:id="78"/>
      <w:bookmarkEnd w:id="79"/>
    </w:p>
    <w:p w14:paraId="6BF8E9DF">
      <w:pPr>
        <w:spacing w:line="600" w:lineRule="exact"/>
        <w:ind w:firstLine="643" w:firstLineChars="200"/>
        <w:outlineLvl w:val="2"/>
        <w:rPr>
          <w:rFonts w:ascii="仿宋" w:hAnsi="仿宋" w:eastAsia="仿宋"/>
          <w:sz w:val="32"/>
          <w:szCs w:val="32"/>
        </w:rPr>
      </w:pPr>
      <w:bookmarkStart w:id="80" w:name="_Toc28331"/>
      <w:bookmarkStart w:id="81" w:name="_Toc15377222"/>
      <w:r>
        <w:rPr>
          <w:rFonts w:hint="eastAsia" w:ascii="仿宋" w:hAnsi="仿宋" w:eastAsia="仿宋"/>
          <w:b/>
          <w:sz w:val="32"/>
          <w:szCs w:val="32"/>
        </w:rPr>
        <w:t>（一）机关运行经费支出情况</w:t>
      </w:r>
      <w:bookmarkEnd w:id="80"/>
      <w:bookmarkEnd w:id="81"/>
    </w:p>
    <w:p w14:paraId="03B5BFEF">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峨边彝族自治县五渡镇中心小学</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万元，比202</w:t>
      </w:r>
      <w:r>
        <w:rPr>
          <w:rFonts w:hint="eastAsia" w:ascii="仿宋_GB2312" w:eastAsia="仿宋_GB2312"/>
          <w:sz w:val="32"/>
          <w:szCs w:val="32"/>
          <w:lang w:val="en-US" w:eastAsia="zh-CN"/>
        </w:rPr>
        <w:t>3</w:t>
      </w:r>
      <w:r>
        <w:rPr>
          <w:rFonts w:hint="eastAsia" w:ascii="仿宋_GB2312" w:eastAsia="仿宋_GB2312"/>
          <w:sz w:val="32"/>
          <w:szCs w:val="32"/>
        </w:rPr>
        <w:t>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与202</w:t>
      </w:r>
      <w:r>
        <w:rPr>
          <w:rFonts w:hint="eastAsia" w:ascii="仿宋_GB2312" w:eastAsia="仿宋_GB2312"/>
          <w:sz w:val="32"/>
          <w:szCs w:val="32"/>
          <w:lang w:val="en-US" w:eastAsia="zh-CN"/>
        </w:rPr>
        <w:t>3</w:t>
      </w:r>
      <w:r>
        <w:rPr>
          <w:rFonts w:hint="eastAsia" w:ascii="仿宋_GB2312" w:eastAsia="仿宋_GB2312"/>
          <w:sz w:val="32"/>
          <w:szCs w:val="32"/>
        </w:rPr>
        <w:t>年度决算数持平。</w:t>
      </w:r>
    </w:p>
    <w:p w14:paraId="1F1B2CF0">
      <w:pPr>
        <w:autoSpaceDE w:val="0"/>
        <w:autoSpaceDN w:val="0"/>
        <w:adjustRightInd w:val="0"/>
        <w:spacing w:line="600" w:lineRule="exact"/>
        <w:ind w:firstLine="643" w:firstLineChars="200"/>
        <w:jc w:val="left"/>
        <w:outlineLvl w:val="2"/>
        <w:rPr>
          <w:rFonts w:ascii="仿宋" w:hAnsi="仿宋" w:eastAsia="仿宋"/>
          <w:b/>
          <w:sz w:val="32"/>
          <w:szCs w:val="32"/>
        </w:rPr>
      </w:pPr>
      <w:bookmarkStart w:id="82" w:name="_Toc15377223"/>
      <w:bookmarkStart w:id="83" w:name="_Toc3432"/>
      <w:r>
        <w:rPr>
          <w:rFonts w:hint="eastAsia" w:ascii="仿宋" w:hAnsi="仿宋" w:eastAsia="仿宋"/>
          <w:b/>
          <w:sz w:val="32"/>
          <w:szCs w:val="32"/>
        </w:rPr>
        <w:t>（二）政府采购支出情况</w:t>
      </w:r>
      <w:bookmarkEnd w:id="82"/>
      <w:bookmarkEnd w:id="83"/>
    </w:p>
    <w:p w14:paraId="1A52D26C">
      <w:pPr>
        <w:spacing w:line="600" w:lineRule="exact"/>
        <w:ind w:firstLine="640" w:firstLineChars="200"/>
        <w:rPr>
          <w:rFonts w:hint="eastAsia" w:ascii="仿宋" w:hAnsi="仿宋" w:eastAsia="仿宋_GB2312"/>
          <w:b/>
          <w:sz w:val="32"/>
          <w:szCs w:val="32"/>
          <w:lang w:eastAsia="zh-CN"/>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峨边彝族自治县五渡镇中心小学</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lang w:eastAsia="zh-CN"/>
        </w:rPr>
        <w:t>。</w:t>
      </w:r>
    </w:p>
    <w:p w14:paraId="3BE7993F">
      <w:pPr>
        <w:autoSpaceDE w:val="0"/>
        <w:autoSpaceDN w:val="0"/>
        <w:adjustRightInd w:val="0"/>
        <w:spacing w:line="600" w:lineRule="exact"/>
        <w:ind w:firstLine="643" w:firstLineChars="200"/>
        <w:jc w:val="left"/>
        <w:outlineLvl w:val="2"/>
        <w:rPr>
          <w:rFonts w:ascii="仿宋" w:hAnsi="仿宋" w:eastAsia="仿宋"/>
          <w:b/>
          <w:sz w:val="32"/>
          <w:szCs w:val="32"/>
        </w:rPr>
      </w:pPr>
      <w:bookmarkStart w:id="84" w:name="_Toc15377224"/>
      <w:bookmarkStart w:id="85" w:name="_Toc11319"/>
      <w:r>
        <w:rPr>
          <w:rFonts w:hint="eastAsia" w:ascii="仿宋" w:hAnsi="仿宋" w:eastAsia="仿宋"/>
          <w:b/>
          <w:sz w:val="32"/>
          <w:szCs w:val="32"/>
        </w:rPr>
        <w:t>（三）国有资产占有使用情况</w:t>
      </w:r>
      <w:bookmarkEnd w:id="84"/>
      <w:bookmarkEnd w:id="85"/>
    </w:p>
    <w:p w14:paraId="26C0B311">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峨边彝族自治县五渡镇中心小学</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245010BC">
      <w:pPr>
        <w:autoSpaceDE w:val="0"/>
        <w:autoSpaceDN w:val="0"/>
        <w:adjustRightInd w:val="0"/>
        <w:spacing w:line="600" w:lineRule="exact"/>
        <w:ind w:firstLine="643" w:firstLineChars="200"/>
        <w:jc w:val="left"/>
        <w:outlineLvl w:val="2"/>
        <w:rPr>
          <w:rFonts w:ascii="仿宋" w:hAnsi="仿宋" w:eastAsia="仿宋"/>
          <w:b/>
          <w:sz w:val="32"/>
          <w:szCs w:val="32"/>
        </w:rPr>
      </w:pPr>
      <w:bookmarkStart w:id="86" w:name="_Toc17003"/>
      <w:r>
        <w:rPr>
          <w:rFonts w:hint="eastAsia" w:ascii="仿宋" w:hAnsi="仿宋" w:eastAsia="仿宋"/>
          <w:b/>
          <w:sz w:val="32"/>
          <w:szCs w:val="32"/>
        </w:rPr>
        <w:t>（四）预算绩效管理情况</w:t>
      </w:r>
      <w:bookmarkEnd w:id="86"/>
    </w:p>
    <w:p w14:paraId="464FA2E9">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年度预算编制阶段，组织对</w:t>
      </w:r>
      <w:r>
        <w:rPr>
          <w:rFonts w:hint="eastAsia" w:ascii="仿宋_GB2312" w:eastAsia="仿宋_GB2312"/>
          <w:sz w:val="32"/>
          <w:szCs w:val="32"/>
          <w:lang w:val="en-US" w:eastAsia="zh-CN"/>
        </w:rPr>
        <w:t>8</w:t>
      </w:r>
      <w:r>
        <w:rPr>
          <w:rFonts w:hint="eastAsia" w:ascii="仿宋_GB2312" w:eastAsia="仿宋_GB2312"/>
          <w:sz w:val="32"/>
          <w:szCs w:val="32"/>
        </w:rPr>
        <w:t>项目（项目名称）等</w:t>
      </w:r>
      <w:r>
        <w:rPr>
          <w:rFonts w:hint="eastAsia" w:ascii="仿宋_GB2312" w:eastAsia="仿宋_GB2312"/>
          <w:sz w:val="32"/>
          <w:szCs w:val="32"/>
          <w:lang w:val="en-US" w:eastAsia="zh-CN"/>
        </w:rPr>
        <w:t>8</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8</w:t>
      </w:r>
      <w:r>
        <w:rPr>
          <w:rFonts w:hint="eastAsia" w:ascii="仿宋_GB2312" w:eastAsia="仿宋_GB2312"/>
          <w:sz w:val="32"/>
          <w:szCs w:val="32"/>
        </w:rPr>
        <w:t>个项目编制了绩效目标</w:t>
      </w:r>
      <w:r>
        <w:rPr>
          <w:rFonts w:hint="eastAsia" w:ascii="仿宋_GB2312" w:eastAsia="仿宋_GB2312"/>
          <w:sz w:val="32"/>
          <w:szCs w:val="32"/>
          <w:lang w:eastAsia="zh-CN"/>
        </w:rPr>
        <w:t>，在</w:t>
      </w:r>
      <w:r>
        <w:rPr>
          <w:rFonts w:hint="eastAsia" w:ascii="仿宋_GB2312" w:eastAsia="仿宋_GB2312"/>
          <w:sz w:val="32"/>
          <w:szCs w:val="32"/>
        </w:rPr>
        <w:t>预算执行过程中，选取</w:t>
      </w:r>
      <w:r>
        <w:rPr>
          <w:rFonts w:hint="eastAsia" w:ascii="仿宋_GB2312" w:eastAsia="仿宋_GB2312"/>
          <w:sz w:val="32"/>
          <w:szCs w:val="32"/>
          <w:lang w:val="en-US" w:eastAsia="zh-CN"/>
        </w:rPr>
        <w:t>8</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8</w:t>
      </w:r>
      <w:r>
        <w:rPr>
          <w:rFonts w:hint="eastAsia" w:ascii="仿宋_GB2312" w:eastAsia="仿宋_GB2312"/>
          <w:sz w:val="32"/>
          <w:szCs w:val="32"/>
        </w:rPr>
        <w:t>个项目开展绩效自评，绩效自评表详见第四部分附件。</w:t>
      </w:r>
    </w:p>
    <w:p w14:paraId="2EDF1EE8">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14FD7D7F">
      <w:pPr>
        <w:numPr>
          <w:ilvl w:val="0"/>
          <w:numId w:val="3"/>
        </w:numPr>
        <w:spacing w:line="600" w:lineRule="exact"/>
        <w:ind w:firstLine="660" w:firstLineChars="150"/>
        <w:jc w:val="center"/>
        <w:outlineLvl w:val="0"/>
        <w:rPr>
          <w:rStyle w:val="28"/>
          <w:rFonts w:ascii="黑体" w:hAnsi="黑体" w:eastAsia="黑体"/>
          <w:b w:val="0"/>
        </w:rPr>
      </w:pPr>
      <w:bookmarkStart w:id="87" w:name="_Toc15377225"/>
      <w:bookmarkStart w:id="88" w:name="_Toc15581"/>
      <w:bookmarkStart w:id="89" w:name="_Toc15396613"/>
      <w:r>
        <w:rPr>
          <w:rFonts w:hint="eastAsia" w:ascii="黑体" w:hAnsi="黑体" w:eastAsia="黑体"/>
          <w:sz w:val="44"/>
          <w:szCs w:val="44"/>
        </w:rPr>
        <w:t>名</w:t>
      </w:r>
      <w:r>
        <w:rPr>
          <w:rStyle w:val="28"/>
          <w:rFonts w:hint="eastAsia" w:ascii="黑体" w:hAnsi="黑体" w:eastAsia="黑体"/>
          <w:b w:val="0"/>
        </w:rPr>
        <w:t>词解释</w:t>
      </w:r>
      <w:bookmarkEnd w:id="87"/>
      <w:bookmarkEnd w:id="88"/>
      <w:bookmarkEnd w:id="89"/>
    </w:p>
    <w:p w14:paraId="76C4EEDC">
      <w:pPr>
        <w:spacing w:line="600" w:lineRule="exact"/>
        <w:jc w:val="left"/>
        <w:rPr>
          <w:rFonts w:ascii="宋体"/>
          <w:b/>
          <w:sz w:val="44"/>
          <w:szCs w:val="44"/>
        </w:rPr>
      </w:pPr>
    </w:p>
    <w:p w14:paraId="7F9E1206">
      <w:pPr>
        <w:pStyle w:val="26"/>
        <w:spacing w:line="560" w:lineRule="exact"/>
        <w:ind w:firstLine="640" w:firstLineChars="200"/>
        <w:outlineLvl w:val="1"/>
        <w:rPr>
          <w:rFonts w:ascii="仿宋_GB2312" w:eastAsia="仿宋_GB2312"/>
          <w:color w:val="auto"/>
          <w:sz w:val="32"/>
          <w:szCs w:val="32"/>
        </w:rPr>
      </w:pPr>
      <w:bookmarkStart w:id="90" w:name="_Toc60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90"/>
    </w:p>
    <w:p w14:paraId="1AB3F724">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3F956A85">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3D552BE5">
      <w:pPr>
        <w:pStyle w:val="26"/>
        <w:spacing w:line="560" w:lineRule="exact"/>
        <w:ind w:firstLine="640" w:firstLineChars="200"/>
        <w:outlineLvl w:val="1"/>
        <w:rPr>
          <w:rFonts w:ascii="仿宋_GB2312" w:eastAsia="仿宋_GB2312"/>
          <w:color w:val="auto"/>
          <w:sz w:val="32"/>
          <w:szCs w:val="32"/>
        </w:rPr>
      </w:pPr>
      <w:bookmarkStart w:id="91" w:name="_Toc26087"/>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bookmarkEnd w:id="91"/>
    </w:p>
    <w:p w14:paraId="18E4E290">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1F8F76F6">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4C0BDB7B">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7A38A2DC">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02EC6E3F">
      <w:pPr>
        <w:spacing w:line="60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教育支出（类）</w:t>
      </w:r>
      <w:r>
        <w:rPr>
          <w:rFonts w:hint="eastAsia" w:ascii="仿宋" w:hAnsi="仿宋" w:eastAsia="仿宋"/>
          <w:sz w:val="32"/>
          <w:szCs w:val="32"/>
        </w:rPr>
        <w:t>普通教育（款）学前教育（项）：指反映各部门举办的学前教育支出。</w:t>
      </w:r>
    </w:p>
    <w:p w14:paraId="617789D8">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0</w:t>
      </w:r>
      <w:r>
        <w:rPr>
          <w:rFonts w:ascii="仿宋" w:hAnsi="仿宋" w:eastAsia="仿宋"/>
          <w:sz w:val="32"/>
          <w:szCs w:val="32"/>
        </w:rPr>
        <w:t>.教育支出（类）</w:t>
      </w:r>
      <w:r>
        <w:rPr>
          <w:rFonts w:hint="eastAsia" w:ascii="仿宋" w:hAnsi="仿宋" w:eastAsia="仿宋"/>
          <w:sz w:val="32"/>
          <w:szCs w:val="32"/>
        </w:rPr>
        <w:t>普通教育（款）小学教育（项）：指反映各部门举办的小学教育支出。</w:t>
      </w:r>
    </w:p>
    <w:p w14:paraId="51058889">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1</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.社会保障和就业（类）行政事业单位离退休</w:t>
      </w:r>
      <w:r>
        <w:rPr>
          <w:rFonts w:hint="eastAsia" w:ascii="仿宋" w:hAnsi="仿宋" w:eastAsia="仿宋" w:cs="宋体"/>
          <w:color w:val="000000"/>
          <w:kern w:val="0"/>
          <w:sz w:val="32"/>
          <w:szCs w:val="32"/>
        </w:rPr>
        <w:t>（款）机关事业单位基本养老保险缴费支出（项）：反映机关事业单位实施养老保险制度由单位缴纳的基本养老保险支出。</w:t>
      </w:r>
    </w:p>
    <w:p w14:paraId="79BA4CFE">
      <w:pPr>
        <w:spacing w:line="600" w:lineRule="exact"/>
        <w:ind w:firstLine="640" w:firstLineChars="200"/>
        <w:rPr>
          <w:rStyle w:val="17"/>
          <w:rFonts w:ascii="仿宋" w:hAnsi="仿宋" w:eastAsia="仿宋"/>
          <w:b w:val="0"/>
          <w:bCs w:val="0"/>
          <w:color w:val="000000"/>
          <w:sz w:val="32"/>
          <w:szCs w:val="32"/>
        </w:rPr>
      </w:pPr>
      <w:r>
        <w:rPr>
          <w:rStyle w:val="17"/>
          <w:rFonts w:hint="eastAsia" w:ascii="仿宋" w:hAnsi="仿宋" w:eastAsia="仿宋"/>
          <w:b w:val="0"/>
          <w:bCs w:val="0"/>
          <w:color w:val="000000"/>
          <w:sz w:val="32"/>
          <w:szCs w:val="32"/>
        </w:rPr>
        <w:t>1</w:t>
      </w:r>
      <w:r>
        <w:rPr>
          <w:rStyle w:val="17"/>
          <w:rFonts w:hint="eastAsia" w:ascii="仿宋" w:hAnsi="仿宋" w:eastAsia="仿宋"/>
          <w:b w:val="0"/>
          <w:bCs w:val="0"/>
          <w:color w:val="000000"/>
          <w:sz w:val="32"/>
          <w:szCs w:val="32"/>
          <w:lang w:val="en-US" w:eastAsia="zh-CN"/>
        </w:rPr>
        <w:t>2</w:t>
      </w:r>
      <w:r>
        <w:rPr>
          <w:rStyle w:val="17"/>
          <w:rFonts w:ascii="仿宋" w:hAnsi="仿宋" w:eastAsia="仿宋"/>
          <w:b w:val="0"/>
          <w:bCs w:val="0"/>
          <w:color w:val="000000"/>
          <w:sz w:val="32"/>
          <w:szCs w:val="32"/>
        </w:rPr>
        <w:t>.</w:t>
      </w:r>
      <w:r>
        <w:rPr>
          <w:rFonts w:hint="eastAsia" w:ascii="仿宋" w:hAnsi="仿宋" w:eastAsia="仿宋" w:cs="宋体"/>
          <w:b w:val="0"/>
          <w:bCs w:val="0"/>
          <w:color w:val="000000"/>
          <w:kern w:val="0"/>
          <w:sz w:val="32"/>
          <w:szCs w:val="32"/>
        </w:rPr>
        <w:t>社会保障和就业（类）行政事业单位离退休（款）机关事业单位职业年金缴费支出（项）：反映机关事业单位实施养老保险制度由单位缴纳的职业年金支出。</w:t>
      </w:r>
    </w:p>
    <w:p w14:paraId="4DE94F9C">
      <w:pPr>
        <w:spacing w:line="600" w:lineRule="exact"/>
        <w:ind w:firstLine="640" w:firstLineChars="200"/>
        <w:rPr>
          <w:rFonts w:ascii="仿宋" w:hAnsi="仿宋" w:eastAsia="仿宋" w:cs="宋体"/>
          <w:b w:val="0"/>
          <w:bCs w:val="0"/>
          <w:color w:val="000000"/>
          <w:kern w:val="0"/>
          <w:sz w:val="32"/>
          <w:szCs w:val="32"/>
        </w:rPr>
      </w:pPr>
      <w:r>
        <w:rPr>
          <w:rStyle w:val="17"/>
          <w:rFonts w:hint="eastAsia" w:ascii="仿宋" w:hAnsi="仿宋" w:eastAsia="仿宋"/>
          <w:b w:val="0"/>
          <w:bCs w:val="0"/>
          <w:color w:val="000000"/>
          <w:sz w:val="32"/>
          <w:szCs w:val="32"/>
        </w:rPr>
        <w:t>1</w:t>
      </w:r>
      <w:r>
        <w:rPr>
          <w:rStyle w:val="17"/>
          <w:rFonts w:hint="eastAsia" w:ascii="仿宋" w:hAnsi="仿宋" w:eastAsia="仿宋"/>
          <w:b w:val="0"/>
          <w:bCs w:val="0"/>
          <w:color w:val="000000"/>
          <w:sz w:val="32"/>
          <w:szCs w:val="32"/>
          <w:lang w:val="en-US" w:eastAsia="zh-CN"/>
        </w:rPr>
        <w:t>3</w:t>
      </w:r>
      <w:r>
        <w:rPr>
          <w:rStyle w:val="17"/>
          <w:rFonts w:ascii="仿宋" w:hAnsi="仿宋" w:eastAsia="仿宋"/>
          <w:b w:val="0"/>
          <w:bCs w:val="0"/>
          <w:color w:val="000000"/>
          <w:sz w:val="32"/>
          <w:szCs w:val="32"/>
        </w:rPr>
        <w:t>.</w:t>
      </w:r>
      <w:r>
        <w:rPr>
          <w:rFonts w:hint="eastAsia" w:ascii="仿宋" w:hAnsi="仿宋" w:eastAsia="仿宋" w:cs="宋体"/>
          <w:b w:val="0"/>
          <w:bCs w:val="0"/>
          <w:color w:val="000000"/>
          <w:kern w:val="0"/>
          <w:sz w:val="32"/>
          <w:szCs w:val="32"/>
        </w:rPr>
        <w:t>社会保障和就业（类）其他社会保障和就业（款）其他社会保障和就业支出（项）：反映除上述项目以外其他用于行政事业单位养老方面的支出。</w:t>
      </w:r>
    </w:p>
    <w:p w14:paraId="5080CB3E">
      <w:pPr>
        <w:spacing w:line="600" w:lineRule="exact"/>
        <w:ind w:firstLine="640" w:firstLineChars="200"/>
        <w:rPr>
          <w:rStyle w:val="17"/>
          <w:rFonts w:ascii="仿宋" w:hAnsi="仿宋" w:eastAsia="仿宋"/>
          <w:b w:val="0"/>
          <w:bCs w:val="0"/>
          <w:color w:val="000000"/>
          <w:sz w:val="32"/>
          <w:szCs w:val="32"/>
        </w:rPr>
      </w:pPr>
      <w:r>
        <w:rPr>
          <w:rStyle w:val="17"/>
          <w:rFonts w:hint="eastAsia" w:ascii="仿宋" w:hAnsi="仿宋" w:eastAsia="仿宋"/>
          <w:b w:val="0"/>
          <w:bCs w:val="0"/>
          <w:color w:val="000000"/>
          <w:sz w:val="32"/>
          <w:szCs w:val="32"/>
        </w:rPr>
        <w:t>1</w:t>
      </w:r>
      <w:r>
        <w:rPr>
          <w:rStyle w:val="17"/>
          <w:rFonts w:hint="eastAsia" w:ascii="仿宋" w:hAnsi="仿宋" w:eastAsia="仿宋"/>
          <w:b w:val="0"/>
          <w:bCs w:val="0"/>
          <w:color w:val="000000"/>
          <w:sz w:val="32"/>
          <w:szCs w:val="32"/>
          <w:lang w:val="en-US" w:eastAsia="zh-CN"/>
        </w:rPr>
        <w:t>4</w:t>
      </w:r>
      <w:r>
        <w:rPr>
          <w:rStyle w:val="17"/>
          <w:rFonts w:ascii="仿宋" w:hAnsi="仿宋" w:eastAsia="仿宋"/>
          <w:b w:val="0"/>
          <w:bCs w:val="0"/>
          <w:color w:val="000000"/>
          <w:sz w:val="32"/>
          <w:szCs w:val="32"/>
        </w:rPr>
        <w:t>.</w:t>
      </w:r>
      <w:r>
        <w:rPr>
          <w:rFonts w:hint="eastAsia" w:ascii="仿宋" w:hAnsi="仿宋" w:eastAsia="仿宋" w:cs="宋体"/>
          <w:b w:val="0"/>
          <w:bCs w:val="0"/>
          <w:color w:val="000000"/>
          <w:kern w:val="0"/>
          <w:sz w:val="32"/>
          <w:szCs w:val="32"/>
          <w:lang w:eastAsia="zh-CN"/>
        </w:rPr>
        <w:t>卫生健康</w:t>
      </w:r>
      <w:r>
        <w:rPr>
          <w:rFonts w:hint="eastAsia" w:ascii="仿宋" w:hAnsi="仿宋" w:eastAsia="仿宋" w:cs="宋体"/>
          <w:b w:val="0"/>
          <w:bCs w:val="0"/>
          <w:color w:val="000000"/>
          <w:kern w:val="0"/>
          <w:sz w:val="32"/>
          <w:szCs w:val="32"/>
        </w:rPr>
        <w:t>（类）行政事业单位医疗（款）事业单位医疗（项）：反映财政部门安排的事业单位基本医疗保险缴费经费，未参加医疗保险的事业单位的公费医疗经费，按国家规定享受离休人员待遇的医疗经费。</w:t>
      </w:r>
    </w:p>
    <w:p w14:paraId="2EC85E86">
      <w:pPr>
        <w:spacing w:line="600" w:lineRule="exact"/>
        <w:ind w:firstLine="640" w:firstLineChars="200"/>
        <w:rPr>
          <w:rStyle w:val="17"/>
          <w:rFonts w:ascii="仿宋" w:hAnsi="仿宋" w:eastAsia="仿宋"/>
          <w:b w:val="0"/>
          <w:bCs w:val="0"/>
          <w:color w:val="000000"/>
          <w:sz w:val="32"/>
          <w:szCs w:val="32"/>
        </w:rPr>
      </w:pPr>
      <w:r>
        <w:rPr>
          <w:rStyle w:val="17"/>
          <w:rFonts w:hint="eastAsia" w:ascii="仿宋" w:hAnsi="仿宋" w:eastAsia="仿宋"/>
          <w:b w:val="0"/>
          <w:bCs w:val="0"/>
          <w:color w:val="000000"/>
          <w:sz w:val="32"/>
          <w:szCs w:val="32"/>
        </w:rPr>
        <w:t>1</w:t>
      </w:r>
      <w:r>
        <w:rPr>
          <w:rStyle w:val="17"/>
          <w:rFonts w:hint="eastAsia" w:ascii="仿宋" w:hAnsi="仿宋" w:eastAsia="仿宋"/>
          <w:b w:val="0"/>
          <w:bCs w:val="0"/>
          <w:color w:val="000000"/>
          <w:sz w:val="32"/>
          <w:szCs w:val="32"/>
          <w:lang w:val="en-US" w:eastAsia="zh-CN"/>
        </w:rPr>
        <w:t>5</w:t>
      </w:r>
      <w:r>
        <w:rPr>
          <w:rStyle w:val="17"/>
          <w:rFonts w:ascii="仿宋" w:hAnsi="仿宋" w:eastAsia="仿宋"/>
          <w:b w:val="0"/>
          <w:bCs w:val="0"/>
          <w:color w:val="000000"/>
          <w:sz w:val="32"/>
          <w:szCs w:val="32"/>
        </w:rPr>
        <w:t>.</w:t>
      </w:r>
      <w:r>
        <w:rPr>
          <w:rFonts w:hint="eastAsia" w:ascii="仿宋" w:hAnsi="仿宋" w:eastAsia="仿宋" w:cs="宋体"/>
          <w:b w:val="0"/>
          <w:bCs w:val="0"/>
          <w:color w:val="000000"/>
          <w:kern w:val="0"/>
          <w:sz w:val="32"/>
          <w:szCs w:val="32"/>
          <w:lang w:eastAsia="zh-CN"/>
        </w:rPr>
        <w:t>卫生健康</w:t>
      </w:r>
      <w:r>
        <w:rPr>
          <w:rFonts w:hint="eastAsia" w:ascii="仿宋" w:hAnsi="仿宋" w:eastAsia="仿宋" w:cs="宋体"/>
          <w:b w:val="0"/>
          <w:bCs w:val="0"/>
          <w:color w:val="000000"/>
          <w:kern w:val="0"/>
          <w:sz w:val="32"/>
          <w:szCs w:val="32"/>
        </w:rPr>
        <w:t>（类）行政事业单位医疗（款）公务员医疗补助（项）：反映财政部门安排的公务员医疗补助经费。</w:t>
      </w:r>
    </w:p>
    <w:p w14:paraId="7E5A0BA4">
      <w:pPr>
        <w:ind w:firstLine="640" w:firstLineChars="200"/>
        <w:rPr>
          <w:rFonts w:hint="eastAsia" w:ascii="仿宋" w:hAnsi="仿宋" w:eastAsia="仿宋"/>
          <w:b w:val="0"/>
          <w:bCs w:val="0"/>
          <w:color w:val="000000"/>
          <w:sz w:val="32"/>
          <w:szCs w:val="32"/>
          <w:lang w:val="en-US" w:eastAsia="zh-CN"/>
        </w:rPr>
      </w:pPr>
      <w:r>
        <w:rPr>
          <w:rFonts w:hint="eastAsia" w:ascii="仿宋" w:hAnsi="仿宋" w:eastAsia="仿宋"/>
          <w:b w:val="0"/>
          <w:bCs w:val="0"/>
          <w:color w:val="000000"/>
          <w:sz w:val="32"/>
          <w:szCs w:val="32"/>
          <w:lang w:val="en-US" w:eastAsia="zh-CN"/>
        </w:rPr>
        <w:t>16</w:t>
      </w:r>
      <w:r>
        <w:rPr>
          <w:rFonts w:hint="eastAsia" w:ascii="仿宋" w:hAnsi="仿宋" w:eastAsia="仿宋"/>
          <w:b w:val="0"/>
          <w:bCs w:val="0"/>
          <w:color w:val="000000"/>
          <w:sz w:val="32"/>
          <w:szCs w:val="32"/>
        </w:rPr>
        <w:t>.住房保障支出（类）住房改革支出（款）住房公积金（项）：指反映行政事业单位按人</w:t>
      </w:r>
      <w:r>
        <w:rPr>
          <w:rFonts w:hint="eastAsia" w:ascii="仿宋" w:hAnsi="仿宋" w:eastAsia="仿宋"/>
          <w:b w:val="0"/>
          <w:bCs w:val="0"/>
          <w:color w:val="000000"/>
          <w:sz w:val="32"/>
          <w:szCs w:val="32"/>
          <w:lang w:val="en-US" w:eastAsia="zh-CN"/>
        </w:rPr>
        <w:t>力</w:t>
      </w:r>
      <w:r>
        <w:rPr>
          <w:rFonts w:hint="eastAsia" w:ascii="仿宋" w:hAnsi="仿宋" w:eastAsia="仿宋"/>
          <w:b w:val="0"/>
          <w:bCs w:val="0"/>
          <w:color w:val="000000"/>
          <w:sz w:val="32"/>
          <w:szCs w:val="32"/>
        </w:rPr>
        <w:t>资源和社会保障部、财政部规定的基本工资和津贴补贴以及规定比例为职工缴纳的住房公积金</w:t>
      </w:r>
      <w:r>
        <w:rPr>
          <w:rFonts w:hint="eastAsia" w:ascii="仿宋" w:hAnsi="仿宋" w:eastAsia="仿宋"/>
          <w:b w:val="0"/>
          <w:bCs w:val="0"/>
          <w:color w:val="000000"/>
          <w:sz w:val="32"/>
          <w:szCs w:val="32"/>
          <w:lang w:eastAsia="zh-CN"/>
        </w:rPr>
        <w:t>。</w:t>
      </w:r>
    </w:p>
    <w:p w14:paraId="0CCD762D">
      <w:pPr>
        <w:ind w:firstLine="640" w:firstLineChars="200"/>
        <w:rPr>
          <w:rFonts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17</w:t>
      </w:r>
      <w:r>
        <w:rPr>
          <w:rFonts w:hint="eastAsia" w:ascii="仿宋" w:hAnsi="仿宋" w:eastAsia="仿宋"/>
          <w:b w:val="0"/>
          <w:bCs w:val="0"/>
          <w:color w:val="000000"/>
          <w:sz w:val="32"/>
          <w:szCs w:val="32"/>
        </w:rPr>
        <w:t>.基本支出：指为保障机构正常运转、完成日常工作任务而发生的人员支出和公用支出。</w:t>
      </w:r>
    </w:p>
    <w:p w14:paraId="1DC129BD">
      <w:pPr>
        <w:ind w:firstLine="640" w:firstLineChars="200"/>
        <w:rPr>
          <w:rFonts w:ascii="仿宋" w:hAnsi="仿宋" w:eastAsia="仿宋"/>
          <w:color w:val="000000"/>
          <w:sz w:val="32"/>
          <w:szCs w:val="32"/>
        </w:rPr>
      </w:pPr>
      <w:r>
        <w:rPr>
          <w:rFonts w:hint="eastAsia" w:ascii="仿宋" w:hAnsi="仿宋" w:eastAsia="仿宋"/>
          <w:b w:val="0"/>
          <w:bCs w:val="0"/>
          <w:color w:val="000000"/>
          <w:sz w:val="32"/>
          <w:szCs w:val="32"/>
          <w:lang w:val="en-US" w:eastAsia="zh-CN"/>
        </w:rPr>
        <w:t>18</w:t>
      </w:r>
      <w:r>
        <w:rPr>
          <w:rFonts w:hint="eastAsia" w:ascii="仿宋" w:hAnsi="仿宋" w:eastAsia="仿宋"/>
          <w:b w:val="0"/>
          <w:bCs w:val="0"/>
          <w:color w:val="000000"/>
          <w:sz w:val="32"/>
          <w:szCs w:val="32"/>
        </w:rPr>
        <w:t>.项目支出：指在基本支出之外为完成特定行政任务和事业发展目标所发</w:t>
      </w:r>
      <w:r>
        <w:rPr>
          <w:rFonts w:hint="eastAsia" w:ascii="仿宋" w:hAnsi="仿宋" w:eastAsia="仿宋"/>
          <w:color w:val="000000"/>
          <w:sz w:val="32"/>
          <w:szCs w:val="32"/>
        </w:rPr>
        <w:t xml:space="preserve">生的支出。 </w:t>
      </w:r>
    </w:p>
    <w:p w14:paraId="0781D1B2">
      <w:pPr>
        <w:pStyle w:val="26"/>
        <w:spacing w:line="560" w:lineRule="exact"/>
        <w:ind w:firstLine="640" w:firstLineChars="200"/>
        <w:jc w:val="both"/>
        <w:rPr>
          <w:rFonts w:hAnsi="仿宋" w:cs="Times New Roman"/>
          <w:kern w:val="2"/>
          <w:sz w:val="32"/>
          <w:szCs w:val="32"/>
        </w:rPr>
      </w:pPr>
      <w:r>
        <w:rPr>
          <w:rFonts w:hint="eastAsia" w:hAnsi="仿宋" w:cs="Times New Roman"/>
          <w:kern w:val="2"/>
          <w:sz w:val="32"/>
          <w:szCs w:val="32"/>
          <w:lang w:val="en-US" w:eastAsia="zh-CN"/>
        </w:rPr>
        <w:t>19</w:t>
      </w:r>
      <w:r>
        <w:rPr>
          <w:rFonts w:hint="eastAsia" w:hAnsi="仿宋" w:cs="Times New Roman"/>
          <w:kern w:val="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FA169FE">
      <w:pPr>
        <w:pStyle w:val="26"/>
        <w:spacing w:line="560" w:lineRule="exact"/>
        <w:ind w:firstLine="640" w:firstLineChars="200"/>
        <w:jc w:val="both"/>
        <w:rPr>
          <w:rFonts w:hAnsi="仿宋" w:cs="Times New Roman"/>
          <w:kern w:val="2"/>
          <w:sz w:val="32"/>
          <w:szCs w:val="32"/>
        </w:rPr>
      </w:pPr>
      <w:r>
        <w:rPr>
          <w:rFonts w:hint="eastAsia" w:hAnsi="仿宋" w:cs="Times New Roman"/>
          <w:kern w:val="2"/>
          <w:sz w:val="32"/>
          <w:szCs w:val="32"/>
          <w:lang w:val="en-US" w:eastAsia="zh-CN"/>
        </w:rPr>
        <w:t>20</w:t>
      </w:r>
      <w:r>
        <w:rPr>
          <w:rFonts w:hint="eastAsia" w:hAnsi="仿宋" w:cs="Times New Roman"/>
          <w:kern w:val="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6B3D8C3">
      <w:pPr>
        <w:ind w:firstLine="643" w:firstLineChars="200"/>
        <w:rPr>
          <w:rFonts w:ascii="仿宋" w:hAnsi="仿宋" w:eastAsia="仿宋"/>
          <w:b/>
          <w:sz w:val="32"/>
          <w:szCs w:val="32"/>
        </w:rPr>
      </w:pPr>
    </w:p>
    <w:p w14:paraId="581A1607">
      <w:pPr>
        <w:spacing w:line="600" w:lineRule="exact"/>
        <w:jc w:val="center"/>
        <w:outlineLvl w:val="0"/>
        <w:rPr>
          <w:rStyle w:val="28"/>
          <w:rFonts w:ascii="黑体" w:hAnsi="黑体" w:eastAsia="黑体"/>
          <w:b w:val="0"/>
        </w:rPr>
      </w:pPr>
      <w:bookmarkStart w:id="92" w:name="_Toc15377226"/>
      <w:r>
        <w:rPr>
          <w:rFonts w:ascii="宋体"/>
          <w:b/>
          <w:sz w:val="44"/>
          <w:szCs w:val="44"/>
        </w:rPr>
        <w:br w:type="page"/>
      </w:r>
      <w:bookmarkStart w:id="93" w:name="_Toc15396614"/>
      <w:bookmarkStart w:id="94" w:name="_Toc27222"/>
      <w:r>
        <w:rPr>
          <w:rFonts w:hint="eastAsia" w:ascii="黑体" w:hAnsi="黑体" w:eastAsia="黑体"/>
          <w:sz w:val="44"/>
          <w:szCs w:val="44"/>
        </w:rPr>
        <w:t>第</w:t>
      </w:r>
      <w:r>
        <w:rPr>
          <w:rStyle w:val="28"/>
          <w:rFonts w:hint="eastAsia" w:ascii="黑体" w:hAnsi="黑体" w:eastAsia="黑体"/>
          <w:b w:val="0"/>
        </w:rPr>
        <w:t>四部分 附件</w:t>
      </w:r>
      <w:bookmarkEnd w:id="93"/>
      <w:bookmarkEnd w:id="94"/>
    </w:p>
    <w:p w14:paraId="4A11802D">
      <w:pPr>
        <w:spacing w:line="572" w:lineRule="exact"/>
        <w:jc w:val="left"/>
        <w:outlineLvl w:val="9"/>
        <w:rPr>
          <w:rFonts w:ascii="仿宋_GB2312" w:hAnsi="仿宋_GB2312" w:eastAsia="仿宋_GB2312" w:cs="仿宋_GB2312"/>
          <w:sz w:val="32"/>
          <w:szCs w:val="32"/>
        </w:rPr>
      </w:pPr>
    </w:p>
    <w:p w14:paraId="6DACAD39">
      <w:pPr>
        <w:spacing w:line="600" w:lineRule="exact"/>
        <w:jc w:val="center"/>
        <w:outlineLvl w:val="1"/>
        <w:rPr>
          <w:rFonts w:ascii="黑体" w:hAnsi="黑体" w:eastAsia="黑体"/>
          <w:color w:val="FF0000"/>
          <w:sz w:val="44"/>
          <w:szCs w:val="44"/>
        </w:rPr>
      </w:pPr>
      <w:bookmarkStart w:id="95" w:name="_Toc11875"/>
      <w:bookmarkStart w:id="96" w:name="_Toc15396618"/>
      <w:r>
        <w:rPr>
          <w:rFonts w:hint="eastAsia"/>
          <w:sz w:val="32"/>
          <w:szCs w:val="32"/>
        </w:rPr>
        <w:t>部门预算项目支出绩效自评表（20</w:t>
      </w:r>
      <w:r>
        <w:rPr>
          <w:rFonts w:hint="eastAsia"/>
          <w:sz w:val="32"/>
          <w:szCs w:val="32"/>
          <w:lang w:val="en-US" w:eastAsia="zh-CN"/>
        </w:rPr>
        <w:t>24</w:t>
      </w:r>
      <w:r>
        <w:rPr>
          <w:rFonts w:hint="eastAsia"/>
          <w:sz w:val="32"/>
          <w:szCs w:val="32"/>
        </w:rPr>
        <w:t>年度）</w:t>
      </w:r>
      <w:bookmarkEnd w:id="95"/>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686"/>
        <w:gridCol w:w="844"/>
        <w:gridCol w:w="1141"/>
        <w:gridCol w:w="695"/>
        <w:gridCol w:w="262"/>
        <w:gridCol w:w="241"/>
        <w:gridCol w:w="901"/>
        <w:gridCol w:w="492"/>
        <w:gridCol w:w="492"/>
        <w:gridCol w:w="588"/>
        <w:gridCol w:w="588"/>
        <w:gridCol w:w="926"/>
      </w:tblGrid>
      <w:tr w14:paraId="3B38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1C2AF6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B410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1A7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F1C5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51113222T000000281756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学前教育保教费减免补助</w:t>
            </w:r>
          </w:p>
        </w:tc>
      </w:tr>
      <w:tr w14:paraId="06C5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E43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4600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峨边彝族自治县教育局本级</w:t>
            </w:r>
          </w:p>
        </w:tc>
        <w:tc>
          <w:tcPr>
            <w:tcW w:w="0" w:type="auto"/>
            <w:gridSpan w:val="2"/>
            <w:tcBorders>
              <w:top w:val="nil"/>
              <w:left w:val="nil"/>
              <w:bottom w:val="nil"/>
              <w:right w:val="nil"/>
            </w:tcBorders>
            <w:shd w:val="clear" w:color="auto" w:fill="auto"/>
            <w:vAlign w:val="center"/>
          </w:tcPr>
          <w:p w14:paraId="5F12130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68A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峨边彝族自治县五渡镇中心小学</w:t>
            </w:r>
          </w:p>
        </w:tc>
      </w:tr>
      <w:tr w14:paraId="0F86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A30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CF0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5C3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9AFEB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55C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B8953">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17B41">
            <w:pP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CCB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学前教育保教费减免补助。根据乐市财政教</w:t>
            </w:r>
            <w:r>
              <w:rPr>
                <w:rFonts w:hint="eastAsia" w:ascii="宋体" w:hAnsi="宋体" w:cs="宋体"/>
                <w:i w:val="0"/>
                <w:iCs w:val="0"/>
                <w:color w:val="000000"/>
                <w:kern w:val="0"/>
                <w:sz w:val="18"/>
                <w:szCs w:val="18"/>
                <w:u w:val="none"/>
                <w:lang w:val="en-US" w:eastAsia="zh-CN" w:bidi="ar"/>
              </w:rPr>
              <w:t>〔2013〕69号</w:t>
            </w:r>
            <w:r>
              <w:rPr>
                <w:rFonts w:ascii="宋体" w:hAnsi="宋体" w:eastAsia="宋体" w:cs="宋体"/>
                <w:i w:val="0"/>
                <w:iCs w:val="0"/>
                <w:color w:val="000000"/>
                <w:kern w:val="0"/>
                <w:sz w:val="18"/>
                <w:szCs w:val="18"/>
                <w:u w:val="none"/>
                <w:lang w:val="en-US" w:eastAsia="zh-CN" w:bidi="ar"/>
              </w:rPr>
              <w:t>文件精神，每生每年减免600元，省级财政补助承担500元/生/年，县级承担100元/生/年。2021年学前教育在园儿童预计为240人，需县级配套14.4万元。</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3873B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FA06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B2A2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E5D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B47DEC">
            <w:pPr>
              <w:rPr>
                <w:rFonts w:hint="eastAsia" w:ascii="宋体" w:hAnsi="宋体" w:eastAsia="宋体" w:cs="宋体"/>
                <w:i w:val="0"/>
                <w:iCs w:val="0"/>
                <w:color w:val="000000"/>
                <w:sz w:val="18"/>
                <w:szCs w:val="18"/>
                <w:u w:val="none"/>
              </w:rPr>
            </w:pPr>
          </w:p>
        </w:tc>
      </w:tr>
      <w:tr w14:paraId="2BB7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79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56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30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E6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B4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E0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D5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52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03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EFCC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292B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91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01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3C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37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EA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CF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DCCEC">
            <w:pPr>
              <w:jc w:val="center"/>
              <w:rPr>
                <w:rFonts w:hint="eastAsia" w:ascii="宋体" w:hAnsi="宋体" w:eastAsia="宋体" w:cs="宋体"/>
                <w:i w:val="0"/>
                <w:iCs w:val="0"/>
                <w:color w:val="000000"/>
                <w:sz w:val="18"/>
                <w:szCs w:val="18"/>
                <w:u w:val="none"/>
              </w:rPr>
            </w:pP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4F55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AD5B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04F3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4F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E6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B9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3A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CA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D3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1A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4609D">
            <w:pPr>
              <w:rPr>
                <w:rFonts w:hint="eastAsia" w:ascii="黑体" w:hAnsi="黑体" w:eastAsia="黑体" w:cs="黑体"/>
                <w:i/>
                <w:iCs/>
                <w:color w:val="000000"/>
                <w:sz w:val="18"/>
                <w:szCs w:val="18"/>
                <w:u w:val="none"/>
              </w:rPr>
            </w:pPr>
          </w:p>
        </w:tc>
      </w:tr>
      <w:tr w14:paraId="24BB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0075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27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2E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A5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DB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7A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74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6E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EB390">
            <w:pPr>
              <w:rPr>
                <w:rFonts w:hint="eastAsia" w:ascii="黑体" w:hAnsi="黑体" w:eastAsia="黑体" w:cs="黑体"/>
                <w:i/>
                <w:iCs/>
                <w:color w:val="000000"/>
                <w:sz w:val="18"/>
                <w:szCs w:val="18"/>
                <w:u w:val="none"/>
              </w:rPr>
            </w:pPr>
          </w:p>
        </w:tc>
      </w:tr>
      <w:tr w14:paraId="3C1A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0172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CC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FD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75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7D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59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E3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FE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B8E6B">
            <w:pPr>
              <w:rPr>
                <w:rFonts w:hint="eastAsia" w:ascii="黑体" w:hAnsi="黑体" w:eastAsia="黑体" w:cs="黑体"/>
                <w:i/>
                <w:iCs/>
                <w:color w:val="000000"/>
                <w:sz w:val="18"/>
                <w:szCs w:val="18"/>
                <w:u w:val="none"/>
              </w:rPr>
            </w:pPr>
          </w:p>
        </w:tc>
      </w:tr>
      <w:tr w14:paraId="0CAF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4FC1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AB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0EA5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FDC58">
            <w:pPr>
              <w:jc w:val="center"/>
              <w:rPr>
                <w:rFonts w:hint="eastAsia" w:ascii="微软雅黑" w:hAnsi="微软雅黑" w:eastAsia="微软雅黑" w:cs="微软雅黑"/>
                <w:i/>
                <w:iCs/>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13369">
            <w:pPr>
              <w:jc w:val="center"/>
              <w:rPr>
                <w:rFonts w:hint="eastAsia" w:ascii="微软雅黑" w:hAnsi="微软雅黑" w:eastAsia="微软雅黑" w:cs="微软雅黑"/>
                <w:i/>
                <w:iCs/>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677C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1B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85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882C6">
            <w:pPr>
              <w:rPr>
                <w:rFonts w:hint="eastAsia" w:ascii="黑体" w:hAnsi="黑体" w:eastAsia="黑体" w:cs="黑体"/>
                <w:i/>
                <w:iCs/>
                <w:color w:val="000000"/>
                <w:sz w:val="18"/>
                <w:szCs w:val="18"/>
                <w:u w:val="none"/>
              </w:rPr>
            </w:pPr>
          </w:p>
        </w:tc>
      </w:tr>
      <w:tr w14:paraId="611E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0B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35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AD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0A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D1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0B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A6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FB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0B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11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37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EBB7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C5885">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9D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E3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3E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幼儿学生数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0B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F1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2E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8E64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160人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79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75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E92E0">
            <w:pPr>
              <w:jc w:val="center"/>
              <w:rPr>
                <w:rFonts w:hint="eastAsia" w:ascii="微软雅黑" w:hAnsi="微软雅黑" w:eastAsia="微软雅黑" w:cs="微软雅黑"/>
                <w:i/>
                <w:iCs/>
                <w:color w:val="000000"/>
                <w:sz w:val="16"/>
                <w:szCs w:val="16"/>
                <w:u w:val="none"/>
              </w:rPr>
            </w:pPr>
          </w:p>
        </w:tc>
      </w:tr>
      <w:tr w14:paraId="4427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C760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380E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EE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B6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BD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66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F6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F2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F4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4E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89DB5">
            <w:pPr>
              <w:jc w:val="center"/>
              <w:rPr>
                <w:rFonts w:hint="eastAsia" w:ascii="微软雅黑" w:hAnsi="微软雅黑" w:eastAsia="微软雅黑" w:cs="微软雅黑"/>
                <w:i/>
                <w:iCs/>
                <w:color w:val="000000"/>
                <w:sz w:val="16"/>
                <w:szCs w:val="16"/>
                <w:u w:val="none"/>
              </w:rPr>
            </w:pPr>
          </w:p>
        </w:tc>
      </w:tr>
      <w:tr w14:paraId="7AB02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60B9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54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1C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81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让每一位幼儿都能入学，减轻家庭经济负担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62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3A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9F748">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2D08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E2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F9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EB98F">
            <w:pPr>
              <w:jc w:val="center"/>
              <w:rPr>
                <w:rFonts w:hint="eastAsia" w:ascii="微软雅黑" w:hAnsi="微软雅黑" w:eastAsia="微软雅黑" w:cs="微软雅黑"/>
                <w:i/>
                <w:iCs/>
                <w:color w:val="000000"/>
                <w:sz w:val="16"/>
                <w:szCs w:val="16"/>
                <w:u w:val="none"/>
              </w:rPr>
            </w:pPr>
          </w:p>
        </w:tc>
      </w:tr>
      <w:tr w14:paraId="4650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6961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E8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0E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4C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32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5F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C1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19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DC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14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F25AB">
            <w:pPr>
              <w:jc w:val="center"/>
              <w:rPr>
                <w:rFonts w:hint="eastAsia" w:ascii="微软雅黑" w:hAnsi="微软雅黑" w:eastAsia="微软雅黑" w:cs="微软雅黑"/>
                <w:i/>
                <w:iCs/>
                <w:color w:val="000000"/>
                <w:sz w:val="16"/>
                <w:szCs w:val="16"/>
                <w:u w:val="none"/>
              </w:rPr>
            </w:pPr>
          </w:p>
        </w:tc>
      </w:tr>
      <w:tr w14:paraId="6EB9B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2520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2B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59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D4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每生每年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20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AC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0E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5A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27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81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52A4F">
            <w:pPr>
              <w:jc w:val="center"/>
              <w:rPr>
                <w:rFonts w:hint="eastAsia" w:ascii="微软雅黑" w:hAnsi="微软雅黑" w:eastAsia="微软雅黑" w:cs="微软雅黑"/>
                <w:i/>
                <w:iCs/>
                <w:color w:val="000000"/>
                <w:sz w:val="16"/>
                <w:szCs w:val="16"/>
                <w:u w:val="none"/>
              </w:rPr>
            </w:pPr>
          </w:p>
        </w:tc>
      </w:tr>
      <w:tr w14:paraId="61A0B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DF1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49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9B0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8755E">
            <w:pPr>
              <w:rPr>
                <w:rFonts w:hint="eastAsia" w:ascii="宋体" w:hAnsi="宋体" w:eastAsia="宋体" w:cs="宋体"/>
                <w:i w:val="0"/>
                <w:iCs w:val="0"/>
                <w:color w:val="000000"/>
                <w:sz w:val="18"/>
                <w:szCs w:val="18"/>
                <w:u w:val="none"/>
              </w:rPr>
            </w:pPr>
          </w:p>
        </w:tc>
      </w:tr>
      <w:tr w14:paraId="264B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C1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2CBD33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保障学前教育经费支出，促进学校发展。</w:t>
            </w:r>
          </w:p>
        </w:tc>
      </w:tr>
      <w:tr w14:paraId="0CD2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CD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D1B8B2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92F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6D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30E8A5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6F6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B214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项目负责人：李加平</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3F25C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财务负责人：程朝进</w:t>
            </w:r>
          </w:p>
        </w:tc>
      </w:tr>
    </w:tbl>
    <w:p w14:paraId="22A8F188">
      <w:pPr>
        <w:pStyle w:val="5"/>
        <w:spacing w:before="93"/>
        <w:rPr>
          <w:rFonts w:hAnsi="Calibri" w:cs="仿宋"/>
          <w:sz w:val="32"/>
          <w:szCs w:val="32"/>
        </w:rPr>
      </w:pPr>
    </w:p>
    <w:p w14:paraId="6FA01701">
      <w:pPr>
        <w:spacing w:line="600" w:lineRule="exact"/>
        <w:jc w:val="center"/>
        <w:outlineLvl w:val="9"/>
        <w:rPr>
          <w:rFonts w:hint="eastAsia" w:ascii="黑体" w:hAnsi="黑体" w:eastAsia="黑体"/>
          <w:sz w:val="44"/>
          <w:szCs w:val="44"/>
        </w:rPr>
      </w:pPr>
    </w:p>
    <w:p w14:paraId="312C27FF">
      <w:pPr>
        <w:spacing w:line="600" w:lineRule="exact"/>
        <w:jc w:val="center"/>
        <w:outlineLvl w:val="9"/>
        <w:rPr>
          <w:rFonts w:hint="eastAsia" w:ascii="黑体" w:hAnsi="黑体" w:eastAsia="黑体"/>
          <w:sz w:val="44"/>
          <w:szCs w:val="44"/>
        </w:rPr>
      </w:pPr>
    </w:p>
    <w:p w14:paraId="368A9D1C">
      <w:pPr>
        <w:spacing w:line="600" w:lineRule="exact"/>
        <w:jc w:val="center"/>
        <w:outlineLvl w:val="9"/>
        <w:rPr>
          <w:rFonts w:hint="eastAsia" w:ascii="黑体" w:hAnsi="黑体" w:eastAsia="黑体"/>
          <w:sz w:val="44"/>
          <w:szCs w:val="44"/>
        </w:rPr>
      </w:pPr>
    </w:p>
    <w:tbl>
      <w:tblPr>
        <w:tblStyle w:val="15"/>
        <w:tblW w:w="54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5"/>
        <w:gridCol w:w="253"/>
        <w:gridCol w:w="290"/>
        <w:gridCol w:w="270"/>
        <w:gridCol w:w="560"/>
        <w:gridCol w:w="238"/>
        <w:gridCol w:w="322"/>
        <w:gridCol w:w="396"/>
        <w:gridCol w:w="113"/>
        <w:gridCol w:w="280"/>
        <w:gridCol w:w="846"/>
        <w:gridCol w:w="831"/>
        <w:gridCol w:w="49"/>
        <w:gridCol w:w="383"/>
        <w:gridCol w:w="138"/>
        <w:gridCol w:w="648"/>
        <w:gridCol w:w="69"/>
        <w:gridCol w:w="175"/>
        <w:gridCol w:w="1269"/>
        <w:gridCol w:w="244"/>
        <w:gridCol w:w="688"/>
        <w:gridCol w:w="664"/>
        <w:gridCol w:w="329"/>
      </w:tblGrid>
      <w:tr w14:paraId="3A33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5" w:type="pct"/>
          <w:trHeight w:val="904" w:hRule="atLeast"/>
        </w:trPr>
        <w:tc>
          <w:tcPr>
            <w:tcW w:w="4824"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33525E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105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pct"/>
          <w:trHeight w:val="286" w:hRule="atLeast"/>
        </w:trPr>
        <w:tc>
          <w:tcPr>
            <w:tcW w:w="59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598A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27"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B456C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51113222T000000282153-公办幼儿园公用经费</w:t>
            </w:r>
          </w:p>
        </w:tc>
      </w:tr>
      <w:tr w14:paraId="309D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pct"/>
          <w:trHeight w:val="512" w:hRule="atLeast"/>
        </w:trPr>
        <w:tc>
          <w:tcPr>
            <w:tcW w:w="59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FDFE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47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3A71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峨边彝族自治县教育局本级</w:t>
            </w:r>
          </w:p>
        </w:tc>
        <w:tc>
          <w:tcPr>
            <w:tcW w:w="443" w:type="pct"/>
            <w:tcBorders>
              <w:top w:val="nil"/>
              <w:left w:val="nil"/>
              <w:bottom w:val="nil"/>
              <w:right w:val="nil"/>
            </w:tcBorders>
            <w:shd w:val="clear" w:color="auto" w:fill="auto"/>
            <w:vAlign w:val="center"/>
          </w:tcPr>
          <w:p w14:paraId="382FB52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1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C89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峨边彝族自治县五渡镇中心小学</w:t>
            </w:r>
          </w:p>
        </w:tc>
      </w:tr>
      <w:tr w14:paraId="39E1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pct"/>
          <w:trHeight w:val="286" w:hRule="atLeast"/>
        </w:trPr>
        <w:tc>
          <w:tcPr>
            <w:tcW w:w="2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19F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9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649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47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0AF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D4CAE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570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pct"/>
          <w:trHeight w:val="708" w:hRule="atLeast"/>
        </w:trPr>
        <w:tc>
          <w:tcPr>
            <w:tcW w:w="2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D9329">
            <w:pPr>
              <w:rPr>
                <w:rFonts w:hint="eastAsia" w:ascii="宋体" w:hAnsi="宋体" w:eastAsia="宋体" w:cs="宋体"/>
                <w:i w:val="0"/>
                <w:iCs w:val="0"/>
                <w:color w:val="000000"/>
                <w:sz w:val="18"/>
                <w:szCs w:val="18"/>
                <w:u w:val="none"/>
              </w:rPr>
            </w:pPr>
          </w:p>
        </w:tc>
        <w:tc>
          <w:tcPr>
            <w:tcW w:w="2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CC8DA">
            <w:pPr>
              <w:rPr>
                <w:rFonts w:hint="eastAsia" w:ascii="宋体" w:hAnsi="宋体" w:eastAsia="宋体" w:cs="宋体"/>
                <w:i w:val="0"/>
                <w:iCs w:val="0"/>
                <w:color w:val="000000"/>
                <w:sz w:val="18"/>
                <w:szCs w:val="18"/>
                <w:u w:val="none"/>
              </w:rPr>
            </w:pPr>
          </w:p>
        </w:tc>
        <w:tc>
          <w:tcPr>
            <w:tcW w:w="147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144B00">
            <w:pPr>
              <w:rPr>
                <w:rFonts w:hint="eastAsia" w:ascii="宋体" w:hAnsi="宋体" w:eastAsia="宋体" w:cs="宋体"/>
                <w:i w:val="0"/>
                <w:iCs w:val="0"/>
                <w:color w:val="000000"/>
                <w:sz w:val="18"/>
                <w:szCs w:val="18"/>
                <w:u w:val="none"/>
              </w:rPr>
            </w:pPr>
          </w:p>
        </w:tc>
        <w:tc>
          <w:tcPr>
            <w:tcW w:w="27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8B21C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6936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pct"/>
          <w:trHeight w:val="693" w:hRule="atLeast"/>
        </w:trPr>
        <w:tc>
          <w:tcPr>
            <w:tcW w:w="2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10E16">
            <w:pPr>
              <w:rPr>
                <w:rFonts w:hint="eastAsia" w:ascii="宋体" w:hAnsi="宋体" w:eastAsia="宋体" w:cs="宋体"/>
                <w:i w:val="0"/>
                <w:iCs w:val="0"/>
                <w:color w:val="000000"/>
                <w:sz w:val="18"/>
                <w:szCs w:val="18"/>
                <w:u w:val="none"/>
              </w:rPr>
            </w:pP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1F1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27"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99B2FDB">
            <w:pPr>
              <w:rPr>
                <w:rFonts w:hint="eastAsia" w:ascii="宋体" w:hAnsi="宋体" w:eastAsia="宋体" w:cs="宋体"/>
                <w:i w:val="0"/>
                <w:iCs w:val="0"/>
                <w:color w:val="000000"/>
                <w:sz w:val="18"/>
                <w:szCs w:val="18"/>
                <w:u w:val="none"/>
              </w:rPr>
            </w:pPr>
          </w:p>
        </w:tc>
      </w:tr>
      <w:tr w14:paraId="10A1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pct"/>
          <w:trHeight w:val="361" w:hRule="atLeast"/>
        </w:trPr>
        <w:tc>
          <w:tcPr>
            <w:tcW w:w="2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F5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8D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F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BE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EA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A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02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A1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907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F1B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pct"/>
          <w:trHeight w:val="346" w:hRule="atLeast"/>
        </w:trPr>
        <w:tc>
          <w:tcPr>
            <w:tcW w:w="2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AD5E3">
            <w:pPr>
              <w:jc w:val="center"/>
              <w:rPr>
                <w:rFonts w:hint="eastAsia" w:ascii="宋体" w:hAnsi="宋体" w:eastAsia="宋体" w:cs="宋体"/>
                <w:i w:val="0"/>
                <w:iCs w:val="0"/>
                <w:color w:val="000000"/>
                <w:sz w:val="18"/>
                <w:szCs w:val="18"/>
                <w:u w:val="none"/>
              </w:rPr>
            </w:pP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81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5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91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9.47</w:t>
            </w:r>
          </w:p>
        </w:tc>
        <w:tc>
          <w:tcPr>
            <w:tcW w:w="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CF6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9.47</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3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82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442CD">
            <w:pPr>
              <w:jc w:val="center"/>
              <w:rPr>
                <w:rFonts w:hint="eastAsia" w:ascii="宋体" w:hAnsi="宋体" w:eastAsia="宋体" w:cs="宋体"/>
                <w:i w:val="0"/>
                <w:iCs w:val="0"/>
                <w:color w:val="000000"/>
                <w:sz w:val="18"/>
                <w:szCs w:val="18"/>
                <w:u w:val="none"/>
              </w:rPr>
            </w:pPr>
          </w:p>
        </w:tc>
        <w:tc>
          <w:tcPr>
            <w:tcW w:w="1623"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B2CE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7524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pct"/>
          <w:trHeight w:val="391" w:hRule="atLeast"/>
        </w:trPr>
        <w:tc>
          <w:tcPr>
            <w:tcW w:w="2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F05D1">
            <w:pPr>
              <w:jc w:val="center"/>
              <w:rPr>
                <w:rFonts w:hint="eastAsia" w:ascii="宋体" w:hAnsi="宋体" w:eastAsia="宋体" w:cs="宋体"/>
                <w:i w:val="0"/>
                <w:iCs w:val="0"/>
                <w:color w:val="000000"/>
                <w:sz w:val="18"/>
                <w:szCs w:val="18"/>
                <w:u w:val="none"/>
              </w:rPr>
            </w:pP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40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B2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97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9.47</w:t>
            </w:r>
          </w:p>
        </w:tc>
        <w:tc>
          <w:tcPr>
            <w:tcW w:w="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E64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9.47</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9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7B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B7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3"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B349E">
            <w:pPr>
              <w:rPr>
                <w:rFonts w:hint="eastAsia" w:ascii="黑体" w:hAnsi="黑体" w:eastAsia="黑体" w:cs="黑体"/>
                <w:i/>
                <w:iCs/>
                <w:color w:val="000000"/>
                <w:sz w:val="18"/>
                <w:szCs w:val="18"/>
                <w:u w:val="none"/>
              </w:rPr>
            </w:pPr>
          </w:p>
        </w:tc>
      </w:tr>
      <w:tr w14:paraId="4751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pct"/>
          <w:trHeight w:val="407" w:hRule="atLeast"/>
        </w:trPr>
        <w:tc>
          <w:tcPr>
            <w:tcW w:w="2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5427A">
            <w:pPr>
              <w:jc w:val="center"/>
              <w:rPr>
                <w:rFonts w:hint="eastAsia" w:ascii="宋体" w:hAnsi="宋体" w:eastAsia="宋体" w:cs="宋体"/>
                <w:i w:val="0"/>
                <w:iCs w:val="0"/>
                <w:color w:val="000000"/>
                <w:sz w:val="18"/>
                <w:szCs w:val="18"/>
                <w:u w:val="none"/>
              </w:rPr>
            </w:pP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C7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7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A6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FBF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3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FB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B7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3"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9578B">
            <w:pPr>
              <w:rPr>
                <w:rFonts w:hint="eastAsia" w:ascii="黑体" w:hAnsi="黑体" w:eastAsia="黑体" w:cs="黑体"/>
                <w:i/>
                <w:iCs/>
                <w:color w:val="000000"/>
                <w:sz w:val="18"/>
                <w:szCs w:val="18"/>
                <w:u w:val="none"/>
              </w:rPr>
            </w:pPr>
          </w:p>
        </w:tc>
      </w:tr>
      <w:tr w14:paraId="2BBB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pct"/>
          <w:trHeight w:val="361" w:hRule="atLeast"/>
        </w:trPr>
        <w:tc>
          <w:tcPr>
            <w:tcW w:w="2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C4DF5">
            <w:pPr>
              <w:jc w:val="center"/>
              <w:rPr>
                <w:rFonts w:hint="eastAsia" w:ascii="宋体" w:hAnsi="宋体" w:eastAsia="宋体" w:cs="宋体"/>
                <w:i w:val="0"/>
                <w:iCs w:val="0"/>
                <w:color w:val="000000"/>
                <w:sz w:val="18"/>
                <w:szCs w:val="18"/>
                <w:u w:val="none"/>
              </w:rPr>
            </w:pP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76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D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3A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F17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2D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08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84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3"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ADA9B">
            <w:pPr>
              <w:rPr>
                <w:rFonts w:hint="eastAsia" w:ascii="黑体" w:hAnsi="黑体" w:eastAsia="黑体" w:cs="黑体"/>
                <w:i/>
                <w:iCs/>
                <w:color w:val="000000"/>
                <w:sz w:val="18"/>
                <w:szCs w:val="18"/>
                <w:u w:val="none"/>
              </w:rPr>
            </w:pPr>
          </w:p>
        </w:tc>
      </w:tr>
      <w:tr w14:paraId="0DFD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pct"/>
          <w:trHeight w:val="339" w:hRule="atLeast"/>
        </w:trPr>
        <w:tc>
          <w:tcPr>
            <w:tcW w:w="2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28548">
            <w:pPr>
              <w:jc w:val="center"/>
              <w:rPr>
                <w:rFonts w:hint="eastAsia" w:ascii="宋体" w:hAnsi="宋体" w:eastAsia="宋体" w:cs="宋体"/>
                <w:i w:val="0"/>
                <w:iCs w:val="0"/>
                <w:color w:val="000000"/>
                <w:sz w:val="18"/>
                <w:szCs w:val="18"/>
                <w:u w:val="none"/>
              </w:rPr>
            </w:pP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8A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611BD">
            <w:pPr>
              <w:jc w:val="center"/>
              <w:rPr>
                <w:rFonts w:hint="eastAsia" w:ascii="微软雅黑" w:hAnsi="微软雅黑" w:eastAsia="微软雅黑" w:cs="微软雅黑"/>
                <w:i/>
                <w:iCs/>
                <w:color w:val="000000"/>
                <w:sz w:val="16"/>
                <w:szCs w:val="16"/>
                <w:u w:val="none"/>
              </w:rPr>
            </w:pP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3546E">
            <w:pPr>
              <w:jc w:val="center"/>
              <w:rPr>
                <w:rFonts w:hint="eastAsia" w:ascii="微软雅黑" w:hAnsi="微软雅黑" w:eastAsia="微软雅黑" w:cs="微软雅黑"/>
                <w:i/>
                <w:iCs/>
                <w:color w:val="000000"/>
                <w:sz w:val="16"/>
                <w:szCs w:val="16"/>
                <w:u w:val="none"/>
              </w:rPr>
            </w:pPr>
          </w:p>
        </w:tc>
        <w:tc>
          <w:tcPr>
            <w:tcW w:w="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2AB0DC">
            <w:pPr>
              <w:jc w:val="center"/>
              <w:rPr>
                <w:rFonts w:hint="eastAsia" w:ascii="微软雅黑" w:hAnsi="微软雅黑" w:eastAsia="微软雅黑" w:cs="微软雅黑"/>
                <w:i/>
                <w:iCs/>
                <w:color w:val="000000"/>
                <w:sz w:val="16"/>
                <w:szCs w:val="16"/>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049B">
            <w:pPr>
              <w:jc w:val="center"/>
              <w:rPr>
                <w:rFonts w:hint="eastAsia" w:ascii="微软雅黑" w:hAnsi="微软雅黑" w:eastAsia="微软雅黑" w:cs="微软雅黑"/>
                <w:i/>
                <w:iCs/>
                <w:color w:val="000000"/>
                <w:sz w:val="16"/>
                <w:szCs w:val="16"/>
                <w:u w:val="none"/>
              </w:rPr>
            </w:pPr>
          </w:p>
        </w:tc>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1B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A1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23"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4EE22">
            <w:pPr>
              <w:rPr>
                <w:rFonts w:hint="eastAsia" w:ascii="黑体" w:hAnsi="黑体" w:eastAsia="黑体" w:cs="黑体"/>
                <w:i/>
                <w:iCs/>
                <w:color w:val="000000"/>
                <w:sz w:val="18"/>
                <w:szCs w:val="18"/>
                <w:u w:val="none"/>
              </w:rPr>
            </w:pPr>
          </w:p>
        </w:tc>
      </w:tr>
      <w:tr w14:paraId="7148D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pct"/>
          <w:trHeight w:val="452" w:hRule="atLeast"/>
        </w:trPr>
        <w:tc>
          <w:tcPr>
            <w:tcW w:w="2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31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03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A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F1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CE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45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0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D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7A2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2E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F57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26E9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pct"/>
          <w:trHeight w:val="339" w:hRule="atLeast"/>
        </w:trPr>
        <w:tc>
          <w:tcPr>
            <w:tcW w:w="2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3A10D">
            <w:pPr>
              <w:jc w:val="center"/>
              <w:rPr>
                <w:rFonts w:hint="eastAsia" w:ascii="宋体" w:hAnsi="宋体" w:eastAsia="宋体" w:cs="宋体"/>
                <w:i w:val="0"/>
                <w:iCs w:val="0"/>
                <w:color w:val="000000"/>
                <w:sz w:val="18"/>
                <w:szCs w:val="18"/>
                <w:u w:val="none"/>
              </w:rPr>
            </w:pP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4587F">
            <w:pPr>
              <w:jc w:val="center"/>
              <w:rPr>
                <w:rFonts w:hint="eastAsia" w:ascii="宋体" w:hAnsi="宋体" w:eastAsia="宋体" w:cs="宋体"/>
                <w:i w:val="0"/>
                <w:iCs w:val="0"/>
                <w:color w:val="000000"/>
                <w:sz w:val="18"/>
                <w:szCs w:val="18"/>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F0A63">
            <w:pPr>
              <w:jc w:val="center"/>
              <w:rPr>
                <w:rFonts w:hint="eastAsia" w:ascii="宋体" w:hAnsi="宋体" w:eastAsia="宋体" w:cs="宋体"/>
                <w:i w:val="0"/>
                <w:iCs w:val="0"/>
                <w:color w:val="000000"/>
                <w:sz w:val="18"/>
                <w:szCs w:val="18"/>
                <w:u w:val="none"/>
              </w:rPr>
            </w:pPr>
          </w:p>
        </w:tc>
        <w:tc>
          <w:tcPr>
            <w:tcW w:w="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3D648">
            <w:pPr>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5035">
            <w:pPr>
              <w:jc w:val="center"/>
              <w:rPr>
                <w:rFonts w:hint="eastAsia" w:ascii="宋体" w:hAnsi="宋体" w:eastAsia="宋体" w:cs="宋体"/>
                <w:i w:val="0"/>
                <w:iCs w:val="0"/>
                <w:color w:val="000000"/>
                <w:sz w:val="18"/>
                <w:szCs w:val="18"/>
                <w:u w:val="none"/>
              </w:rPr>
            </w:pPr>
          </w:p>
        </w:tc>
        <w:tc>
          <w:tcPr>
            <w:tcW w:w="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E1513">
            <w:pPr>
              <w:jc w:val="center"/>
              <w:rPr>
                <w:rFonts w:hint="eastAsia" w:ascii="宋体" w:hAnsi="宋体" w:eastAsia="宋体" w:cs="宋体"/>
                <w:i w:val="0"/>
                <w:iCs w:val="0"/>
                <w:color w:val="000000"/>
                <w:sz w:val="18"/>
                <w:szCs w:val="18"/>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C5BD">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42AA">
            <w:pPr>
              <w:jc w:val="center"/>
              <w:rPr>
                <w:rFonts w:hint="eastAsia" w:ascii="微软雅黑" w:hAnsi="微软雅黑" w:eastAsia="微软雅黑" w:cs="微软雅黑"/>
                <w:i/>
                <w:iCs/>
                <w:color w:val="000000"/>
                <w:sz w:val="16"/>
                <w:szCs w:val="16"/>
                <w:u w:val="none"/>
              </w:rPr>
            </w:pPr>
          </w:p>
        </w:tc>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D4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D1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AF2798">
            <w:pPr>
              <w:jc w:val="center"/>
              <w:rPr>
                <w:rFonts w:hint="eastAsia" w:ascii="微软雅黑" w:hAnsi="微软雅黑" w:eastAsia="微软雅黑" w:cs="微软雅黑"/>
                <w:i/>
                <w:iCs/>
                <w:color w:val="000000"/>
                <w:sz w:val="16"/>
                <w:szCs w:val="16"/>
                <w:u w:val="none"/>
              </w:rPr>
            </w:pPr>
          </w:p>
        </w:tc>
      </w:tr>
      <w:tr w14:paraId="3D854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pct"/>
          <w:trHeight w:val="286" w:hRule="atLeast"/>
        </w:trPr>
        <w:tc>
          <w:tcPr>
            <w:tcW w:w="251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F76D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43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01F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BC85AE">
            <w:pPr>
              <w:rPr>
                <w:rFonts w:hint="eastAsia" w:ascii="宋体" w:hAnsi="宋体" w:eastAsia="宋体" w:cs="宋体"/>
                <w:i w:val="0"/>
                <w:iCs w:val="0"/>
                <w:color w:val="000000"/>
                <w:sz w:val="18"/>
                <w:szCs w:val="18"/>
                <w:u w:val="none"/>
              </w:rPr>
            </w:pPr>
          </w:p>
        </w:tc>
      </w:tr>
      <w:tr w14:paraId="6701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pct"/>
          <w:trHeight w:val="603" w:hRule="atLeast"/>
        </w:trPr>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D7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26"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3470B3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改善学校办学环境，促进学校整体发展，提高学校教学质量。</w:t>
            </w:r>
          </w:p>
        </w:tc>
      </w:tr>
      <w:tr w14:paraId="2D832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pct"/>
          <w:trHeight w:val="572" w:hRule="atLeast"/>
        </w:trPr>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CE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26"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F3E4C7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CA6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pct"/>
          <w:trHeight w:val="633" w:hRule="atLeast"/>
        </w:trPr>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9F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26"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2FE6D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3896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pct"/>
          <w:trHeight w:val="286" w:hRule="atLeast"/>
        </w:trPr>
        <w:tc>
          <w:tcPr>
            <w:tcW w:w="14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5313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项目负责人：李加平</w:t>
            </w:r>
          </w:p>
        </w:tc>
        <w:tc>
          <w:tcPr>
            <w:tcW w:w="3417"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CC4FB8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财务负责人：程朝进</w:t>
            </w:r>
          </w:p>
        </w:tc>
      </w:tr>
      <w:tr w14:paraId="60B7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pct"/>
          <w:trHeight w:val="286" w:hRule="atLeast"/>
        </w:trPr>
        <w:tc>
          <w:tcPr>
            <w:tcW w:w="298" w:type="pct"/>
            <w:gridSpan w:val="2"/>
            <w:tcBorders>
              <w:top w:val="nil"/>
              <w:left w:val="nil"/>
              <w:bottom w:val="nil"/>
              <w:right w:val="nil"/>
            </w:tcBorders>
            <w:shd w:val="clear" w:color="auto" w:fill="auto"/>
            <w:vAlign w:val="center"/>
          </w:tcPr>
          <w:p w14:paraId="65F1156D">
            <w:pPr>
              <w:rPr>
                <w:rFonts w:hint="eastAsia" w:ascii="宋体" w:hAnsi="宋体" w:eastAsia="宋体" w:cs="宋体"/>
                <w:i w:val="0"/>
                <w:iCs w:val="0"/>
                <w:color w:val="000000"/>
                <w:sz w:val="18"/>
                <w:szCs w:val="18"/>
                <w:u w:val="none"/>
              </w:rPr>
            </w:pPr>
          </w:p>
        </w:tc>
        <w:tc>
          <w:tcPr>
            <w:tcW w:w="299" w:type="pct"/>
            <w:gridSpan w:val="2"/>
            <w:tcBorders>
              <w:top w:val="nil"/>
              <w:left w:val="nil"/>
              <w:bottom w:val="nil"/>
              <w:right w:val="nil"/>
            </w:tcBorders>
            <w:shd w:val="clear" w:color="auto" w:fill="auto"/>
            <w:vAlign w:val="center"/>
          </w:tcPr>
          <w:p w14:paraId="1C90E29E">
            <w:pPr>
              <w:rPr>
                <w:rFonts w:hint="eastAsia" w:ascii="宋体" w:hAnsi="宋体" w:eastAsia="宋体" w:cs="宋体"/>
                <w:i w:val="0"/>
                <w:iCs w:val="0"/>
                <w:color w:val="000000"/>
                <w:sz w:val="18"/>
                <w:szCs w:val="18"/>
                <w:u w:val="none"/>
              </w:rPr>
            </w:pPr>
          </w:p>
        </w:tc>
        <w:tc>
          <w:tcPr>
            <w:tcW w:w="299" w:type="pct"/>
            <w:tcBorders>
              <w:top w:val="nil"/>
              <w:left w:val="nil"/>
              <w:bottom w:val="nil"/>
              <w:right w:val="nil"/>
            </w:tcBorders>
            <w:shd w:val="clear" w:color="auto" w:fill="auto"/>
            <w:vAlign w:val="center"/>
          </w:tcPr>
          <w:p w14:paraId="218A93E6">
            <w:pPr>
              <w:rPr>
                <w:rFonts w:hint="eastAsia" w:ascii="宋体" w:hAnsi="宋体" w:eastAsia="宋体" w:cs="宋体"/>
                <w:i w:val="0"/>
                <w:iCs w:val="0"/>
                <w:color w:val="000000"/>
                <w:sz w:val="18"/>
                <w:szCs w:val="18"/>
                <w:u w:val="none"/>
              </w:rPr>
            </w:pPr>
          </w:p>
        </w:tc>
        <w:tc>
          <w:tcPr>
            <w:tcW w:w="299" w:type="pct"/>
            <w:gridSpan w:val="2"/>
            <w:tcBorders>
              <w:top w:val="nil"/>
              <w:left w:val="nil"/>
              <w:bottom w:val="nil"/>
              <w:right w:val="nil"/>
            </w:tcBorders>
            <w:shd w:val="clear" w:color="auto" w:fill="auto"/>
            <w:vAlign w:val="center"/>
          </w:tcPr>
          <w:p w14:paraId="799D866D">
            <w:pPr>
              <w:rPr>
                <w:rFonts w:hint="eastAsia" w:ascii="宋体" w:hAnsi="宋体" w:eastAsia="宋体" w:cs="宋体"/>
                <w:i w:val="0"/>
                <w:iCs w:val="0"/>
                <w:color w:val="000000"/>
                <w:sz w:val="18"/>
                <w:szCs w:val="18"/>
                <w:u w:val="none"/>
              </w:rPr>
            </w:pPr>
          </w:p>
        </w:tc>
        <w:tc>
          <w:tcPr>
            <w:tcW w:w="211" w:type="pct"/>
            <w:tcBorders>
              <w:top w:val="nil"/>
              <w:left w:val="nil"/>
              <w:bottom w:val="nil"/>
              <w:right w:val="nil"/>
            </w:tcBorders>
            <w:shd w:val="clear" w:color="auto" w:fill="auto"/>
            <w:vAlign w:val="center"/>
          </w:tcPr>
          <w:p w14:paraId="71E50EB9">
            <w:pPr>
              <w:rPr>
                <w:rFonts w:hint="eastAsia" w:ascii="宋体" w:hAnsi="宋体" w:eastAsia="宋体" w:cs="宋体"/>
                <w:i w:val="0"/>
                <w:iCs w:val="0"/>
                <w:color w:val="000000"/>
                <w:sz w:val="18"/>
                <w:szCs w:val="18"/>
                <w:u w:val="none"/>
              </w:rPr>
            </w:pPr>
          </w:p>
        </w:tc>
        <w:tc>
          <w:tcPr>
            <w:tcW w:w="209" w:type="pct"/>
            <w:gridSpan w:val="2"/>
            <w:tcBorders>
              <w:top w:val="nil"/>
              <w:left w:val="nil"/>
              <w:bottom w:val="nil"/>
              <w:right w:val="nil"/>
            </w:tcBorders>
            <w:shd w:val="clear" w:color="auto" w:fill="auto"/>
            <w:vAlign w:val="center"/>
          </w:tcPr>
          <w:p w14:paraId="56E5A647">
            <w:pPr>
              <w:rPr>
                <w:rFonts w:hint="eastAsia" w:ascii="宋体" w:hAnsi="宋体" w:eastAsia="宋体" w:cs="宋体"/>
                <w:i w:val="0"/>
                <w:iCs w:val="0"/>
                <w:color w:val="000000"/>
                <w:sz w:val="18"/>
                <w:szCs w:val="18"/>
                <w:u w:val="none"/>
              </w:rPr>
            </w:pPr>
          </w:p>
        </w:tc>
        <w:tc>
          <w:tcPr>
            <w:tcW w:w="451" w:type="pct"/>
            <w:tcBorders>
              <w:top w:val="nil"/>
              <w:left w:val="nil"/>
              <w:bottom w:val="nil"/>
              <w:right w:val="nil"/>
            </w:tcBorders>
            <w:shd w:val="clear" w:color="auto" w:fill="auto"/>
            <w:vAlign w:val="center"/>
          </w:tcPr>
          <w:p w14:paraId="2881C98C">
            <w:pPr>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shd w:val="clear" w:color="auto" w:fill="auto"/>
            <w:vAlign w:val="center"/>
          </w:tcPr>
          <w:p w14:paraId="6F73D70D">
            <w:pPr>
              <w:rPr>
                <w:rFonts w:hint="eastAsia" w:ascii="宋体" w:hAnsi="宋体" w:eastAsia="宋体" w:cs="宋体"/>
                <w:i w:val="0"/>
                <w:iCs w:val="0"/>
                <w:color w:val="000000"/>
                <w:sz w:val="18"/>
                <w:szCs w:val="18"/>
                <w:u w:val="none"/>
              </w:rPr>
            </w:pPr>
          </w:p>
        </w:tc>
        <w:tc>
          <w:tcPr>
            <w:tcW w:w="304" w:type="pct"/>
            <w:gridSpan w:val="3"/>
            <w:tcBorders>
              <w:top w:val="nil"/>
              <w:left w:val="nil"/>
              <w:bottom w:val="nil"/>
              <w:right w:val="nil"/>
            </w:tcBorders>
            <w:shd w:val="clear" w:color="auto" w:fill="auto"/>
            <w:vAlign w:val="center"/>
          </w:tcPr>
          <w:p w14:paraId="16F9E282">
            <w:pPr>
              <w:rPr>
                <w:rFonts w:hint="eastAsia" w:ascii="宋体" w:hAnsi="宋体" w:eastAsia="宋体" w:cs="宋体"/>
                <w:i w:val="0"/>
                <w:iCs w:val="0"/>
                <w:color w:val="000000"/>
                <w:sz w:val="18"/>
                <w:szCs w:val="18"/>
                <w:u w:val="none"/>
              </w:rPr>
            </w:pPr>
          </w:p>
        </w:tc>
        <w:tc>
          <w:tcPr>
            <w:tcW w:w="383" w:type="pct"/>
            <w:gridSpan w:val="2"/>
            <w:tcBorders>
              <w:top w:val="nil"/>
              <w:left w:val="nil"/>
              <w:bottom w:val="nil"/>
              <w:right w:val="nil"/>
            </w:tcBorders>
            <w:shd w:val="clear" w:color="auto" w:fill="auto"/>
            <w:vAlign w:val="center"/>
          </w:tcPr>
          <w:p w14:paraId="740BA47A">
            <w:pPr>
              <w:rPr>
                <w:rFonts w:hint="eastAsia" w:ascii="宋体" w:hAnsi="宋体" w:eastAsia="宋体" w:cs="宋体"/>
                <w:i w:val="0"/>
                <w:iCs w:val="0"/>
                <w:color w:val="000000"/>
                <w:sz w:val="18"/>
                <w:szCs w:val="18"/>
                <w:u w:val="none"/>
              </w:rPr>
            </w:pPr>
          </w:p>
        </w:tc>
        <w:tc>
          <w:tcPr>
            <w:tcW w:w="1623" w:type="pct"/>
            <w:gridSpan w:val="5"/>
            <w:tcBorders>
              <w:top w:val="nil"/>
              <w:left w:val="nil"/>
              <w:bottom w:val="nil"/>
              <w:right w:val="nil"/>
            </w:tcBorders>
            <w:shd w:val="clear" w:color="auto" w:fill="auto"/>
            <w:vAlign w:val="center"/>
          </w:tcPr>
          <w:p w14:paraId="2A616C1A">
            <w:pPr>
              <w:rPr>
                <w:rFonts w:hint="eastAsia" w:ascii="宋体" w:hAnsi="宋体" w:eastAsia="宋体" w:cs="宋体"/>
                <w:i w:val="0"/>
                <w:iCs w:val="0"/>
                <w:color w:val="000000"/>
                <w:sz w:val="18"/>
                <w:szCs w:val="18"/>
                <w:u w:val="none"/>
              </w:rPr>
            </w:pPr>
          </w:p>
        </w:tc>
      </w:tr>
      <w:tr w14:paraId="7E621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2" w:type="pct"/>
          <w:trHeight w:val="286" w:hRule="atLeast"/>
        </w:trPr>
        <w:tc>
          <w:tcPr>
            <w:tcW w:w="290" w:type="pct"/>
            <w:gridSpan w:val="2"/>
            <w:tcBorders>
              <w:top w:val="nil"/>
              <w:left w:val="nil"/>
              <w:bottom w:val="nil"/>
              <w:right w:val="nil"/>
            </w:tcBorders>
            <w:shd w:val="clear" w:color="auto" w:fill="auto"/>
            <w:vAlign w:val="center"/>
          </w:tcPr>
          <w:p w14:paraId="1A6AD400">
            <w:pPr>
              <w:rPr>
                <w:rFonts w:hint="eastAsia" w:ascii="宋体" w:hAnsi="宋体" w:eastAsia="宋体" w:cs="宋体"/>
                <w:i w:val="0"/>
                <w:iCs w:val="0"/>
                <w:color w:val="000000"/>
                <w:sz w:val="18"/>
                <w:szCs w:val="18"/>
                <w:u w:val="none"/>
              </w:rPr>
            </w:pPr>
          </w:p>
        </w:tc>
        <w:tc>
          <w:tcPr>
            <w:tcW w:w="570" w:type="pct"/>
            <w:gridSpan w:val="3"/>
            <w:tcBorders>
              <w:top w:val="nil"/>
              <w:left w:val="nil"/>
              <w:bottom w:val="nil"/>
              <w:right w:val="nil"/>
            </w:tcBorders>
            <w:shd w:val="clear" w:color="auto" w:fill="auto"/>
            <w:vAlign w:val="center"/>
          </w:tcPr>
          <w:p w14:paraId="3FB7DF70">
            <w:pPr>
              <w:rPr>
                <w:rFonts w:hint="eastAsia" w:ascii="宋体" w:hAnsi="宋体" w:eastAsia="宋体" w:cs="宋体"/>
                <w:i w:val="0"/>
                <w:iCs w:val="0"/>
                <w:color w:val="000000"/>
                <w:sz w:val="18"/>
                <w:szCs w:val="18"/>
                <w:u w:val="none"/>
              </w:rPr>
            </w:pPr>
          </w:p>
        </w:tc>
        <w:tc>
          <w:tcPr>
            <w:tcW w:w="443" w:type="pct"/>
            <w:gridSpan w:val="3"/>
            <w:tcBorders>
              <w:top w:val="nil"/>
              <w:left w:val="nil"/>
              <w:bottom w:val="nil"/>
              <w:right w:val="nil"/>
            </w:tcBorders>
            <w:shd w:val="clear" w:color="auto" w:fill="auto"/>
            <w:vAlign w:val="center"/>
          </w:tcPr>
          <w:p w14:paraId="5D9DB946">
            <w:pPr>
              <w:rPr>
                <w:rFonts w:hint="eastAsia" w:ascii="宋体" w:hAnsi="宋体" w:eastAsia="宋体" w:cs="宋体"/>
                <w:i w:val="0"/>
                <w:iCs w:val="0"/>
                <w:color w:val="000000"/>
                <w:sz w:val="18"/>
                <w:szCs w:val="18"/>
                <w:u w:val="none"/>
              </w:rPr>
            </w:pPr>
          </w:p>
        </w:tc>
        <w:tc>
          <w:tcPr>
            <w:tcW w:w="1071" w:type="pct"/>
            <w:gridSpan w:val="4"/>
            <w:tcBorders>
              <w:top w:val="nil"/>
              <w:left w:val="nil"/>
              <w:bottom w:val="nil"/>
              <w:right w:val="nil"/>
            </w:tcBorders>
            <w:shd w:val="clear" w:color="auto" w:fill="auto"/>
            <w:vAlign w:val="center"/>
          </w:tcPr>
          <w:p w14:paraId="674000B6">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7038D87D">
            <w:pPr>
              <w:rPr>
                <w:rFonts w:hint="eastAsia" w:ascii="宋体" w:hAnsi="宋体" w:eastAsia="宋体" w:cs="宋体"/>
                <w:i w:val="0"/>
                <w:iCs w:val="0"/>
                <w:color w:val="000000"/>
                <w:sz w:val="18"/>
                <w:szCs w:val="18"/>
                <w:u w:val="none"/>
              </w:rPr>
            </w:pPr>
          </w:p>
        </w:tc>
        <w:tc>
          <w:tcPr>
            <w:tcW w:w="419" w:type="pct"/>
            <w:gridSpan w:val="2"/>
            <w:tcBorders>
              <w:top w:val="nil"/>
              <w:left w:val="nil"/>
              <w:bottom w:val="nil"/>
              <w:right w:val="nil"/>
            </w:tcBorders>
            <w:shd w:val="clear" w:color="auto" w:fill="auto"/>
            <w:noWrap/>
            <w:vAlign w:val="center"/>
          </w:tcPr>
          <w:p w14:paraId="7ECC86FA">
            <w:pPr>
              <w:rPr>
                <w:rFonts w:hint="eastAsia" w:ascii="宋体" w:hAnsi="宋体" w:eastAsia="宋体" w:cs="宋体"/>
                <w:i w:val="0"/>
                <w:iCs w:val="0"/>
                <w:color w:val="000000"/>
                <w:sz w:val="22"/>
                <w:szCs w:val="22"/>
                <w:u w:val="none"/>
              </w:rPr>
            </w:pPr>
          </w:p>
        </w:tc>
        <w:tc>
          <w:tcPr>
            <w:tcW w:w="130" w:type="pct"/>
            <w:gridSpan w:val="2"/>
            <w:tcBorders>
              <w:top w:val="nil"/>
              <w:left w:val="nil"/>
              <w:bottom w:val="nil"/>
              <w:right w:val="nil"/>
            </w:tcBorders>
            <w:shd w:val="clear" w:color="auto" w:fill="auto"/>
            <w:noWrap/>
            <w:vAlign w:val="center"/>
          </w:tcPr>
          <w:p w14:paraId="71B8A4A3">
            <w:pPr>
              <w:rPr>
                <w:rFonts w:hint="eastAsia" w:ascii="宋体" w:hAnsi="宋体" w:eastAsia="宋体" w:cs="宋体"/>
                <w:i w:val="0"/>
                <w:iCs w:val="0"/>
                <w:color w:val="000000"/>
                <w:sz w:val="22"/>
                <w:szCs w:val="22"/>
                <w:u w:val="none"/>
              </w:rPr>
            </w:pPr>
          </w:p>
        </w:tc>
        <w:tc>
          <w:tcPr>
            <w:tcW w:w="677" w:type="pct"/>
            <w:tcBorders>
              <w:top w:val="nil"/>
              <w:left w:val="nil"/>
              <w:bottom w:val="nil"/>
              <w:right w:val="nil"/>
            </w:tcBorders>
            <w:shd w:val="clear" w:color="auto" w:fill="auto"/>
            <w:noWrap/>
            <w:vAlign w:val="center"/>
          </w:tcPr>
          <w:p w14:paraId="09F4F709">
            <w:pPr>
              <w:rPr>
                <w:rFonts w:hint="eastAsia" w:ascii="宋体" w:hAnsi="宋体" w:eastAsia="宋体" w:cs="宋体"/>
                <w:i w:val="0"/>
                <w:iCs w:val="0"/>
                <w:color w:val="000000"/>
                <w:sz w:val="22"/>
                <w:szCs w:val="22"/>
                <w:u w:val="none"/>
              </w:rPr>
            </w:pPr>
          </w:p>
        </w:tc>
        <w:tc>
          <w:tcPr>
            <w:tcW w:w="130" w:type="pct"/>
            <w:tcBorders>
              <w:top w:val="nil"/>
              <w:left w:val="nil"/>
              <w:bottom w:val="nil"/>
              <w:right w:val="nil"/>
            </w:tcBorders>
            <w:shd w:val="clear" w:color="auto" w:fill="auto"/>
            <w:noWrap/>
            <w:vAlign w:val="center"/>
          </w:tcPr>
          <w:p w14:paraId="3E595B9E">
            <w:pPr>
              <w:rPr>
                <w:rFonts w:hint="eastAsia" w:ascii="宋体" w:hAnsi="宋体" w:eastAsia="宋体" w:cs="宋体"/>
                <w:i w:val="0"/>
                <w:iCs w:val="0"/>
                <w:color w:val="000000"/>
                <w:sz w:val="22"/>
                <w:szCs w:val="22"/>
                <w:u w:val="none"/>
              </w:rPr>
            </w:pPr>
          </w:p>
        </w:tc>
        <w:tc>
          <w:tcPr>
            <w:tcW w:w="367" w:type="pct"/>
            <w:tcBorders>
              <w:top w:val="nil"/>
              <w:left w:val="nil"/>
              <w:bottom w:val="nil"/>
              <w:right w:val="nil"/>
            </w:tcBorders>
            <w:shd w:val="clear" w:color="auto" w:fill="auto"/>
            <w:noWrap/>
            <w:vAlign w:val="center"/>
          </w:tcPr>
          <w:p w14:paraId="10A7984A">
            <w:pPr>
              <w:rPr>
                <w:rFonts w:hint="eastAsia" w:ascii="宋体" w:hAnsi="宋体" w:eastAsia="宋体" w:cs="宋体"/>
                <w:i w:val="0"/>
                <w:iCs w:val="0"/>
                <w:color w:val="000000"/>
                <w:sz w:val="22"/>
                <w:szCs w:val="22"/>
                <w:u w:val="none"/>
              </w:rPr>
            </w:pPr>
          </w:p>
        </w:tc>
        <w:tc>
          <w:tcPr>
            <w:tcW w:w="530" w:type="pct"/>
            <w:gridSpan w:val="2"/>
            <w:tcBorders>
              <w:top w:val="nil"/>
              <w:left w:val="nil"/>
              <w:bottom w:val="nil"/>
              <w:right w:val="nil"/>
            </w:tcBorders>
            <w:shd w:val="clear" w:color="auto" w:fill="auto"/>
            <w:noWrap/>
            <w:vAlign w:val="center"/>
          </w:tcPr>
          <w:p w14:paraId="38209DA0">
            <w:pPr>
              <w:rPr>
                <w:rFonts w:hint="eastAsia" w:ascii="宋体" w:hAnsi="宋体" w:eastAsia="宋体" w:cs="宋体"/>
                <w:i w:val="0"/>
                <w:iCs w:val="0"/>
                <w:color w:val="000000"/>
                <w:sz w:val="22"/>
                <w:szCs w:val="22"/>
                <w:u w:val="none"/>
              </w:rPr>
            </w:pPr>
          </w:p>
        </w:tc>
      </w:tr>
    </w:tbl>
    <w:p w14:paraId="72822778">
      <w:pPr>
        <w:spacing w:line="600" w:lineRule="exact"/>
        <w:jc w:val="center"/>
        <w:outlineLvl w:val="9"/>
        <w:rPr>
          <w:rFonts w:hint="eastAsia" w:ascii="黑体" w:hAnsi="黑体" w:eastAsia="黑体"/>
          <w:sz w:val="44"/>
          <w:szCs w:val="44"/>
        </w:rPr>
      </w:pPr>
    </w:p>
    <w:p w14:paraId="0A42296F">
      <w:pPr>
        <w:spacing w:line="600" w:lineRule="exact"/>
        <w:jc w:val="both"/>
        <w:outlineLvl w:val="9"/>
        <w:rPr>
          <w:rFonts w:hint="eastAsia" w:ascii="黑体" w:hAnsi="黑体" w:eastAsia="黑体"/>
          <w:sz w:val="44"/>
          <w:szCs w:val="44"/>
        </w:rPr>
      </w:pPr>
    </w:p>
    <w:p w14:paraId="566FDE2C">
      <w:pPr>
        <w:spacing w:line="600" w:lineRule="exact"/>
        <w:jc w:val="center"/>
        <w:outlineLvl w:val="9"/>
        <w:rPr>
          <w:rFonts w:hint="eastAsia" w:ascii="黑体" w:hAnsi="黑体" w:eastAsia="黑体"/>
          <w:sz w:val="44"/>
          <w:szCs w:val="44"/>
        </w:rPr>
      </w:pPr>
    </w:p>
    <w:p w14:paraId="4DE485B2">
      <w:pPr>
        <w:spacing w:line="600" w:lineRule="exact"/>
        <w:jc w:val="center"/>
        <w:outlineLvl w:val="9"/>
        <w:rPr>
          <w:rFonts w:hint="eastAsia" w:ascii="黑体" w:hAnsi="黑体" w:eastAsia="黑体"/>
          <w:sz w:val="44"/>
          <w:szCs w:val="44"/>
        </w:rPr>
      </w:pPr>
    </w:p>
    <w:p w14:paraId="5630B6B8">
      <w:pPr>
        <w:spacing w:line="600" w:lineRule="exact"/>
        <w:jc w:val="center"/>
        <w:outlineLvl w:val="9"/>
        <w:rPr>
          <w:rFonts w:hint="eastAsia" w:ascii="黑体" w:hAnsi="黑体" w:eastAsia="黑体"/>
          <w:sz w:val="44"/>
          <w:szCs w:val="44"/>
        </w:rPr>
      </w:pPr>
    </w:p>
    <w:p w14:paraId="656CE1F6">
      <w:pPr>
        <w:spacing w:line="600" w:lineRule="exact"/>
        <w:jc w:val="center"/>
        <w:outlineLvl w:val="9"/>
        <w:rPr>
          <w:rFonts w:hint="eastAsia" w:ascii="黑体" w:hAnsi="黑体" w:eastAsia="黑体"/>
          <w:sz w:val="44"/>
          <w:szCs w:val="44"/>
        </w:rPr>
      </w:pPr>
    </w:p>
    <w:p w14:paraId="44F0F11C">
      <w:pPr>
        <w:spacing w:line="600" w:lineRule="exact"/>
        <w:jc w:val="center"/>
        <w:outlineLvl w:val="9"/>
        <w:rPr>
          <w:rFonts w:hint="eastAsia" w:ascii="黑体" w:hAnsi="黑体" w:eastAsia="黑体"/>
          <w:sz w:val="44"/>
          <w:szCs w:val="44"/>
        </w:rPr>
      </w:pPr>
    </w:p>
    <w:p w14:paraId="31C8EE5D">
      <w:pPr>
        <w:spacing w:line="600" w:lineRule="exact"/>
        <w:jc w:val="center"/>
        <w:outlineLvl w:val="9"/>
        <w:rPr>
          <w:rFonts w:hint="eastAsia" w:ascii="黑体" w:hAnsi="黑体" w:eastAsia="黑体"/>
          <w:sz w:val="44"/>
          <w:szCs w:val="44"/>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59"/>
        <w:gridCol w:w="891"/>
        <w:gridCol w:w="1186"/>
        <w:gridCol w:w="396"/>
        <w:gridCol w:w="831"/>
        <w:gridCol w:w="396"/>
        <w:gridCol w:w="846"/>
        <w:gridCol w:w="486"/>
        <w:gridCol w:w="486"/>
        <w:gridCol w:w="1369"/>
      </w:tblGrid>
      <w:tr w14:paraId="2EE85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29634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F4EE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CEF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D21E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51113222T000000282984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村幼辅导员及代课教师生活补助</w:t>
            </w:r>
          </w:p>
        </w:tc>
      </w:tr>
      <w:tr w14:paraId="6F03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6EA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FAC8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峨边彝族自治县教育局本级</w:t>
            </w:r>
          </w:p>
        </w:tc>
        <w:tc>
          <w:tcPr>
            <w:tcW w:w="386" w:type="pct"/>
            <w:tcBorders>
              <w:top w:val="nil"/>
              <w:left w:val="nil"/>
              <w:bottom w:val="nil"/>
              <w:right w:val="nil"/>
            </w:tcBorders>
            <w:shd w:val="clear" w:color="auto" w:fill="auto"/>
            <w:vAlign w:val="center"/>
          </w:tcPr>
          <w:p w14:paraId="00897DA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A6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峨边彝族自治县五渡镇中心小学</w:t>
            </w:r>
          </w:p>
        </w:tc>
      </w:tr>
      <w:tr w14:paraId="372E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D1C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003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B93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1EFD1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77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A2D4E">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744F3">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A459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共16名教师，生活补贴共552640元</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18535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079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B4B9B">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5FA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7DDDE9">
            <w:pPr>
              <w:rPr>
                <w:rFonts w:hint="eastAsia" w:ascii="宋体" w:hAnsi="宋体" w:eastAsia="宋体" w:cs="宋体"/>
                <w:i w:val="0"/>
                <w:iCs w:val="0"/>
                <w:color w:val="000000"/>
                <w:sz w:val="18"/>
                <w:szCs w:val="18"/>
                <w:u w:val="none"/>
              </w:rPr>
            </w:pPr>
          </w:p>
        </w:tc>
      </w:tr>
      <w:tr w14:paraId="2131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80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2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C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D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05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9E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E2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A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DC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1F71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BDA52">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9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0C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C8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71.82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CB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71.82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E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2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6916">
            <w:pPr>
              <w:jc w:val="center"/>
              <w:rPr>
                <w:rFonts w:hint="eastAsia" w:ascii="宋体" w:hAnsi="宋体" w:eastAsia="宋体" w:cs="宋体"/>
                <w:i w:val="0"/>
                <w:iCs w:val="0"/>
                <w:color w:val="000000"/>
                <w:sz w:val="18"/>
                <w:szCs w:val="18"/>
                <w:u w:val="none"/>
              </w:rPr>
            </w:pP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6DAA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89F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9222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E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7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12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71.82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59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71.82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7A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5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7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7246A">
            <w:pPr>
              <w:rPr>
                <w:rFonts w:hint="eastAsia" w:ascii="黑体" w:hAnsi="黑体" w:eastAsia="黑体" w:cs="黑体"/>
                <w:i/>
                <w:iCs/>
                <w:color w:val="000000"/>
                <w:sz w:val="18"/>
                <w:szCs w:val="18"/>
                <w:u w:val="none"/>
              </w:rPr>
            </w:pPr>
          </w:p>
        </w:tc>
      </w:tr>
      <w:tr w14:paraId="1DF0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1661E">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9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A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F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82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C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A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4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E3681">
            <w:pPr>
              <w:rPr>
                <w:rFonts w:hint="eastAsia" w:ascii="黑体" w:hAnsi="黑体" w:eastAsia="黑体" w:cs="黑体"/>
                <w:i/>
                <w:iCs/>
                <w:color w:val="000000"/>
                <w:sz w:val="18"/>
                <w:szCs w:val="18"/>
                <w:u w:val="none"/>
              </w:rPr>
            </w:pPr>
          </w:p>
        </w:tc>
      </w:tr>
      <w:tr w14:paraId="039F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3AEB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E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F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4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3E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E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2C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2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F9014">
            <w:pPr>
              <w:rPr>
                <w:rFonts w:hint="eastAsia" w:ascii="黑体" w:hAnsi="黑体" w:eastAsia="黑体" w:cs="黑体"/>
                <w:i/>
                <w:iCs/>
                <w:color w:val="000000"/>
                <w:sz w:val="18"/>
                <w:szCs w:val="18"/>
                <w:u w:val="none"/>
              </w:rPr>
            </w:pPr>
          </w:p>
        </w:tc>
      </w:tr>
      <w:tr w14:paraId="58974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E164">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D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DC05">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F7453">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DAC9F">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17456">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FD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0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01864">
            <w:pPr>
              <w:rPr>
                <w:rFonts w:hint="eastAsia" w:ascii="黑体" w:hAnsi="黑体" w:eastAsia="黑体" w:cs="黑体"/>
                <w:i/>
                <w:iCs/>
                <w:color w:val="000000"/>
                <w:sz w:val="18"/>
                <w:szCs w:val="18"/>
                <w:u w:val="none"/>
              </w:rPr>
            </w:pPr>
          </w:p>
        </w:tc>
      </w:tr>
      <w:tr w14:paraId="2293F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D8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F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0F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F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5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E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3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AA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3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6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3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4621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B9334">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18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9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84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9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2C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F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15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16人</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E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9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4162">
            <w:pPr>
              <w:jc w:val="center"/>
              <w:rPr>
                <w:rFonts w:hint="eastAsia" w:ascii="微软雅黑" w:hAnsi="微软雅黑" w:eastAsia="微软雅黑" w:cs="微软雅黑"/>
                <w:i/>
                <w:iCs/>
                <w:color w:val="000000"/>
                <w:sz w:val="16"/>
                <w:szCs w:val="16"/>
                <w:u w:val="none"/>
              </w:rPr>
            </w:pPr>
          </w:p>
        </w:tc>
      </w:tr>
      <w:tr w14:paraId="1D0D9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F2C5E">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831B6">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C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8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0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5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E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D52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A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4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18F8">
            <w:pPr>
              <w:jc w:val="center"/>
              <w:rPr>
                <w:rFonts w:hint="eastAsia" w:ascii="微软雅黑" w:hAnsi="微软雅黑" w:eastAsia="微软雅黑" w:cs="微软雅黑"/>
                <w:i/>
                <w:iCs/>
                <w:color w:val="000000"/>
                <w:sz w:val="16"/>
                <w:szCs w:val="16"/>
                <w:u w:val="none"/>
              </w:rPr>
            </w:pPr>
          </w:p>
        </w:tc>
      </w:tr>
      <w:tr w14:paraId="33D6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7C74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88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6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6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村幼辅导员生活补贴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5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3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A1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C0A9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16人</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11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C6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ECE2E">
            <w:pPr>
              <w:jc w:val="center"/>
              <w:rPr>
                <w:rFonts w:hint="eastAsia" w:ascii="微软雅黑" w:hAnsi="微软雅黑" w:eastAsia="微软雅黑" w:cs="微软雅黑"/>
                <w:i/>
                <w:iCs/>
                <w:color w:val="000000"/>
                <w:sz w:val="16"/>
                <w:szCs w:val="16"/>
                <w:u w:val="none"/>
              </w:rPr>
            </w:pPr>
          </w:p>
        </w:tc>
      </w:tr>
      <w:tr w14:paraId="27960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6CEA3">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3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05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2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0A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4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9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B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16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3B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88F38">
            <w:pPr>
              <w:jc w:val="center"/>
              <w:rPr>
                <w:rFonts w:hint="eastAsia" w:ascii="微软雅黑" w:hAnsi="微软雅黑" w:eastAsia="微软雅黑" w:cs="微软雅黑"/>
                <w:i/>
                <w:iCs/>
                <w:color w:val="000000"/>
                <w:sz w:val="16"/>
                <w:szCs w:val="16"/>
                <w:u w:val="none"/>
              </w:rPr>
            </w:pPr>
          </w:p>
        </w:tc>
      </w:tr>
      <w:tr w14:paraId="2A08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59F3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28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98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9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补助标准</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E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5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3763</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9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3B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3763人/月</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72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BE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3AC96">
            <w:pPr>
              <w:jc w:val="center"/>
              <w:rPr>
                <w:rFonts w:hint="eastAsia" w:ascii="微软雅黑" w:hAnsi="微软雅黑" w:eastAsia="微软雅黑" w:cs="微软雅黑"/>
                <w:i/>
                <w:iCs/>
                <w:color w:val="000000"/>
                <w:sz w:val="16"/>
                <w:szCs w:val="16"/>
                <w:u w:val="none"/>
              </w:rPr>
            </w:pPr>
          </w:p>
        </w:tc>
      </w:tr>
      <w:tr w14:paraId="337D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570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A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E01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8ADC">
            <w:pPr>
              <w:rPr>
                <w:rFonts w:hint="eastAsia" w:ascii="宋体" w:hAnsi="宋体" w:eastAsia="宋体" w:cs="宋体"/>
                <w:i w:val="0"/>
                <w:iCs w:val="0"/>
                <w:color w:val="000000"/>
                <w:sz w:val="18"/>
                <w:szCs w:val="18"/>
                <w:u w:val="none"/>
              </w:rPr>
            </w:pPr>
          </w:p>
        </w:tc>
      </w:tr>
      <w:tr w14:paraId="77AC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7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2F5FA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保障幼儿园教师工资、保险等福利待遇。稳定教师队伍，促进教师队伍的整体素质提升。</w:t>
            </w:r>
          </w:p>
        </w:tc>
      </w:tr>
      <w:tr w14:paraId="72E0C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F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817FB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E2A4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A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D0C51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61BD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B75A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项目负责人：李加平</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08A4E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财务负责人：程朝进</w:t>
            </w:r>
          </w:p>
        </w:tc>
      </w:tr>
    </w:tbl>
    <w:p w14:paraId="2CCDADF8">
      <w:pPr>
        <w:spacing w:line="600" w:lineRule="exact"/>
        <w:jc w:val="center"/>
        <w:outlineLvl w:val="9"/>
        <w:rPr>
          <w:rFonts w:hint="eastAsia" w:ascii="黑体" w:hAnsi="黑体" w:eastAsia="黑体"/>
          <w:sz w:val="44"/>
          <w:szCs w:val="44"/>
        </w:rPr>
      </w:pPr>
    </w:p>
    <w:p w14:paraId="318FD08F">
      <w:pPr>
        <w:spacing w:line="600" w:lineRule="exact"/>
        <w:jc w:val="center"/>
        <w:outlineLvl w:val="9"/>
        <w:rPr>
          <w:rFonts w:hint="eastAsia" w:ascii="黑体" w:hAnsi="黑体" w:eastAsia="黑体"/>
          <w:sz w:val="44"/>
          <w:szCs w:val="44"/>
        </w:rPr>
      </w:pPr>
    </w:p>
    <w:p w14:paraId="7744CE36">
      <w:pPr>
        <w:spacing w:line="600" w:lineRule="exact"/>
        <w:jc w:val="center"/>
        <w:outlineLvl w:val="9"/>
        <w:rPr>
          <w:rFonts w:hint="eastAsia" w:ascii="黑体" w:hAnsi="黑体" w:eastAsia="黑体"/>
          <w:sz w:val="44"/>
          <w:szCs w:val="44"/>
        </w:rPr>
      </w:pPr>
    </w:p>
    <w:p w14:paraId="48800BB9">
      <w:pPr>
        <w:spacing w:line="600" w:lineRule="exact"/>
        <w:jc w:val="center"/>
        <w:outlineLvl w:val="9"/>
        <w:rPr>
          <w:rFonts w:hint="eastAsia" w:ascii="黑体" w:hAnsi="黑体" w:eastAsia="黑体"/>
          <w:sz w:val="44"/>
          <w:szCs w:val="44"/>
        </w:rPr>
      </w:pPr>
    </w:p>
    <w:p w14:paraId="18CF20B4">
      <w:pPr>
        <w:spacing w:line="600" w:lineRule="exact"/>
        <w:jc w:val="center"/>
        <w:outlineLvl w:val="9"/>
        <w:rPr>
          <w:rFonts w:hint="eastAsia" w:ascii="黑体" w:hAnsi="黑体" w:eastAsia="黑体"/>
          <w:sz w:val="44"/>
          <w:szCs w:val="44"/>
        </w:rPr>
      </w:pPr>
    </w:p>
    <w:p w14:paraId="6B9801A1">
      <w:pPr>
        <w:spacing w:line="600" w:lineRule="exact"/>
        <w:jc w:val="center"/>
        <w:outlineLvl w:val="9"/>
        <w:rPr>
          <w:rFonts w:hint="eastAsia" w:ascii="黑体" w:hAnsi="黑体" w:eastAsia="黑体"/>
          <w:sz w:val="44"/>
          <w:szCs w:val="44"/>
        </w:rPr>
      </w:pPr>
    </w:p>
    <w:p w14:paraId="0AA6C946">
      <w:pPr>
        <w:spacing w:line="600" w:lineRule="exact"/>
        <w:jc w:val="center"/>
        <w:outlineLvl w:val="9"/>
        <w:rPr>
          <w:rFonts w:hint="eastAsia" w:ascii="黑体" w:hAnsi="黑体" w:eastAsia="黑体"/>
          <w:sz w:val="44"/>
          <w:szCs w:val="44"/>
        </w:rPr>
      </w:pPr>
    </w:p>
    <w:p w14:paraId="2F7845B3">
      <w:pPr>
        <w:spacing w:line="600" w:lineRule="exact"/>
        <w:jc w:val="center"/>
        <w:outlineLvl w:val="9"/>
        <w:rPr>
          <w:rFonts w:hint="eastAsia" w:ascii="黑体" w:hAnsi="黑体" w:eastAsia="黑体"/>
          <w:sz w:val="44"/>
          <w:szCs w:val="44"/>
        </w:rPr>
      </w:pPr>
    </w:p>
    <w:p w14:paraId="3BD0E1FC">
      <w:pPr>
        <w:spacing w:line="600" w:lineRule="exact"/>
        <w:jc w:val="center"/>
        <w:outlineLvl w:val="9"/>
        <w:rPr>
          <w:rFonts w:hint="eastAsia" w:ascii="黑体" w:hAnsi="黑体" w:eastAsia="黑体"/>
          <w:sz w:val="44"/>
          <w:szCs w:val="44"/>
        </w:rPr>
      </w:pPr>
    </w:p>
    <w:p w14:paraId="6D85787D">
      <w:pPr>
        <w:spacing w:line="600" w:lineRule="exact"/>
        <w:jc w:val="both"/>
        <w:outlineLvl w:val="9"/>
        <w:rPr>
          <w:rFonts w:hint="eastAsia" w:ascii="黑体" w:hAnsi="黑体" w:eastAsia="黑体"/>
          <w:sz w:val="44"/>
          <w:szCs w:val="44"/>
        </w:rPr>
      </w:pPr>
    </w:p>
    <w:p w14:paraId="23A8F734">
      <w:pPr>
        <w:spacing w:line="600" w:lineRule="exact"/>
        <w:jc w:val="center"/>
        <w:outlineLvl w:val="0"/>
        <w:rPr>
          <w:rFonts w:hint="eastAsia" w:ascii="黑体" w:hAnsi="黑体" w:eastAsia="黑体"/>
          <w:sz w:val="44"/>
          <w:szCs w:val="44"/>
        </w:rPr>
      </w:pPr>
      <w:bookmarkStart w:id="97" w:name="_Toc20061"/>
    </w:p>
    <w:p w14:paraId="6E1D2A09">
      <w:pPr>
        <w:spacing w:line="600" w:lineRule="exact"/>
        <w:jc w:val="center"/>
        <w:outlineLvl w:val="0"/>
        <w:rPr>
          <w:rFonts w:hint="eastAsia" w:ascii="黑体" w:hAnsi="黑体" w:eastAsia="黑体"/>
          <w:sz w:val="44"/>
          <w:szCs w:val="44"/>
        </w:rPr>
      </w:pPr>
    </w:p>
    <w:p w14:paraId="4E03A580">
      <w:pPr>
        <w:spacing w:line="600" w:lineRule="exact"/>
        <w:jc w:val="center"/>
        <w:outlineLvl w:val="0"/>
        <w:rPr>
          <w:rFonts w:hint="eastAsia" w:ascii="黑体" w:hAnsi="黑体" w:eastAsia="黑体"/>
          <w:sz w:val="44"/>
          <w:szCs w:val="44"/>
        </w:rPr>
      </w:pPr>
    </w:p>
    <w:p w14:paraId="38A7ABFD">
      <w:pPr>
        <w:spacing w:line="600" w:lineRule="exact"/>
        <w:jc w:val="center"/>
        <w:outlineLvl w:val="0"/>
        <w:rPr>
          <w:rFonts w:hint="eastAsia" w:ascii="黑体" w:hAnsi="黑体" w:eastAsia="黑体"/>
          <w:sz w:val="44"/>
          <w:szCs w:val="44"/>
        </w:rPr>
      </w:pPr>
    </w:p>
    <w:p w14:paraId="136DAAB4">
      <w:pPr>
        <w:spacing w:line="600" w:lineRule="exact"/>
        <w:jc w:val="center"/>
        <w:outlineLvl w:val="0"/>
        <w:rPr>
          <w:rFonts w:hint="eastAsia" w:ascii="黑体" w:hAnsi="黑体" w:eastAsia="黑体"/>
          <w:sz w:val="44"/>
          <w:szCs w:val="44"/>
        </w:rPr>
      </w:pPr>
    </w:p>
    <w:p w14:paraId="7398C880">
      <w:pPr>
        <w:spacing w:line="600" w:lineRule="exact"/>
        <w:jc w:val="center"/>
        <w:outlineLvl w:val="0"/>
        <w:rPr>
          <w:rFonts w:hint="eastAsia" w:ascii="黑体" w:hAnsi="黑体" w:eastAsia="黑体"/>
          <w:sz w:val="44"/>
          <w:szCs w:val="44"/>
        </w:rPr>
      </w:pPr>
    </w:p>
    <w:p w14:paraId="259C4BEA">
      <w:pPr>
        <w:spacing w:line="600" w:lineRule="exact"/>
        <w:jc w:val="center"/>
        <w:outlineLvl w:val="0"/>
        <w:rPr>
          <w:rFonts w:hint="eastAsia" w:ascii="黑体" w:hAnsi="黑体" w:eastAsia="黑体"/>
          <w:sz w:val="44"/>
          <w:szCs w:val="44"/>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59"/>
        <w:gridCol w:w="891"/>
        <w:gridCol w:w="1186"/>
        <w:gridCol w:w="396"/>
        <w:gridCol w:w="831"/>
        <w:gridCol w:w="396"/>
        <w:gridCol w:w="846"/>
        <w:gridCol w:w="486"/>
        <w:gridCol w:w="486"/>
        <w:gridCol w:w="1369"/>
      </w:tblGrid>
      <w:tr w14:paraId="5883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F78FF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B62F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06C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0D08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51113222T000000282994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义务教育营养改善计划</w:t>
            </w:r>
          </w:p>
        </w:tc>
      </w:tr>
      <w:tr w14:paraId="13303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9A4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E927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峨边彝族自治县教育局本级</w:t>
            </w:r>
          </w:p>
        </w:tc>
        <w:tc>
          <w:tcPr>
            <w:tcW w:w="386" w:type="pct"/>
            <w:tcBorders>
              <w:top w:val="nil"/>
              <w:left w:val="nil"/>
              <w:bottom w:val="nil"/>
              <w:right w:val="nil"/>
            </w:tcBorders>
            <w:shd w:val="clear" w:color="auto" w:fill="auto"/>
            <w:vAlign w:val="center"/>
          </w:tcPr>
          <w:p w14:paraId="46E0740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62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峨边彝族自治县五渡镇中心小学</w:t>
            </w:r>
          </w:p>
        </w:tc>
      </w:tr>
      <w:tr w14:paraId="4D9BC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0A2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2F6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94F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8E4B9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3E72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C2188">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FF68C">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789A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2015年春季学期起义务教育阶段学生营养改善计划标准为4元/生</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天，全年按190天计算。根据川财教育</w:t>
            </w:r>
            <w:r>
              <w:rPr>
                <w:rFonts w:hint="eastAsia" w:ascii="宋体" w:hAnsi="宋体" w:cs="宋体"/>
                <w:i w:val="0"/>
                <w:iCs w:val="0"/>
                <w:color w:val="000000"/>
                <w:kern w:val="0"/>
                <w:sz w:val="18"/>
                <w:szCs w:val="18"/>
                <w:u w:val="none"/>
                <w:lang w:val="en-US" w:eastAsia="zh-CN" w:bidi="ar"/>
              </w:rPr>
              <w:t>〔2019〕111号</w:t>
            </w:r>
            <w:r>
              <w:rPr>
                <w:rFonts w:ascii="宋体" w:hAnsi="宋体" w:eastAsia="宋体" w:cs="宋体"/>
                <w:i w:val="0"/>
                <w:iCs w:val="0"/>
                <w:color w:val="000000"/>
                <w:kern w:val="0"/>
                <w:sz w:val="18"/>
                <w:szCs w:val="18"/>
                <w:u w:val="none"/>
                <w:lang w:val="en-US" w:eastAsia="zh-CN" w:bidi="ar"/>
              </w:rPr>
              <w:t>要求省级试点县，从 2019 年秋季学期起</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地方试点地区所需资金扣除中央财政定额奖补（每生每天 3 元）后，差额部分由省级财政按照差额的三分之二予以补助，不足部分由市县承担。</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67DA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D30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78789">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7E8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68742F">
            <w:pPr>
              <w:rPr>
                <w:rFonts w:hint="eastAsia" w:ascii="宋体" w:hAnsi="宋体" w:eastAsia="宋体" w:cs="宋体"/>
                <w:i w:val="0"/>
                <w:iCs w:val="0"/>
                <w:color w:val="000000"/>
                <w:sz w:val="18"/>
                <w:szCs w:val="18"/>
                <w:u w:val="none"/>
              </w:rPr>
            </w:pPr>
          </w:p>
        </w:tc>
      </w:tr>
      <w:tr w14:paraId="60663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AF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F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B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6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37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D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8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9C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0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9D72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A7EAF">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1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2F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38.48</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C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34.77</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1EC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E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4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8EE2">
            <w:pPr>
              <w:jc w:val="center"/>
              <w:rPr>
                <w:rFonts w:hint="eastAsia" w:ascii="宋体" w:hAnsi="宋体" w:eastAsia="宋体" w:cs="宋体"/>
                <w:i w:val="0"/>
                <w:iCs w:val="0"/>
                <w:color w:val="000000"/>
                <w:sz w:val="18"/>
                <w:szCs w:val="18"/>
                <w:u w:val="none"/>
              </w:rPr>
            </w:pP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DBB3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2555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446CF">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1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9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38.48</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D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34.77</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57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C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33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F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31A05">
            <w:pPr>
              <w:rPr>
                <w:rFonts w:hint="eastAsia" w:ascii="黑体" w:hAnsi="黑体" w:eastAsia="黑体" w:cs="黑体"/>
                <w:i/>
                <w:iCs/>
                <w:color w:val="000000"/>
                <w:sz w:val="18"/>
                <w:szCs w:val="18"/>
                <w:u w:val="none"/>
              </w:rPr>
            </w:pPr>
          </w:p>
        </w:tc>
      </w:tr>
      <w:tr w14:paraId="52FA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7F58A">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E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A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F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06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57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C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5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1CCE2">
            <w:pPr>
              <w:rPr>
                <w:rFonts w:hint="eastAsia" w:ascii="黑体" w:hAnsi="黑体" w:eastAsia="黑体" w:cs="黑体"/>
                <w:i/>
                <w:iCs/>
                <w:color w:val="000000"/>
                <w:sz w:val="18"/>
                <w:szCs w:val="18"/>
                <w:u w:val="none"/>
              </w:rPr>
            </w:pPr>
          </w:p>
        </w:tc>
      </w:tr>
      <w:tr w14:paraId="00DE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3933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8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0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D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F1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9A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8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2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32D89">
            <w:pPr>
              <w:rPr>
                <w:rFonts w:hint="eastAsia" w:ascii="黑体" w:hAnsi="黑体" w:eastAsia="黑体" w:cs="黑体"/>
                <w:i/>
                <w:iCs/>
                <w:color w:val="000000"/>
                <w:sz w:val="18"/>
                <w:szCs w:val="18"/>
                <w:u w:val="none"/>
              </w:rPr>
            </w:pPr>
          </w:p>
        </w:tc>
      </w:tr>
      <w:tr w14:paraId="258E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4039D">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CA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02694">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2F6B">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591FA">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F84F">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E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7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9A101">
            <w:pPr>
              <w:rPr>
                <w:rFonts w:hint="eastAsia" w:ascii="黑体" w:hAnsi="黑体" w:eastAsia="黑体" w:cs="黑体"/>
                <w:i/>
                <w:iCs/>
                <w:color w:val="000000"/>
                <w:sz w:val="18"/>
                <w:szCs w:val="18"/>
                <w:u w:val="none"/>
              </w:rPr>
            </w:pPr>
          </w:p>
        </w:tc>
      </w:tr>
      <w:tr w14:paraId="69DE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B4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0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E0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D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D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4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0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16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C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2E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B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F06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4FCE1">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46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9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8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CA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F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6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CF8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405人</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24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8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9130">
            <w:pPr>
              <w:jc w:val="center"/>
              <w:rPr>
                <w:rFonts w:hint="eastAsia" w:ascii="微软雅黑" w:hAnsi="微软雅黑" w:eastAsia="微软雅黑" w:cs="微软雅黑"/>
                <w:i/>
                <w:iCs/>
                <w:color w:val="000000"/>
                <w:sz w:val="16"/>
                <w:szCs w:val="16"/>
                <w:u w:val="none"/>
              </w:rPr>
            </w:pPr>
          </w:p>
        </w:tc>
      </w:tr>
      <w:tr w14:paraId="765F2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DDD18">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C5263">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5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6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B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97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7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4FD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6年</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A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A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FC4F0">
            <w:pPr>
              <w:jc w:val="center"/>
              <w:rPr>
                <w:rFonts w:hint="eastAsia" w:ascii="微软雅黑" w:hAnsi="微软雅黑" w:eastAsia="微软雅黑" w:cs="微软雅黑"/>
                <w:i/>
                <w:iCs/>
                <w:color w:val="000000"/>
                <w:sz w:val="16"/>
                <w:szCs w:val="16"/>
                <w:u w:val="none"/>
              </w:rPr>
            </w:pPr>
          </w:p>
        </w:tc>
      </w:tr>
      <w:tr w14:paraId="28D21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57C71">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D8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A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A0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提升学生体质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6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2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9C0D">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6C4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0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5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C1EFA">
            <w:pPr>
              <w:jc w:val="center"/>
              <w:rPr>
                <w:rFonts w:hint="eastAsia" w:ascii="微软雅黑" w:hAnsi="微软雅黑" w:eastAsia="微软雅黑" w:cs="微软雅黑"/>
                <w:i/>
                <w:iCs/>
                <w:color w:val="000000"/>
                <w:sz w:val="16"/>
                <w:szCs w:val="16"/>
                <w:u w:val="none"/>
              </w:rPr>
            </w:pPr>
          </w:p>
        </w:tc>
      </w:tr>
      <w:tr w14:paraId="61D8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4009A">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8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EC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1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学生及家长满意度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B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9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E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6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9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B2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6A1A">
            <w:pPr>
              <w:jc w:val="center"/>
              <w:rPr>
                <w:rFonts w:hint="eastAsia" w:ascii="微软雅黑" w:hAnsi="微软雅黑" w:eastAsia="微软雅黑" w:cs="微软雅黑"/>
                <w:i/>
                <w:iCs/>
                <w:color w:val="000000"/>
                <w:sz w:val="16"/>
                <w:szCs w:val="16"/>
                <w:u w:val="none"/>
              </w:rPr>
            </w:pPr>
          </w:p>
        </w:tc>
      </w:tr>
      <w:tr w14:paraId="5F73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4BAE5">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D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1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0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完成所需资金</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10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2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38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5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252万元</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1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C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8D3E">
            <w:pPr>
              <w:jc w:val="center"/>
              <w:rPr>
                <w:rFonts w:hint="eastAsia" w:ascii="微软雅黑" w:hAnsi="微软雅黑" w:eastAsia="微软雅黑" w:cs="微软雅黑"/>
                <w:i/>
                <w:iCs/>
                <w:color w:val="000000"/>
                <w:sz w:val="16"/>
                <w:szCs w:val="16"/>
                <w:u w:val="none"/>
              </w:rPr>
            </w:pPr>
          </w:p>
        </w:tc>
      </w:tr>
      <w:tr w14:paraId="0E95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6A1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A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14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823A">
            <w:pPr>
              <w:rPr>
                <w:rFonts w:hint="eastAsia" w:ascii="宋体" w:hAnsi="宋体" w:eastAsia="宋体" w:cs="宋体"/>
                <w:i w:val="0"/>
                <w:iCs w:val="0"/>
                <w:color w:val="000000"/>
                <w:sz w:val="18"/>
                <w:szCs w:val="18"/>
                <w:u w:val="none"/>
              </w:rPr>
            </w:pPr>
          </w:p>
        </w:tc>
      </w:tr>
      <w:tr w14:paraId="75D1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8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24167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保障义务教育阶段学生在校期间的营养摄入，提高学生学习效率。确保学生在校享受营养均衡的膳食。</w:t>
            </w:r>
          </w:p>
        </w:tc>
      </w:tr>
      <w:tr w14:paraId="4E056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9C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591F6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AB0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2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0E241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0170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7E4C9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项目负责人：李加平</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D42F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财务负责人：程朝进</w:t>
            </w:r>
          </w:p>
        </w:tc>
      </w:tr>
      <w:tr w14:paraId="0D279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09DA8F39">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59E4F74A">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5020CD87">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50790F59">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C2D09F2">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14:paraId="09A65FEB">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118320F1">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063431E2">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66BB3A31">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1E9D23F8">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14F3C056">
            <w:pPr>
              <w:rPr>
                <w:rFonts w:hint="eastAsia" w:ascii="宋体" w:hAnsi="宋体" w:eastAsia="宋体" w:cs="宋体"/>
                <w:i w:val="0"/>
                <w:iCs w:val="0"/>
                <w:color w:val="000000"/>
                <w:sz w:val="18"/>
                <w:szCs w:val="18"/>
                <w:u w:val="none"/>
              </w:rPr>
            </w:pPr>
          </w:p>
        </w:tc>
      </w:tr>
    </w:tbl>
    <w:p w14:paraId="14F3A5BF">
      <w:pPr>
        <w:spacing w:line="600" w:lineRule="exact"/>
        <w:jc w:val="center"/>
        <w:outlineLvl w:val="0"/>
        <w:rPr>
          <w:rFonts w:hint="eastAsia" w:ascii="黑体" w:hAnsi="黑体" w:eastAsia="黑体"/>
          <w:sz w:val="44"/>
          <w:szCs w:val="44"/>
        </w:rPr>
      </w:pPr>
    </w:p>
    <w:p w14:paraId="56D25124">
      <w:pPr>
        <w:spacing w:line="600" w:lineRule="exact"/>
        <w:jc w:val="center"/>
        <w:outlineLvl w:val="0"/>
        <w:rPr>
          <w:rFonts w:hint="eastAsia" w:ascii="黑体" w:hAnsi="黑体" w:eastAsia="黑体"/>
          <w:sz w:val="44"/>
          <w:szCs w:val="44"/>
        </w:rPr>
      </w:pPr>
    </w:p>
    <w:p w14:paraId="6AF7A721">
      <w:pPr>
        <w:spacing w:line="600" w:lineRule="exact"/>
        <w:jc w:val="center"/>
        <w:outlineLvl w:val="0"/>
        <w:rPr>
          <w:rFonts w:hint="eastAsia" w:ascii="黑体" w:hAnsi="黑体" w:eastAsia="黑体"/>
          <w:sz w:val="44"/>
          <w:szCs w:val="44"/>
        </w:rPr>
      </w:pPr>
    </w:p>
    <w:p w14:paraId="533D763C">
      <w:pPr>
        <w:spacing w:line="600" w:lineRule="exact"/>
        <w:jc w:val="center"/>
        <w:outlineLvl w:val="0"/>
        <w:rPr>
          <w:rFonts w:hint="eastAsia" w:ascii="黑体" w:hAnsi="黑体" w:eastAsia="黑体"/>
          <w:sz w:val="44"/>
          <w:szCs w:val="44"/>
        </w:rPr>
      </w:pPr>
    </w:p>
    <w:p w14:paraId="2A68CA8B">
      <w:pPr>
        <w:spacing w:line="600" w:lineRule="exact"/>
        <w:jc w:val="center"/>
        <w:outlineLvl w:val="0"/>
        <w:rPr>
          <w:rFonts w:hint="eastAsia" w:ascii="黑体" w:hAnsi="黑体" w:eastAsia="黑体"/>
          <w:sz w:val="44"/>
          <w:szCs w:val="44"/>
        </w:rPr>
      </w:pPr>
    </w:p>
    <w:p w14:paraId="67E1F97B">
      <w:pPr>
        <w:spacing w:line="600" w:lineRule="exact"/>
        <w:jc w:val="center"/>
        <w:outlineLvl w:val="0"/>
        <w:rPr>
          <w:rFonts w:hint="eastAsia" w:ascii="黑体" w:hAnsi="黑体" w:eastAsia="黑体"/>
          <w:sz w:val="44"/>
          <w:szCs w:val="44"/>
        </w:rPr>
      </w:pPr>
    </w:p>
    <w:p w14:paraId="11413972">
      <w:pPr>
        <w:spacing w:line="600" w:lineRule="exact"/>
        <w:jc w:val="center"/>
        <w:outlineLvl w:val="0"/>
        <w:rPr>
          <w:rFonts w:hint="eastAsia" w:ascii="黑体" w:hAnsi="黑体" w:eastAsia="黑体"/>
          <w:sz w:val="44"/>
          <w:szCs w:val="44"/>
        </w:rPr>
      </w:pPr>
    </w:p>
    <w:p w14:paraId="12361023">
      <w:pPr>
        <w:spacing w:line="600" w:lineRule="exact"/>
        <w:jc w:val="center"/>
        <w:outlineLvl w:val="0"/>
        <w:rPr>
          <w:rFonts w:hint="eastAsia" w:ascii="黑体" w:hAnsi="黑体" w:eastAsia="黑体"/>
          <w:sz w:val="44"/>
          <w:szCs w:val="44"/>
        </w:rPr>
      </w:pPr>
    </w:p>
    <w:p w14:paraId="67BB31C5">
      <w:pPr>
        <w:spacing w:line="600" w:lineRule="exact"/>
        <w:jc w:val="center"/>
        <w:outlineLvl w:val="0"/>
        <w:rPr>
          <w:rFonts w:hint="eastAsia" w:ascii="黑体" w:hAnsi="黑体" w:eastAsia="黑体"/>
          <w:sz w:val="44"/>
          <w:szCs w:val="44"/>
        </w:rPr>
      </w:pPr>
    </w:p>
    <w:p w14:paraId="44B7F047">
      <w:pPr>
        <w:spacing w:line="600" w:lineRule="exact"/>
        <w:jc w:val="center"/>
        <w:outlineLvl w:val="0"/>
        <w:rPr>
          <w:rFonts w:hint="eastAsia" w:ascii="黑体" w:hAnsi="黑体" w:eastAsia="黑体"/>
          <w:sz w:val="44"/>
          <w:szCs w:val="44"/>
        </w:rPr>
      </w:pPr>
    </w:p>
    <w:p w14:paraId="521EF676">
      <w:pPr>
        <w:spacing w:line="600" w:lineRule="exact"/>
        <w:jc w:val="center"/>
        <w:outlineLvl w:val="0"/>
        <w:rPr>
          <w:rFonts w:hint="eastAsia" w:ascii="黑体" w:hAnsi="黑体" w:eastAsia="黑体"/>
          <w:sz w:val="44"/>
          <w:szCs w:val="44"/>
        </w:rPr>
      </w:pPr>
    </w:p>
    <w:p w14:paraId="330235FD">
      <w:pPr>
        <w:spacing w:line="600" w:lineRule="exact"/>
        <w:jc w:val="center"/>
        <w:outlineLvl w:val="0"/>
        <w:rPr>
          <w:rFonts w:hint="eastAsia" w:ascii="黑体" w:hAnsi="黑体" w:eastAsia="黑体"/>
          <w:sz w:val="44"/>
          <w:szCs w:val="44"/>
        </w:rPr>
      </w:pPr>
    </w:p>
    <w:p w14:paraId="67ECDDBA">
      <w:pPr>
        <w:spacing w:line="600" w:lineRule="exact"/>
        <w:jc w:val="center"/>
        <w:outlineLvl w:val="0"/>
        <w:rPr>
          <w:rFonts w:hint="eastAsia" w:ascii="黑体" w:hAnsi="黑体" w:eastAsia="黑体"/>
          <w:sz w:val="44"/>
          <w:szCs w:val="44"/>
        </w:rPr>
      </w:pPr>
    </w:p>
    <w:p w14:paraId="2D88D670">
      <w:pPr>
        <w:spacing w:line="600" w:lineRule="exact"/>
        <w:jc w:val="center"/>
        <w:outlineLvl w:val="0"/>
        <w:rPr>
          <w:rFonts w:hint="eastAsia" w:ascii="黑体" w:hAnsi="黑体" w:eastAsia="黑体"/>
          <w:sz w:val="44"/>
          <w:szCs w:val="44"/>
        </w:rPr>
      </w:pPr>
    </w:p>
    <w:p w14:paraId="7A297EDC">
      <w:pPr>
        <w:spacing w:line="600" w:lineRule="exact"/>
        <w:jc w:val="center"/>
        <w:outlineLvl w:val="0"/>
        <w:rPr>
          <w:rFonts w:hint="eastAsia" w:ascii="黑体" w:hAnsi="黑体" w:eastAsia="黑体"/>
          <w:sz w:val="44"/>
          <w:szCs w:val="44"/>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
        <w:gridCol w:w="447"/>
        <w:gridCol w:w="97"/>
        <w:gridCol w:w="433"/>
        <w:gridCol w:w="527"/>
        <w:gridCol w:w="135"/>
        <w:gridCol w:w="392"/>
        <w:gridCol w:w="373"/>
        <w:gridCol w:w="225"/>
        <w:gridCol w:w="145"/>
        <w:gridCol w:w="373"/>
        <w:gridCol w:w="764"/>
        <w:gridCol w:w="450"/>
        <w:gridCol w:w="201"/>
        <w:gridCol w:w="249"/>
        <w:gridCol w:w="147"/>
        <w:gridCol w:w="624"/>
        <w:gridCol w:w="73"/>
        <w:gridCol w:w="372"/>
        <w:gridCol w:w="760"/>
        <w:gridCol w:w="450"/>
        <w:gridCol w:w="450"/>
        <w:gridCol w:w="758"/>
      </w:tblGrid>
      <w:tr w14:paraId="09B1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680" w:type="pct"/>
          <w:trHeight w:val="904" w:hRule="atLeast"/>
        </w:trPr>
        <w:tc>
          <w:tcPr>
            <w:tcW w:w="331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F3F9B5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2F35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680" w:type="pct"/>
          <w:trHeight w:val="286" w:hRule="atLeast"/>
        </w:trPr>
        <w:tc>
          <w:tcPr>
            <w:tcW w:w="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BCC0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269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70E21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51113222T000005571531-“三区”人才计划教师专项</w:t>
            </w:r>
          </w:p>
        </w:tc>
      </w:tr>
      <w:tr w14:paraId="6999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680" w:type="pct"/>
          <w:trHeight w:val="512" w:hRule="atLeast"/>
        </w:trPr>
        <w:tc>
          <w:tcPr>
            <w:tcW w:w="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6BEB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27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099C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峨边彝族自治县教育局本级</w:t>
            </w:r>
          </w:p>
        </w:tc>
        <w:tc>
          <w:tcPr>
            <w:tcW w:w="446" w:type="pct"/>
            <w:tcBorders>
              <w:top w:val="nil"/>
              <w:left w:val="nil"/>
              <w:bottom w:val="nil"/>
              <w:right w:val="nil"/>
            </w:tcBorders>
            <w:shd w:val="clear" w:color="auto" w:fill="auto"/>
            <w:vAlign w:val="center"/>
          </w:tcPr>
          <w:p w14:paraId="2610E96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9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0C8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峨边彝族自治县五渡镇中心小学</w:t>
            </w:r>
          </w:p>
        </w:tc>
      </w:tr>
      <w:tr w14:paraId="65384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680" w:type="pct"/>
          <w:trHeight w:val="286" w:hRule="atLeast"/>
        </w:trPr>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A09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3C4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27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6E2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4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D4A7A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561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680" w:type="pct"/>
          <w:trHeight w:val="708" w:hRule="atLeast"/>
        </w:trPr>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89DEA">
            <w:pPr>
              <w:rPr>
                <w:rFonts w:hint="eastAsia" w:ascii="宋体" w:hAnsi="宋体" w:eastAsia="宋体" w:cs="宋体"/>
                <w:i w:val="0"/>
                <w:iCs w:val="0"/>
                <w:color w:val="000000"/>
                <w:sz w:val="18"/>
                <w:szCs w:val="18"/>
                <w:u w:val="none"/>
              </w:rPr>
            </w:pPr>
          </w:p>
        </w:tc>
        <w:tc>
          <w:tcPr>
            <w:tcW w:w="3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B46E1">
            <w:pPr>
              <w:rPr>
                <w:rFonts w:hint="eastAsia" w:ascii="宋体" w:hAnsi="宋体" w:eastAsia="宋体" w:cs="宋体"/>
                <w:i w:val="0"/>
                <w:iCs w:val="0"/>
                <w:color w:val="000000"/>
                <w:sz w:val="18"/>
                <w:szCs w:val="18"/>
                <w:u w:val="none"/>
              </w:rPr>
            </w:pPr>
          </w:p>
        </w:tc>
        <w:tc>
          <w:tcPr>
            <w:tcW w:w="127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C8A7C4">
            <w:pPr>
              <w:rPr>
                <w:rFonts w:hint="eastAsia" w:ascii="宋体" w:hAnsi="宋体" w:eastAsia="宋体" w:cs="宋体"/>
                <w:i w:val="0"/>
                <w:iCs w:val="0"/>
                <w:color w:val="000000"/>
                <w:sz w:val="18"/>
                <w:szCs w:val="18"/>
                <w:u w:val="none"/>
              </w:rPr>
            </w:pPr>
          </w:p>
        </w:tc>
        <w:tc>
          <w:tcPr>
            <w:tcW w:w="14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3FE3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ACD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680" w:type="pct"/>
          <w:trHeight w:val="693" w:hRule="atLeast"/>
        </w:trPr>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2C632">
            <w:pPr>
              <w:rPr>
                <w:rFonts w:hint="eastAsia" w:ascii="宋体" w:hAnsi="宋体" w:eastAsia="宋体" w:cs="宋体"/>
                <w:i w:val="0"/>
                <w:iCs w:val="0"/>
                <w:color w:val="000000"/>
                <w:sz w:val="18"/>
                <w:szCs w:val="18"/>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478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269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5F90C3B">
            <w:pPr>
              <w:rPr>
                <w:rFonts w:hint="eastAsia" w:ascii="宋体" w:hAnsi="宋体" w:eastAsia="宋体" w:cs="宋体"/>
                <w:i w:val="0"/>
                <w:iCs w:val="0"/>
                <w:color w:val="000000"/>
                <w:sz w:val="18"/>
                <w:szCs w:val="18"/>
                <w:u w:val="none"/>
              </w:rPr>
            </w:pPr>
          </w:p>
        </w:tc>
      </w:tr>
      <w:tr w14:paraId="7C50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680" w:type="pct"/>
          <w:trHeight w:val="361" w:hRule="atLeast"/>
        </w:trPr>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78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D8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8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FE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6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449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0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2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84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E0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D288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680" w:type="pct"/>
          <w:trHeight w:val="346" w:hRule="atLeast"/>
        </w:trPr>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A3669">
            <w:pPr>
              <w:jc w:val="center"/>
              <w:rPr>
                <w:rFonts w:hint="eastAsia" w:ascii="宋体" w:hAnsi="宋体" w:eastAsia="宋体" w:cs="宋体"/>
                <w:i w:val="0"/>
                <w:iCs w:val="0"/>
                <w:color w:val="000000"/>
                <w:sz w:val="18"/>
                <w:szCs w:val="18"/>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6F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0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AD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6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7F2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0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C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7840B">
            <w:pPr>
              <w:jc w:val="center"/>
              <w:rPr>
                <w:rFonts w:hint="eastAsia" w:ascii="宋体" w:hAnsi="宋体" w:eastAsia="宋体" w:cs="宋体"/>
                <w:i w:val="0"/>
                <w:iCs w:val="0"/>
                <w:color w:val="000000"/>
                <w:sz w:val="18"/>
                <w:szCs w:val="18"/>
                <w:u w:val="none"/>
              </w:rPr>
            </w:pPr>
          </w:p>
        </w:tc>
        <w:tc>
          <w:tcPr>
            <w:tcW w:w="45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31D8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2368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680" w:type="pct"/>
          <w:trHeight w:val="391" w:hRule="atLeast"/>
        </w:trPr>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FE9C9">
            <w:pPr>
              <w:jc w:val="center"/>
              <w:rPr>
                <w:rFonts w:hint="eastAsia" w:ascii="宋体" w:hAnsi="宋体" w:eastAsia="宋体" w:cs="宋体"/>
                <w:i w:val="0"/>
                <w:iCs w:val="0"/>
                <w:color w:val="000000"/>
                <w:sz w:val="18"/>
                <w:szCs w:val="18"/>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4A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8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68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6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5E5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5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8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E3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7F253">
            <w:pPr>
              <w:rPr>
                <w:rFonts w:hint="eastAsia" w:ascii="黑体" w:hAnsi="黑体" w:eastAsia="黑体" w:cs="黑体"/>
                <w:i/>
                <w:iCs/>
                <w:color w:val="000000"/>
                <w:sz w:val="18"/>
                <w:szCs w:val="18"/>
                <w:u w:val="none"/>
              </w:rPr>
            </w:pPr>
          </w:p>
        </w:tc>
      </w:tr>
      <w:tr w14:paraId="4F75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680" w:type="pct"/>
          <w:trHeight w:val="407" w:hRule="atLeast"/>
        </w:trPr>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64F34">
            <w:pPr>
              <w:jc w:val="center"/>
              <w:rPr>
                <w:rFonts w:hint="eastAsia" w:ascii="宋体" w:hAnsi="宋体" w:eastAsia="宋体" w:cs="宋体"/>
                <w:i w:val="0"/>
                <w:iCs w:val="0"/>
                <w:color w:val="000000"/>
                <w:sz w:val="18"/>
                <w:szCs w:val="18"/>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88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9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45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ED6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B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78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15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EBEA2">
            <w:pPr>
              <w:rPr>
                <w:rFonts w:hint="eastAsia" w:ascii="黑体" w:hAnsi="黑体" w:eastAsia="黑体" w:cs="黑体"/>
                <w:i/>
                <w:iCs/>
                <w:color w:val="000000"/>
                <w:sz w:val="18"/>
                <w:szCs w:val="18"/>
                <w:u w:val="none"/>
              </w:rPr>
            </w:pPr>
          </w:p>
        </w:tc>
      </w:tr>
      <w:tr w14:paraId="19CF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680" w:type="pct"/>
          <w:trHeight w:val="361" w:hRule="atLeast"/>
        </w:trPr>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45225">
            <w:pPr>
              <w:jc w:val="center"/>
              <w:rPr>
                <w:rFonts w:hint="eastAsia" w:ascii="宋体" w:hAnsi="宋体" w:eastAsia="宋体" w:cs="宋体"/>
                <w:i w:val="0"/>
                <w:iCs w:val="0"/>
                <w:color w:val="000000"/>
                <w:sz w:val="18"/>
                <w:szCs w:val="18"/>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EC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1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B9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516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0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C8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94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91C38">
            <w:pPr>
              <w:rPr>
                <w:rFonts w:hint="eastAsia" w:ascii="黑体" w:hAnsi="黑体" w:eastAsia="黑体" w:cs="黑体"/>
                <w:i/>
                <w:iCs/>
                <w:color w:val="000000"/>
                <w:sz w:val="18"/>
                <w:szCs w:val="18"/>
                <w:u w:val="none"/>
              </w:rPr>
            </w:pPr>
          </w:p>
        </w:tc>
      </w:tr>
      <w:tr w14:paraId="6BC50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680" w:type="pct"/>
          <w:trHeight w:val="339" w:hRule="atLeast"/>
        </w:trPr>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9710B">
            <w:pPr>
              <w:jc w:val="center"/>
              <w:rPr>
                <w:rFonts w:hint="eastAsia" w:ascii="宋体" w:hAnsi="宋体" w:eastAsia="宋体" w:cs="宋体"/>
                <w:i w:val="0"/>
                <w:iCs w:val="0"/>
                <w:color w:val="000000"/>
                <w:sz w:val="18"/>
                <w:szCs w:val="18"/>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22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CB32">
            <w:pPr>
              <w:jc w:val="center"/>
              <w:rPr>
                <w:rFonts w:hint="eastAsia" w:ascii="微软雅黑" w:hAnsi="微软雅黑" w:eastAsia="微软雅黑" w:cs="微软雅黑"/>
                <w:i/>
                <w:iCs/>
                <w:color w:val="000000"/>
                <w:sz w:val="16"/>
                <w:szCs w:val="16"/>
                <w:u w:val="none"/>
              </w:rPr>
            </w:pP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86A79">
            <w:pPr>
              <w:jc w:val="center"/>
              <w:rPr>
                <w:rFonts w:hint="eastAsia" w:ascii="微软雅黑" w:hAnsi="微软雅黑" w:eastAsia="微软雅黑" w:cs="微软雅黑"/>
                <w:i/>
                <w:iCs/>
                <w:color w:val="000000"/>
                <w:sz w:val="16"/>
                <w:szCs w:val="16"/>
                <w:u w:val="none"/>
              </w:rPr>
            </w:pPr>
          </w:p>
        </w:tc>
        <w:tc>
          <w:tcPr>
            <w:tcW w:w="6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CCCDF3">
            <w:pPr>
              <w:jc w:val="center"/>
              <w:rPr>
                <w:rFonts w:hint="eastAsia" w:ascii="微软雅黑" w:hAnsi="微软雅黑" w:eastAsia="微软雅黑" w:cs="微软雅黑"/>
                <w:i/>
                <w:iCs/>
                <w:color w:val="000000"/>
                <w:sz w:val="16"/>
                <w:szCs w:val="16"/>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66F2A">
            <w:pPr>
              <w:jc w:val="center"/>
              <w:rPr>
                <w:rFonts w:hint="eastAsia" w:ascii="微软雅黑" w:hAnsi="微软雅黑" w:eastAsia="微软雅黑" w:cs="微软雅黑"/>
                <w:i/>
                <w:iCs/>
                <w:color w:val="000000"/>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D3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52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CAB55">
            <w:pPr>
              <w:rPr>
                <w:rFonts w:hint="eastAsia" w:ascii="黑体" w:hAnsi="黑体" w:eastAsia="黑体" w:cs="黑体"/>
                <w:i/>
                <w:iCs/>
                <w:color w:val="000000"/>
                <w:sz w:val="18"/>
                <w:szCs w:val="18"/>
                <w:u w:val="none"/>
              </w:rPr>
            </w:pPr>
          </w:p>
        </w:tc>
      </w:tr>
      <w:tr w14:paraId="48588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680" w:type="pct"/>
          <w:trHeight w:val="452" w:hRule="atLeast"/>
        </w:trPr>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F8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25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7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91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0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29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7D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9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F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C6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73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8E9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680" w:type="pct"/>
          <w:trHeight w:val="339" w:hRule="atLeast"/>
        </w:trPr>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58AEF">
            <w:pPr>
              <w:jc w:val="center"/>
              <w:rPr>
                <w:rFonts w:hint="eastAsia" w:ascii="宋体" w:hAnsi="宋体" w:eastAsia="宋体" w:cs="宋体"/>
                <w:i w:val="0"/>
                <w:iCs w:val="0"/>
                <w:color w:val="000000"/>
                <w:sz w:val="18"/>
                <w:szCs w:val="18"/>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75415">
            <w:pPr>
              <w:jc w:val="center"/>
              <w:rPr>
                <w:rFonts w:hint="eastAsia" w:ascii="宋体" w:hAnsi="宋体" w:eastAsia="宋体" w:cs="宋体"/>
                <w:i w:val="0"/>
                <w:iCs w:val="0"/>
                <w:color w:val="000000"/>
                <w:sz w:val="18"/>
                <w:szCs w:val="18"/>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1F7C">
            <w:pPr>
              <w:jc w:val="center"/>
              <w:rPr>
                <w:rFonts w:hint="eastAsia" w:ascii="宋体" w:hAnsi="宋体" w:eastAsia="宋体" w:cs="宋体"/>
                <w:i w:val="0"/>
                <w:iCs w:val="0"/>
                <w:color w:val="000000"/>
                <w:sz w:val="18"/>
                <w:szCs w:val="18"/>
                <w:u w:val="none"/>
              </w:rPr>
            </w:pP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E895D">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2559">
            <w:pPr>
              <w:jc w:val="center"/>
              <w:rPr>
                <w:rFonts w:hint="eastAsia" w:ascii="宋体" w:hAnsi="宋体" w:eastAsia="宋体" w:cs="宋体"/>
                <w:i w:val="0"/>
                <w:iCs w:val="0"/>
                <w:color w:val="000000"/>
                <w:sz w:val="18"/>
                <w:szCs w:val="18"/>
                <w:u w:val="none"/>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BE918">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FC6C">
            <w:pPr>
              <w:jc w:val="center"/>
              <w:rPr>
                <w:rFonts w:hint="eastAsia" w:ascii="宋体" w:hAnsi="宋体" w:eastAsia="宋体" w:cs="宋体"/>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E746">
            <w:pPr>
              <w:jc w:val="center"/>
              <w:rPr>
                <w:rFonts w:hint="eastAsia" w:ascii="微软雅黑" w:hAnsi="微软雅黑" w:eastAsia="微软雅黑" w:cs="微软雅黑"/>
                <w:i/>
                <w:iCs/>
                <w:color w:val="000000"/>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5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E2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618D6">
            <w:pPr>
              <w:jc w:val="center"/>
              <w:rPr>
                <w:rFonts w:hint="eastAsia" w:ascii="微软雅黑" w:hAnsi="微软雅黑" w:eastAsia="微软雅黑" w:cs="微软雅黑"/>
                <w:i/>
                <w:iCs/>
                <w:color w:val="000000"/>
                <w:sz w:val="16"/>
                <w:szCs w:val="16"/>
                <w:u w:val="none"/>
              </w:rPr>
            </w:pPr>
          </w:p>
        </w:tc>
      </w:tr>
      <w:tr w14:paraId="22368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680" w:type="pct"/>
          <w:trHeight w:val="286" w:hRule="atLeast"/>
        </w:trPr>
        <w:tc>
          <w:tcPr>
            <w:tcW w:w="233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3F3B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5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39B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A2AA7">
            <w:pPr>
              <w:rPr>
                <w:rFonts w:hint="eastAsia" w:ascii="宋体" w:hAnsi="宋体" w:eastAsia="宋体" w:cs="宋体"/>
                <w:i w:val="0"/>
                <w:iCs w:val="0"/>
                <w:color w:val="000000"/>
                <w:sz w:val="18"/>
                <w:szCs w:val="18"/>
                <w:u w:val="none"/>
              </w:rPr>
            </w:pPr>
          </w:p>
        </w:tc>
      </w:tr>
      <w:tr w14:paraId="2DE4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680" w:type="pct"/>
          <w:trHeight w:val="603" w:hRule="atLeast"/>
        </w:trPr>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CB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301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63F104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保障“三区”人才教师工资、保险等福利待遇。稳定教师队伍，促进教师队伍的整体素质提升。</w:t>
            </w:r>
          </w:p>
        </w:tc>
      </w:tr>
      <w:tr w14:paraId="31DA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680" w:type="pct"/>
          <w:trHeight w:val="572" w:hRule="atLeast"/>
        </w:trPr>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64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301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20619C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466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680" w:type="pct"/>
          <w:trHeight w:val="633" w:hRule="atLeast"/>
        </w:trPr>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DD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301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DAB6C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780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680" w:type="pct"/>
          <w:trHeight w:val="286" w:hRule="atLeast"/>
        </w:trPr>
        <w:tc>
          <w:tcPr>
            <w:tcW w:w="145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9563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项目负责人：李加平</w:t>
            </w:r>
          </w:p>
        </w:tc>
        <w:tc>
          <w:tcPr>
            <w:tcW w:w="18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F114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财务负责人：程朝进</w:t>
            </w:r>
          </w:p>
        </w:tc>
      </w:tr>
      <w:tr w14:paraId="33D8B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904" w:hRule="atLeast"/>
        </w:trPr>
        <w:tc>
          <w:tcPr>
            <w:tcW w:w="4953"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8EEBA9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AAB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286" w:hRule="atLeast"/>
        </w:trPr>
        <w:tc>
          <w:tcPr>
            <w:tcW w:w="9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1C0B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92"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2840D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51113222T000005585431-义务教育公用经费</w:t>
            </w:r>
          </w:p>
        </w:tc>
      </w:tr>
      <w:tr w14:paraId="466EC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512" w:hRule="atLeast"/>
        </w:trPr>
        <w:tc>
          <w:tcPr>
            <w:tcW w:w="9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8308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7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86045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峨边彝族自治县教育局本级</w:t>
            </w:r>
          </w:p>
        </w:tc>
        <w:tc>
          <w:tcPr>
            <w:tcW w:w="446" w:type="pct"/>
            <w:tcBorders>
              <w:top w:val="nil"/>
              <w:left w:val="nil"/>
              <w:bottom w:val="nil"/>
              <w:right w:val="nil"/>
            </w:tcBorders>
            <w:shd w:val="clear" w:color="auto" w:fill="auto"/>
            <w:vAlign w:val="center"/>
          </w:tcPr>
          <w:p w14:paraId="60513F0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9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E5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峨边彝族自治县五渡镇中心小学</w:t>
            </w:r>
          </w:p>
        </w:tc>
      </w:tr>
      <w:tr w14:paraId="2981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286" w:hRule="atLeast"/>
        </w:trPr>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C21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4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855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7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8B5A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4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1A74D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03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708" w:hRule="atLeast"/>
        </w:trPr>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23902">
            <w:pPr>
              <w:rPr>
                <w:rFonts w:hint="eastAsia" w:ascii="宋体" w:hAnsi="宋体" w:eastAsia="宋体" w:cs="宋体"/>
                <w:i w:val="0"/>
                <w:iCs w:val="0"/>
                <w:color w:val="000000"/>
                <w:sz w:val="18"/>
                <w:szCs w:val="18"/>
                <w:u w:val="none"/>
              </w:rPr>
            </w:pPr>
          </w:p>
        </w:tc>
        <w:tc>
          <w:tcPr>
            <w:tcW w:w="64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B7983">
            <w:pPr>
              <w:rPr>
                <w:rFonts w:hint="eastAsia" w:ascii="宋体" w:hAnsi="宋体" w:eastAsia="宋体" w:cs="宋体"/>
                <w:i w:val="0"/>
                <w:iCs w:val="0"/>
                <w:color w:val="000000"/>
                <w:sz w:val="18"/>
                <w:szCs w:val="18"/>
                <w:u w:val="none"/>
              </w:rPr>
            </w:pPr>
          </w:p>
        </w:tc>
        <w:tc>
          <w:tcPr>
            <w:tcW w:w="257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8999D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《川财教</w:t>
            </w:r>
            <w:r>
              <w:rPr>
                <w:rFonts w:hint="eastAsia" w:ascii="宋体" w:hAnsi="宋体" w:cs="宋体"/>
                <w:i w:val="0"/>
                <w:iCs w:val="0"/>
                <w:color w:val="000000"/>
                <w:kern w:val="0"/>
                <w:sz w:val="18"/>
                <w:szCs w:val="18"/>
                <w:u w:val="none"/>
                <w:lang w:val="en-US" w:eastAsia="zh-CN" w:bidi="ar"/>
              </w:rPr>
              <w:t>〔2020〕117号</w:t>
            </w:r>
            <w:r>
              <w:rPr>
                <w:rFonts w:ascii="宋体" w:hAnsi="宋体" w:eastAsia="宋体" w:cs="宋体"/>
                <w:i w:val="0"/>
                <w:iCs w:val="0"/>
                <w:color w:val="000000"/>
                <w:kern w:val="0"/>
                <w:sz w:val="18"/>
                <w:szCs w:val="18"/>
                <w:u w:val="none"/>
                <w:lang w:val="en-US" w:eastAsia="zh-CN" w:bidi="ar"/>
              </w:rPr>
              <w:t>》要求，从2020年春学期起，小学650元，初中850元，寄宿生生均增加200元，特教学生6000元，县配套小学20元，初中40元，不足100人小规模学校按100人核定。</w:t>
            </w:r>
          </w:p>
        </w:tc>
        <w:tc>
          <w:tcPr>
            <w:tcW w:w="14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3498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B11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693" w:hRule="atLeast"/>
        </w:trPr>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7E594">
            <w:pPr>
              <w:rPr>
                <w:rFonts w:hint="eastAsia" w:ascii="宋体" w:hAnsi="宋体" w:eastAsia="宋体" w:cs="宋体"/>
                <w:i w:val="0"/>
                <w:iCs w:val="0"/>
                <w:color w:val="000000"/>
                <w:sz w:val="18"/>
                <w:szCs w:val="18"/>
                <w:u w:val="none"/>
              </w:rPr>
            </w:pPr>
          </w:p>
        </w:tc>
        <w:tc>
          <w:tcPr>
            <w:tcW w:w="6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0E8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92"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8FE3C8F">
            <w:pPr>
              <w:rPr>
                <w:rFonts w:hint="eastAsia" w:ascii="宋体" w:hAnsi="宋体" w:eastAsia="宋体" w:cs="宋体"/>
                <w:i w:val="0"/>
                <w:iCs w:val="0"/>
                <w:color w:val="000000"/>
                <w:sz w:val="18"/>
                <w:szCs w:val="18"/>
                <w:u w:val="none"/>
              </w:rPr>
            </w:pPr>
          </w:p>
        </w:tc>
      </w:tr>
      <w:tr w14:paraId="5360E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361" w:hRule="atLeast"/>
        </w:trPr>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00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C9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47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FBF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D56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C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B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4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F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8CF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346" w:hRule="atLeast"/>
        </w:trPr>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00BFA">
            <w:pPr>
              <w:jc w:val="center"/>
              <w:rPr>
                <w:rFonts w:hint="eastAsia" w:ascii="宋体" w:hAnsi="宋体" w:eastAsia="宋体" w:cs="宋体"/>
                <w:i w:val="0"/>
                <w:iCs w:val="0"/>
                <w:color w:val="000000"/>
                <w:sz w:val="18"/>
                <w:szCs w:val="18"/>
                <w:u w:val="none"/>
              </w:rPr>
            </w:pPr>
          </w:p>
        </w:tc>
        <w:tc>
          <w:tcPr>
            <w:tcW w:w="6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7E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47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38.64</w:t>
            </w:r>
          </w:p>
        </w:tc>
        <w:tc>
          <w:tcPr>
            <w:tcW w:w="1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DC8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41.57</w:t>
            </w:r>
          </w:p>
        </w:tc>
        <w:tc>
          <w:tcPr>
            <w:tcW w:w="8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ED8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B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5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F123">
            <w:pPr>
              <w:jc w:val="center"/>
              <w:rPr>
                <w:rFonts w:hint="eastAsia" w:ascii="宋体" w:hAnsi="宋体" w:eastAsia="宋体" w:cs="宋体"/>
                <w:i w:val="0"/>
                <w:iCs w:val="0"/>
                <w:color w:val="000000"/>
                <w:sz w:val="18"/>
                <w:szCs w:val="18"/>
                <w:u w:val="none"/>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396E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9B67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391" w:hRule="atLeast"/>
        </w:trPr>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1D085">
            <w:pPr>
              <w:jc w:val="center"/>
              <w:rPr>
                <w:rFonts w:hint="eastAsia" w:ascii="宋体" w:hAnsi="宋体" w:eastAsia="宋体" w:cs="宋体"/>
                <w:i w:val="0"/>
                <w:iCs w:val="0"/>
                <w:color w:val="000000"/>
                <w:sz w:val="18"/>
                <w:szCs w:val="18"/>
                <w:u w:val="none"/>
              </w:rPr>
            </w:pPr>
          </w:p>
        </w:tc>
        <w:tc>
          <w:tcPr>
            <w:tcW w:w="6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C7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B1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38.64</w:t>
            </w:r>
          </w:p>
        </w:tc>
        <w:tc>
          <w:tcPr>
            <w:tcW w:w="1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5D1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41.57</w:t>
            </w:r>
          </w:p>
        </w:tc>
        <w:tc>
          <w:tcPr>
            <w:tcW w:w="8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ABA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8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F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5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0CD17">
            <w:pPr>
              <w:rPr>
                <w:rFonts w:hint="eastAsia" w:ascii="黑体" w:hAnsi="黑体" w:eastAsia="黑体" w:cs="黑体"/>
                <w:i/>
                <w:iCs/>
                <w:color w:val="000000"/>
                <w:sz w:val="18"/>
                <w:szCs w:val="18"/>
                <w:u w:val="none"/>
              </w:rPr>
            </w:pPr>
          </w:p>
        </w:tc>
      </w:tr>
      <w:tr w14:paraId="68FCE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407" w:hRule="atLeast"/>
        </w:trPr>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17863">
            <w:pPr>
              <w:jc w:val="center"/>
              <w:rPr>
                <w:rFonts w:hint="eastAsia" w:ascii="宋体" w:hAnsi="宋体" w:eastAsia="宋体" w:cs="宋体"/>
                <w:i w:val="0"/>
                <w:iCs w:val="0"/>
                <w:color w:val="000000"/>
                <w:sz w:val="18"/>
                <w:szCs w:val="18"/>
                <w:u w:val="none"/>
              </w:rPr>
            </w:pPr>
          </w:p>
        </w:tc>
        <w:tc>
          <w:tcPr>
            <w:tcW w:w="6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E5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35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34E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7EF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9D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9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6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3E32F">
            <w:pPr>
              <w:rPr>
                <w:rFonts w:hint="eastAsia" w:ascii="黑体" w:hAnsi="黑体" w:eastAsia="黑体" w:cs="黑体"/>
                <w:i/>
                <w:iCs/>
                <w:color w:val="000000"/>
                <w:sz w:val="18"/>
                <w:szCs w:val="18"/>
                <w:u w:val="none"/>
              </w:rPr>
            </w:pPr>
          </w:p>
        </w:tc>
      </w:tr>
      <w:tr w14:paraId="4532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361" w:hRule="atLeast"/>
        </w:trPr>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78BF1">
            <w:pPr>
              <w:jc w:val="center"/>
              <w:rPr>
                <w:rFonts w:hint="eastAsia" w:ascii="宋体" w:hAnsi="宋体" w:eastAsia="宋体" w:cs="宋体"/>
                <w:i w:val="0"/>
                <w:iCs w:val="0"/>
                <w:color w:val="000000"/>
                <w:sz w:val="18"/>
                <w:szCs w:val="18"/>
                <w:u w:val="none"/>
              </w:rPr>
            </w:pPr>
          </w:p>
        </w:tc>
        <w:tc>
          <w:tcPr>
            <w:tcW w:w="6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20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FE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6C1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6CF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3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E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C4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FAA86">
            <w:pPr>
              <w:rPr>
                <w:rFonts w:hint="eastAsia" w:ascii="黑体" w:hAnsi="黑体" w:eastAsia="黑体" w:cs="黑体"/>
                <w:i/>
                <w:iCs/>
                <w:color w:val="000000"/>
                <w:sz w:val="18"/>
                <w:szCs w:val="18"/>
                <w:u w:val="none"/>
              </w:rPr>
            </w:pPr>
          </w:p>
        </w:tc>
      </w:tr>
      <w:tr w14:paraId="7D283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339" w:hRule="atLeast"/>
        </w:trPr>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39340">
            <w:pPr>
              <w:jc w:val="center"/>
              <w:rPr>
                <w:rFonts w:hint="eastAsia" w:ascii="宋体" w:hAnsi="宋体" w:eastAsia="宋体" w:cs="宋体"/>
                <w:i w:val="0"/>
                <w:iCs w:val="0"/>
                <w:color w:val="000000"/>
                <w:sz w:val="18"/>
                <w:szCs w:val="18"/>
                <w:u w:val="none"/>
              </w:rPr>
            </w:pPr>
          </w:p>
        </w:tc>
        <w:tc>
          <w:tcPr>
            <w:tcW w:w="6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D71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4E4FE">
            <w:pPr>
              <w:jc w:val="center"/>
              <w:rPr>
                <w:rFonts w:hint="eastAsia" w:ascii="微软雅黑" w:hAnsi="微软雅黑" w:eastAsia="微软雅黑" w:cs="微软雅黑"/>
                <w:i/>
                <w:iCs/>
                <w:color w:val="000000"/>
                <w:sz w:val="16"/>
                <w:szCs w:val="16"/>
                <w:u w:val="none"/>
              </w:rPr>
            </w:pPr>
          </w:p>
        </w:tc>
        <w:tc>
          <w:tcPr>
            <w:tcW w:w="1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7870ED">
            <w:pPr>
              <w:jc w:val="center"/>
              <w:rPr>
                <w:rFonts w:hint="eastAsia" w:ascii="微软雅黑" w:hAnsi="微软雅黑" w:eastAsia="微软雅黑" w:cs="微软雅黑"/>
                <w:i/>
                <w:iCs/>
                <w:color w:val="000000"/>
                <w:sz w:val="16"/>
                <w:szCs w:val="16"/>
                <w:u w:val="none"/>
              </w:rPr>
            </w:pPr>
          </w:p>
        </w:tc>
        <w:tc>
          <w:tcPr>
            <w:tcW w:w="8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B11000">
            <w:pPr>
              <w:jc w:val="center"/>
              <w:rPr>
                <w:rFonts w:hint="eastAsia" w:ascii="微软雅黑" w:hAnsi="微软雅黑" w:eastAsia="微软雅黑" w:cs="微软雅黑"/>
                <w:i/>
                <w:iCs/>
                <w:color w:val="000000"/>
                <w:sz w:val="16"/>
                <w:szCs w:val="16"/>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9814">
            <w:pPr>
              <w:jc w:val="center"/>
              <w:rPr>
                <w:rFonts w:hint="eastAsia" w:ascii="微软雅黑" w:hAnsi="微软雅黑" w:eastAsia="微软雅黑" w:cs="微软雅黑"/>
                <w:i/>
                <w:iCs/>
                <w:color w:val="000000"/>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3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6B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71903">
            <w:pPr>
              <w:rPr>
                <w:rFonts w:hint="eastAsia" w:ascii="黑体" w:hAnsi="黑体" w:eastAsia="黑体" w:cs="黑体"/>
                <w:i/>
                <w:iCs/>
                <w:color w:val="000000"/>
                <w:sz w:val="18"/>
                <w:szCs w:val="18"/>
                <w:u w:val="none"/>
              </w:rPr>
            </w:pPr>
          </w:p>
        </w:tc>
      </w:tr>
      <w:tr w14:paraId="2C528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452" w:hRule="atLeast"/>
        </w:trPr>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09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DD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5A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FD4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F4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6D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4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B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1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61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6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A613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339" w:hRule="atLeast"/>
        </w:trPr>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B08A0">
            <w:pPr>
              <w:jc w:val="center"/>
              <w:rPr>
                <w:rFonts w:hint="eastAsia" w:ascii="宋体" w:hAnsi="宋体" w:eastAsia="宋体" w:cs="宋体"/>
                <w:i w:val="0"/>
                <w:iCs w:val="0"/>
                <w:color w:val="000000"/>
                <w:sz w:val="18"/>
                <w:szCs w:val="18"/>
                <w:u w:val="none"/>
              </w:rPr>
            </w:pPr>
          </w:p>
        </w:tc>
        <w:tc>
          <w:tcPr>
            <w:tcW w:w="64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D9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D9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C52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C6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56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E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3A2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405人</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9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4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4AF6">
            <w:pPr>
              <w:jc w:val="center"/>
              <w:rPr>
                <w:rFonts w:hint="eastAsia" w:ascii="微软雅黑" w:hAnsi="微软雅黑" w:eastAsia="微软雅黑" w:cs="微软雅黑"/>
                <w:i/>
                <w:iCs/>
                <w:color w:val="000000"/>
                <w:sz w:val="16"/>
                <w:szCs w:val="16"/>
                <w:u w:val="none"/>
              </w:rPr>
            </w:pPr>
          </w:p>
        </w:tc>
      </w:tr>
      <w:tr w14:paraId="2F87B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339" w:hRule="atLeast"/>
        </w:trPr>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0ADAC">
            <w:pPr>
              <w:jc w:val="center"/>
              <w:rPr>
                <w:rFonts w:hint="eastAsia" w:ascii="宋体" w:hAnsi="宋体" w:eastAsia="宋体" w:cs="宋体"/>
                <w:i w:val="0"/>
                <w:iCs w:val="0"/>
                <w:color w:val="000000"/>
                <w:sz w:val="18"/>
                <w:szCs w:val="18"/>
                <w:u w:val="none"/>
              </w:rPr>
            </w:pPr>
          </w:p>
        </w:tc>
        <w:tc>
          <w:tcPr>
            <w:tcW w:w="64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0837B">
            <w:pPr>
              <w:jc w:val="center"/>
              <w:rPr>
                <w:rFonts w:hint="eastAsia" w:ascii="宋体" w:hAnsi="宋体" w:eastAsia="宋体" w:cs="宋体"/>
                <w:i w:val="0"/>
                <w:iCs w:val="0"/>
                <w:color w:val="000000"/>
                <w:sz w:val="18"/>
                <w:szCs w:val="18"/>
                <w:u w:val="none"/>
              </w:rPr>
            </w:pP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02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F4C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1C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57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B4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0DC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5年</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6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6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2B74B">
            <w:pPr>
              <w:jc w:val="center"/>
              <w:rPr>
                <w:rFonts w:hint="eastAsia" w:ascii="微软雅黑" w:hAnsi="微软雅黑" w:eastAsia="微软雅黑" w:cs="微软雅黑"/>
                <w:i/>
                <w:iCs/>
                <w:color w:val="000000"/>
                <w:sz w:val="16"/>
                <w:szCs w:val="16"/>
                <w:u w:val="none"/>
              </w:rPr>
            </w:pPr>
          </w:p>
        </w:tc>
      </w:tr>
      <w:tr w14:paraId="4063C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339" w:hRule="atLeast"/>
        </w:trPr>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1CCA7">
            <w:pPr>
              <w:jc w:val="center"/>
              <w:rPr>
                <w:rFonts w:hint="eastAsia" w:ascii="宋体" w:hAnsi="宋体" w:eastAsia="宋体" w:cs="宋体"/>
                <w:i w:val="0"/>
                <w:iCs w:val="0"/>
                <w:color w:val="000000"/>
                <w:sz w:val="18"/>
                <w:szCs w:val="18"/>
                <w:u w:val="none"/>
              </w:rPr>
            </w:pPr>
          </w:p>
        </w:tc>
        <w:tc>
          <w:tcPr>
            <w:tcW w:w="6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51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5A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5A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减轻学生家庭负担</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F2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6F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20A4">
            <w:pPr>
              <w:jc w:val="center"/>
              <w:rPr>
                <w:rFonts w:hint="eastAsia" w:ascii="宋体" w:hAnsi="宋体" w:eastAsia="宋体" w:cs="宋体"/>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EFC4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6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3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BA6D1">
            <w:pPr>
              <w:jc w:val="center"/>
              <w:rPr>
                <w:rFonts w:hint="eastAsia" w:ascii="微软雅黑" w:hAnsi="微软雅黑" w:eastAsia="微软雅黑" w:cs="微软雅黑"/>
                <w:i/>
                <w:iCs/>
                <w:color w:val="000000"/>
                <w:sz w:val="16"/>
                <w:szCs w:val="16"/>
                <w:u w:val="none"/>
              </w:rPr>
            </w:pPr>
          </w:p>
        </w:tc>
      </w:tr>
      <w:tr w14:paraId="042C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452" w:hRule="atLeast"/>
        </w:trPr>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E9336">
            <w:pPr>
              <w:jc w:val="center"/>
              <w:rPr>
                <w:rFonts w:hint="eastAsia" w:ascii="宋体" w:hAnsi="宋体" w:eastAsia="宋体" w:cs="宋体"/>
                <w:i w:val="0"/>
                <w:iCs w:val="0"/>
                <w:color w:val="000000"/>
                <w:sz w:val="18"/>
                <w:szCs w:val="18"/>
                <w:u w:val="none"/>
              </w:rPr>
            </w:pPr>
          </w:p>
        </w:tc>
        <w:tc>
          <w:tcPr>
            <w:tcW w:w="6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990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64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205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学生家长满意度</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C4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58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8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D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B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2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2C3F">
            <w:pPr>
              <w:jc w:val="center"/>
              <w:rPr>
                <w:rFonts w:hint="eastAsia" w:ascii="微软雅黑" w:hAnsi="微软雅黑" w:eastAsia="微软雅黑" w:cs="微软雅黑"/>
                <w:i/>
                <w:iCs/>
                <w:color w:val="000000"/>
                <w:sz w:val="16"/>
                <w:szCs w:val="16"/>
                <w:u w:val="none"/>
              </w:rPr>
            </w:pPr>
          </w:p>
        </w:tc>
      </w:tr>
      <w:tr w14:paraId="2899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452" w:hRule="atLeast"/>
        </w:trPr>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DF899">
            <w:pPr>
              <w:jc w:val="center"/>
              <w:rPr>
                <w:rFonts w:hint="eastAsia" w:ascii="宋体" w:hAnsi="宋体" w:eastAsia="宋体" w:cs="宋体"/>
                <w:i w:val="0"/>
                <w:iCs w:val="0"/>
                <w:color w:val="000000"/>
                <w:sz w:val="18"/>
                <w:szCs w:val="18"/>
                <w:u w:val="none"/>
              </w:rPr>
            </w:pPr>
          </w:p>
        </w:tc>
        <w:tc>
          <w:tcPr>
            <w:tcW w:w="6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3C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49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25F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小学生均拨款标准</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F6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A4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2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A6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670元/年</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A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2C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9E0AA">
            <w:pPr>
              <w:jc w:val="center"/>
              <w:rPr>
                <w:rFonts w:hint="eastAsia" w:ascii="微软雅黑" w:hAnsi="微软雅黑" w:eastAsia="微软雅黑" w:cs="微软雅黑"/>
                <w:i/>
                <w:iCs/>
                <w:color w:val="000000"/>
                <w:sz w:val="16"/>
                <w:szCs w:val="16"/>
                <w:u w:val="none"/>
              </w:rPr>
            </w:pPr>
          </w:p>
        </w:tc>
      </w:tr>
      <w:tr w14:paraId="101A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286" w:hRule="atLeast"/>
        </w:trPr>
        <w:tc>
          <w:tcPr>
            <w:tcW w:w="3978"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495E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71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08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F9EA">
            <w:pPr>
              <w:rPr>
                <w:rFonts w:hint="eastAsia" w:ascii="宋体" w:hAnsi="宋体" w:eastAsia="宋体" w:cs="宋体"/>
                <w:i w:val="0"/>
                <w:iCs w:val="0"/>
                <w:color w:val="000000"/>
                <w:sz w:val="18"/>
                <w:szCs w:val="18"/>
                <w:u w:val="none"/>
              </w:rPr>
            </w:pPr>
          </w:p>
        </w:tc>
      </w:tr>
      <w:tr w14:paraId="66CA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603" w:hRule="atLeast"/>
        </w:trPr>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DD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33"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A496DF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改善学校办学环境，促进学校整体发展，提高学校教学质量。</w:t>
            </w:r>
          </w:p>
        </w:tc>
      </w:tr>
      <w:tr w14:paraId="222C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572" w:hRule="atLeast"/>
        </w:trPr>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7C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33"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793451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2176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633" w:hRule="atLeast"/>
        </w:trPr>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86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33"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41AF39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D2C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6" w:type="pct"/>
          <w:trHeight w:val="286" w:hRule="atLeast"/>
        </w:trPr>
        <w:tc>
          <w:tcPr>
            <w:tcW w:w="2905"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5E5488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项目负责人：李加平</w:t>
            </w:r>
          </w:p>
        </w:tc>
        <w:tc>
          <w:tcPr>
            <w:tcW w:w="204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3831D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财务负责人：程朝进</w:t>
            </w:r>
          </w:p>
        </w:tc>
      </w:tr>
    </w:tbl>
    <w:p w14:paraId="4EC231D0">
      <w:pPr>
        <w:spacing w:line="600" w:lineRule="exact"/>
        <w:jc w:val="center"/>
        <w:outlineLvl w:val="0"/>
        <w:rPr>
          <w:rFonts w:hint="eastAsia" w:ascii="黑体" w:hAnsi="黑体" w:eastAsia="黑体"/>
          <w:sz w:val="44"/>
          <w:szCs w:val="44"/>
        </w:rPr>
      </w:pPr>
    </w:p>
    <w:p w14:paraId="5B9D7F62">
      <w:pPr>
        <w:spacing w:line="600" w:lineRule="exact"/>
        <w:jc w:val="center"/>
        <w:outlineLvl w:val="0"/>
        <w:rPr>
          <w:rFonts w:hint="eastAsia" w:ascii="黑体" w:hAnsi="黑体" w:eastAsia="黑体"/>
          <w:sz w:val="44"/>
          <w:szCs w:val="44"/>
        </w:rPr>
      </w:pPr>
    </w:p>
    <w:p w14:paraId="274F8DA0">
      <w:pPr>
        <w:spacing w:line="600" w:lineRule="exact"/>
        <w:jc w:val="center"/>
        <w:outlineLvl w:val="0"/>
        <w:rPr>
          <w:rFonts w:hint="eastAsia" w:ascii="黑体" w:hAnsi="黑体" w:eastAsia="黑体"/>
          <w:sz w:val="44"/>
          <w:szCs w:val="44"/>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59"/>
        <w:gridCol w:w="891"/>
        <w:gridCol w:w="1186"/>
        <w:gridCol w:w="396"/>
        <w:gridCol w:w="831"/>
        <w:gridCol w:w="396"/>
        <w:gridCol w:w="846"/>
        <w:gridCol w:w="486"/>
        <w:gridCol w:w="486"/>
        <w:gridCol w:w="1369"/>
      </w:tblGrid>
      <w:tr w14:paraId="66E32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57342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C3D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E01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28EC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51113222T000005585431-义务教育公用经费</w:t>
            </w:r>
          </w:p>
        </w:tc>
      </w:tr>
      <w:tr w14:paraId="405C0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B9B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3591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峨边彝族自治县教育局本级</w:t>
            </w:r>
          </w:p>
        </w:tc>
        <w:tc>
          <w:tcPr>
            <w:tcW w:w="386" w:type="pct"/>
            <w:tcBorders>
              <w:top w:val="nil"/>
              <w:left w:val="nil"/>
              <w:bottom w:val="nil"/>
              <w:right w:val="nil"/>
            </w:tcBorders>
            <w:shd w:val="clear" w:color="auto" w:fill="auto"/>
            <w:vAlign w:val="center"/>
          </w:tcPr>
          <w:p w14:paraId="6E01823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2E6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峨边彝族自治县五渡镇中心小学</w:t>
            </w:r>
          </w:p>
        </w:tc>
      </w:tr>
      <w:tr w14:paraId="5C9F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D77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DC3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539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17137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175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076B2">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3CBAE">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8CAF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《川财教</w:t>
            </w:r>
            <w:r>
              <w:rPr>
                <w:rFonts w:hint="eastAsia" w:ascii="宋体" w:hAnsi="宋体" w:cs="宋体"/>
                <w:i w:val="0"/>
                <w:iCs w:val="0"/>
                <w:color w:val="000000"/>
                <w:kern w:val="0"/>
                <w:sz w:val="18"/>
                <w:szCs w:val="18"/>
                <w:u w:val="none"/>
                <w:lang w:val="en-US" w:eastAsia="zh-CN" w:bidi="ar"/>
              </w:rPr>
              <w:t>〔2020〕117号</w:t>
            </w:r>
            <w:r>
              <w:rPr>
                <w:rFonts w:ascii="宋体" w:hAnsi="宋体" w:eastAsia="宋体" w:cs="宋体"/>
                <w:i w:val="0"/>
                <w:iCs w:val="0"/>
                <w:color w:val="000000"/>
                <w:kern w:val="0"/>
                <w:sz w:val="18"/>
                <w:szCs w:val="18"/>
                <w:u w:val="none"/>
                <w:lang w:val="en-US" w:eastAsia="zh-CN" w:bidi="ar"/>
              </w:rPr>
              <w:t>》要求，从2020年春学期起，小学650元，初中850元，寄宿生生均增加200元，特教学生6000元，县配套小学20元，初中40元，不足100人小规模学校按100人核定。</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8D1A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7B7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DFAC1">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7D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DFA22B">
            <w:pPr>
              <w:rPr>
                <w:rFonts w:hint="eastAsia" w:ascii="宋体" w:hAnsi="宋体" w:eastAsia="宋体" w:cs="宋体"/>
                <w:i w:val="0"/>
                <w:iCs w:val="0"/>
                <w:color w:val="000000"/>
                <w:sz w:val="18"/>
                <w:szCs w:val="18"/>
                <w:u w:val="none"/>
              </w:rPr>
            </w:pPr>
          </w:p>
        </w:tc>
      </w:tr>
      <w:tr w14:paraId="4F5B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14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6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7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F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8B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4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C9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9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D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40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7B6A0">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1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A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38.64</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3D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41.57</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A3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B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5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8EAD">
            <w:pPr>
              <w:jc w:val="center"/>
              <w:rPr>
                <w:rFonts w:hint="eastAsia" w:ascii="宋体" w:hAnsi="宋体" w:eastAsia="宋体" w:cs="宋体"/>
                <w:i w:val="0"/>
                <w:iCs w:val="0"/>
                <w:color w:val="000000"/>
                <w:sz w:val="18"/>
                <w:szCs w:val="18"/>
                <w:u w:val="none"/>
              </w:rPr>
            </w:pP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EE42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910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58DB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B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0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38.64</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6B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41.57</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47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7C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9F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0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CC285">
            <w:pPr>
              <w:rPr>
                <w:rFonts w:hint="eastAsia" w:ascii="黑体" w:hAnsi="黑体" w:eastAsia="黑体" w:cs="黑体"/>
                <w:i/>
                <w:iCs/>
                <w:color w:val="000000"/>
                <w:sz w:val="18"/>
                <w:szCs w:val="18"/>
                <w:u w:val="none"/>
              </w:rPr>
            </w:pPr>
          </w:p>
        </w:tc>
      </w:tr>
      <w:tr w14:paraId="77475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742D4">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11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07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3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9A6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9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8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C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9AECD">
            <w:pPr>
              <w:rPr>
                <w:rFonts w:hint="eastAsia" w:ascii="黑体" w:hAnsi="黑体" w:eastAsia="黑体" w:cs="黑体"/>
                <w:i/>
                <w:iCs/>
                <w:color w:val="000000"/>
                <w:sz w:val="18"/>
                <w:szCs w:val="18"/>
                <w:u w:val="none"/>
              </w:rPr>
            </w:pPr>
          </w:p>
        </w:tc>
      </w:tr>
      <w:tr w14:paraId="2DCE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74851">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7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8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1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E2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4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3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B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F0C47">
            <w:pPr>
              <w:rPr>
                <w:rFonts w:hint="eastAsia" w:ascii="黑体" w:hAnsi="黑体" w:eastAsia="黑体" w:cs="黑体"/>
                <w:i/>
                <w:iCs/>
                <w:color w:val="000000"/>
                <w:sz w:val="18"/>
                <w:szCs w:val="18"/>
                <w:u w:val="none"/>
              </w:rPr>
            </w:pPr>
          </w:p>
        </w:tc>
      </w:tr>
      <w:tr w14:paraId="2D73F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E8D54">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1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0ADB6">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A877">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C9BB9">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40E56">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EF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0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984BB">
            <w:pPr>
              <w:rPr>
                <w:rFonts w:hint="eastAsia" w:ascii="黑体" w:hAnsi="黑体" w:eastAsia="黑体" w:cs="黑体"/>
                <w:i/>
                <w:iCs/>
                <w:color w:val="000000"/>
                <w:sz w:val="18"/>
                <w:szCs w:val="18"/>
                <w:u w:val="none"/>
              </w:rPr>
            </w:pPr>
          </w:p>
        </w:tc>
      </w:tr>
      <w:tr w14:paraId="33326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07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34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37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4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5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F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2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5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4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A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9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5A3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B47C4">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41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3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F4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BE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B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5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E4A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405人</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E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2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0339">
            <w:pPr>
              <w:jc w:val="center"/>
              <w:rPr>
                <w:rFonts w:hint="eastAsia" w:ascii="微软雅黑" w:hAnsi="微软雅黑" w:eastAsia="微软雅黑" w:cs="微软雅黑"/>
                <w:i/>
                <w:iCs/>
                <w:color w:val="000000"/>
                <w:sz w:val="16"/>
                <w:szCs w:val="16"/>
                <w:u w:val="none"/>
              </w:rPr>
            </w:pPr>
          </w:p>
        </w:tc>
      </w:tr>
      <w:tr w14:paraId="40099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6DD45">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F66A1">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3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B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6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D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9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83B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5年</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B9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5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618D">
            <w:pPr>
              <w:jc w:val="center"/>
              <w:rPr>
                <w:rFonts w:hint="eastAsia" w:ascii="微软雅黑" w:hAnsi="微软雅黑" w:eastAsia="微软雅黑" w:cs="微软雅黑"/>
                <w:i/>
                <w:iCs/>
                <w:color w:val="000000"/>
                <w:sz w:val="16"/>
                <w:szCs w:val="16"/>
                <w:u w:val="none"/>
              </w:rPr>
            </w:pPr>
          </w:p>
        </w:tc>
      </w:tr>
      <w:tr w14:paraId="0411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8EC49">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9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C3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75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减轻学生家庭负担</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4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8E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0F77">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D61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4A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D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73968">
            <w:pPr>
              <w:jc w:val="center"/>
              <w:rPr>
                <w:rFonts w:hint="eastAsia" w:ascii="微软雅黑" w:hAnsi="微软雅黑" w:eastAsia="微软雅黑" w:cs="微软雅黑"/>
                <w:i/>
                <w:iCs/>
                <w:color w:val="000000"/>
                <w:sz w:val="16"/>
                <w:szCs w:val="16"/>
                <w:u w:val="none"/>
              </w:rPr>
            </w:pPr>
          </w:p>
        </w:tc>
      </w:tr>
      <w:tr w14:paraId="506B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AFBE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5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71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A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学生家长满意度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17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45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9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3E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9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E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0C7F">
            <w:pPr>
              <w:jc w:val="center"/>
              <w:rPr>
                <w:rFonts w:hint="eastAsia" w:ascii="微软雅黑" w:hAnsi="微软雅黑" w:eastAsia="微软雅黑" w:cs="微软雅黑"/>
                <w:i/>
                <w:iCs/>
                <w:color w:val="000000"/>
                <w:sz w:val="16"/>
                <w:szCs w:val="16"/>
                <w:u w:val="none"/>
              </w:rPr>
            </w:pPr>
          </w:p>
        </w:tc>
      </w:tr>
      <w:tr w14:paraId="1E6C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8B010">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D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7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3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小学生均拨款标准</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EC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D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0F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9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670元/年</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D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9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3A21">
            <w:pPr>
              <w:jc w:val="center"/>
              <w:rPr>
                <w:rFonts w:hint="eastAsia" w:ascii="微软雅黑" w:hAnsi="微软雅黑" w:eastAsia="微软雅黑" w:cs="微软雅黑"/>
                <w:i/>
                <w:iCs/>
                <w:color w:val="000000"/>
                <w:sz w:val="16"/>
                <w:szCs w:val="16"/>
                <w:u w:val="none"/>
              </w:rPr>
            </w:pPr>
          </w:p>
        </w:tc>
      </w:tr>
      <w:tr w14:paraId="6F2B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46F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FE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6B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F7A5">
            <w:pPr>
              <w:rPr>
                <w:rFonts w:hint="eastAsia" w:ascii="宋体" w:hAnsi="宋体" w:eastAsia="宋体" w:cs="宋体"/>
                <w:i w:val="0"/>
                <w:iCs w:val="0"/>
                <w:color w:val="000000"/>
                <w:sz w:val="18"/>
                <w:szCs w:val="18"/>
                <w:u w:val="none"/>
              </w:rPr>
            </w:pPr>
          </w:p>
        </w:tc>
      </w:tr>
      <w:tr w14:paraId="3D6A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2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CE9F7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改善学校办学环境，促进学校整体发展，提高学校教学质量。</w:t>
            </w:r>
          </w:p>
        </w:tc>
      </w:tr>
      <w:tr w14:paraId="390B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C2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D819D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7C56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C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CA60E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9A3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7966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项目负责人：李加平</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6217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财务负责人：程朝进</w:t>
            </w:r>
          </w:p>
        </w:tc>
      </w:tr>
    </w:tbl>
    <w:p w14:paraId="7A2AD834">
      <w:pPr>
        <w:spacing w:line="600" w:lineRule="exact"/>
        <w:jc w:val="center"/>
        <w:outlineLvl w:val="0"/>
        <w:rPr>
          <w:rFonts w:hint="eastAsia" w:ascii="黑体" w:hAnsi="黑体" w:eastAsia="黑体"/>
          <w:sz w:val="44"/>
          <w:szCs w:val="44"/>
        </w:rPr>
      </w:pPr>
    </w:p>
    <w:p w14:paraId="0A07A60C">
      <w:pPr>
        <w:spacing w:line="600" w:lineRule="exact"/>
        <w:jc w:val="center"/>
        <w:outlineLvl w:val="0"/>
        <w:rPr>
          <w:rFonts w:hint="eastAsia" w:ascii="黑体" w:hAnsi="黑体" w:eastAsia="黑体"/>
          <w:sz w:val="44"/>
          <w:szCs w:val="44"/>
        </w:rPr>
      </w:pPr>
    </w:p>
    <w:p w14:paraId="0196E68E">
      <w:pPr>
        <w:spacing w:line="600" w:lineRule="exact"/>
        <w:jc w:val="center"/>
        <w:outlineLvl w:val="0"/>
        <w:rPr>
          <w:rFonts w:hint="eastAsia" w:ascii="黑体" w:hAnsi="黑体" w:eastAsia="黑体"/>
          <w:sz w:val="44"/>
          <w:szCs w:val="44"/>
        </w:rPr>
      </w:pPr>
    </w:p>
    <w:p w14:paraId="7A2E0D03">
      <w:pPr>
        <w:spacing w:line="600" w:lineRule="exact"/>
        <w:jc w:val="center"/>
        <w:outlineLvl w:val="0"/>
        <w:rPr>
          <w:rFonts w:hint="eastAsia" w:ascii="黑体" w:hAnsi="黑体" w:eastAsia="黑体"/>
          <w:sz w:val="44"/>
          <w:szCs w:val="44"/>
        </w:rPr>
      </w:pPr>
    </w:p>
    <w:p w14:paraId="2B127F59">
      <w:pPr>
        <w:spacing w:line="600" w:lineRule="exact"/>
        <w:jc w:val="center"/>
        <w:outlineLvl w:val="0"/>
        <w:rPr>
          <w:rFonts w:hint="eastAsia" w:ascii="黑体" w:hAnsi="黑体" w:eastAsia="黑体"/>
          <w:sz w:val="44"/>
          <w:szCs w:val="44"/>
        </w:rPr>
      </w:pPr>
    </w:p>
    <w:p w14:paraId="2EF4EFDF">
      <w:pPr>
        <w:spacing w:line="600" w:lineRule="exact"/>
        <w:jc w:val="center"/>
        <w:outlineLvl w:val="0"/>
        <w:rPr>
          <w:rFonts w:hint="eastAsia" w:ascii="黑体" w:hAnsi="黑体" w:eastAsia="黑体"/>
          <w:sz w:val="44"/>
          <w:szCs w:val="44"/>
        </w:rPr>
      </w:pPr>
    </w:p>
    <w:p w14:paraId="63BA5F6E">
      <w:pPr>
        <w:spacing w:line="600" w:lineRule="exact"/>
        <w:jc w:val="center"/>
        <w:outlineLvl w:val="0"/>
        <w:rPr>
          <w:rFonts w:hint="eastAsia" w:ascii="黑体" w:hAnsi="黑体" w:eastAsia="黑体"/>
          <w:sz w:val="44"/>
          <w:szCs w:val="44"/>
        </w:rPr>
      </w:pPr>
    </w:p>
    <w:p w14:paraId="32B5F338">
      <w:pPr>
        <w:spacing w:line="600" w:lineRule="exact"/>
        <w:jc w:val="center"/>
        <w:outlineLvl w:val="0"/>
        <w:rPr>
          <w:rFonts w:hint="eastAsia" w:ascii="黑体" w:hAnsi="黑体" w:eastAsia="黑体"/>
          <w:sz w:val="44"/>
          <w:szCs w:val="44"/>
        </w:rPr>
      </w:pPr>
    </w:p>
    <w:p w14:paraId="362B0411">
      <w:pPr>
        <w:spacing w:line="600" w:lineRule="exact"/>
        <w:jc w:val="center"/>
        <w:outlineLvl w:val="0"/>
        <w:rPr>
          <w:rFonts w:hint="eastAsia" w:ascii="黑体" w:hAnsi="黑体" w:eastAsia="黑体"/>
          <w:sz w:val="44"/>
          <w:szCs w:val="44"/>
        </w:rPr>
      </w:pPr>
    </w:p>
    <w:p w14:paraId="312CFB46">
      <w:pPr>
        <w:spacing w:line="600" w:lineRule="exact"/>
        <w:jc w:val="center"/>
        <w:outlineLvl w:val="0"/>
        <w:rPr>
          <w:rFonts w:hint="eastAsia" w:ascii="黑体" w:hAnsi="黑体" w:eastAsia="黑体"/>
          <w:sz w:val="44"/>
          <w:szCs w:val="44"/>
        </w:rPr>
      </w:pPr>
    </w:p>
    <w:p w14:paraId="316299DB">
      <w:pPr>
        <w:spacing w:line="600" w:lineRule="exact"/>
        <w:jc w:val="center"/>
        <w:outlineLvl w:val="0"/>
        <w:rPr>
          <w:rFonts w:hint="eastAsia" w:ascii="黑体" w:hAnsi="黑体" w:eastAsia="黑体"/>
          <w:sz w:val="44"/>
          <w:szCs w:val="44"/>
        </w:rPr>
      </w:pPr>
    </w:p>
    <w:p w14:paraId="3B4C8EDC">
      <w:pPr>
        <w:spacing w:line="600" w:lineRule="exact"/>
        <w:jc w:val="center"/>
        <w:outlineLvl w:val="0"/>
        <w:rPr>
          <w:rFonts w:hint="eastAsia" w:ascii="黑体" w:hAnsi="黑体" w:eastAsia="黑体"/>
          <w:sz w:val="44"/>
          <w:szCs w:val="44"/>
        </w:rPr>
      </w:pPr>
    </w:p>
    <w:p w14:paraId="75F4858D">
      <w:pPr>
        <w:spacing w:line="600" w:lineRule="exact"/>
        <w:jc w:val="center"/>
        <w:outlineLvl w:val="0"/>
        <w:rPr>
          <w:rFonts w:hint="eastAsia" w:ascii="黑体" w:hAnsi="黑体" w:eastAsia="黑体"/>
          <w:sz w:val="44"/>
          <w:szCs w:val="44"/>
        </w:rPr>
      </w:pPr>
    </w:p>
    <w:p w14:paraId="1D6EFCCF">
      <w:pPr>
        <w:spacing w:line="600" w:lineRule="exact"/>
        <w:jc w:val="center"/>
        <w:outlineLvl w:val="0"/>
        <w:rPr>
          <w:rFonts w:hint="eastAsia" w:ascii="黑体" w:hAnsi="黑体" w:eastAsia="黑体"/>
          <w:sz w:val="44"/>
          <w:szCs w:val="44"/>
        </w:rPr>
      </w:pPr>
    </w:p>
    <w:p w14:paraId="257B2D8B">
      <w:pPr>
        <w:spacing w:line="600" w:lineRule="exact"/>
        <w:jc w:val="center"/>
        <w:outlineLvl w:val="0"/>
        <w:rPr>
          <w:rFonts w:hint="eastAsia" w:ascii="黑体" w:hAnsi="黑体" w:eastAsia="黑体"/>
          <w:sz w:val="44"/>
          <w:szCs w:val="44"/>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59"/>
        <w:gridCol w:w="891"/>
        <w:gridCol w:w="1186"/>
        <w:gridCol w:w="396"/>
        <w:gridCol w:w="831"/>
        <w:gridCol w:w="396"/>
        <w:gridCol w:w="846"/>
        <w:gridCol w:w="486"/>
        <w:gridCol w:w="486"/>
        <w:gridCol w:w="1369"/>
      </w:tblGrid>
      <w:tr w14:paraId="1311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37D6F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8CB5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DFE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30D2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51113224T000011430131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储备教师工资</w:t>
            </w:r>
          </w:p>
        </w:tc>
      </w:tr>
      <w:tr w14:paraId="615D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AE2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A39A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峨边彝族自治县教育局本级</w:t>
            </w:r>
          </w:p>
        </w:tc>
        <w:tc>
          <w:tcPr>
            <w:tcW w:w="386" w:type="pct"/>
            <w:tcBorders>
              <w:top w:val="nil"/>
              <w:left w:val="nil"/>
              <w:bottom w:val="nil"/>
              <w:right w:val="nil"/>
            </w:tcBorders>
            <w:shd w:val="clear" w:color="auto" w:fill="auto"/>
            <w:vAlign w:val="center"/>
          </w:tcPr>
          <w:p w14:paraId="2D0AF42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26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峨边彝族自治县五渡镇中心小学</w:t>
            </w:r>
          </w:p>
        </w:tc>
      </w:tr>
      <w:tr w14:paraId="1134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514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B3E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827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DECA7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38B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FC09E">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14B1A">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59ED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顶岗实习教师、储备教师、特岗教师等工资等</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1C32A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7ED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93548">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355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2AE4B4">
            <w:pPr>
              <w:rPr>
                <w:rFonts w:hint="eastAsia" w:ascii="宋体" w:hAnsi="宋体" w:eastAsia="宋体" w:cs="宋体"/>
                <w:i w:val="0"/>
                <w:iCs w:val="0"/>
                <w:color w:val="000000"/>
                <w:sz w:val="18"/>
                <w:szCs w:val="18"/>
                <w:u w:val="none"/>
              </w:rPr>
            </w:pPr>
          </w:p>
        </w:tc>
      </w:tr>
      <w:tr w14:paraId="7837C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A8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A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1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C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FF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5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1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C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2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6076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D3ADD">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7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6C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E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65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2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F4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E572">
            <w:pPr>
              <w:jc w:val="center"/>
              <w:rPr>
                <w:rFonts w:hint="eastAsia" w:ascii="宋体" w:hAnsi="宋体" w:eastAsia="宋体" w:cs="宋体"/>
                <w:i w:val="0"/>
                <w:iCs w:val="0"/>
                <w:color w:val="000000"/>
                <w:sz w:val="18"/>
                <w:szCs w:val="18"/>
                <w:u w:val="none"/>
              </w:rPr>
            </w:pP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8856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DE3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B850F">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F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A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0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32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C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F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1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5060B">
            <w:pPr>
              <w:rPr>
                <w:rFonts w:hint="eastAsia" w:ascii="黑体" w:hAnsi="黑体" w:eastAsia="黑体" w:cs="黑体"/>
                <w:i/>
                <w:iCs/>
                <w:color w:val="000000"/>
                <w:sz w:val="18"/>
                <w:szCs w:val="18"/>
                <w:u w:val="none"/>
              </w:rPr>
            </w:pPr>
          </w:p>
        </w:tc>
      </w:tr>
      <w:tr w14:paraId="6DBE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8603A">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C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B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FA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40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0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97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B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7A985">
            <w:pPr>
              <w:rPr>
                <w:rFonts w:hint="eastAsia" w:ascii="黑体" w:hAnsi="黑体" w:eastAsia="黑体" w:cs="黑体"/>
                <w:i/>
                <w:iCs/>
                <w:color w:val="000000"/>
                <w:sz w:val="18"/>
                <w:szCs w:val="18"/>
                <w:u w:val="none"/>
              </w:rPr>
            </w:pPr>
          </w:p>
        </w:tc>
      </w:tr>
      <w:tr w14:paraId="184B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B703F">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F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CF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7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A0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6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C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E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A8C7C">
            <w:pPr>
              <w:rPr>
                <w:rFonts w:hint="eastAsia" w:ascii="黑体" w:hAnsi="黑体" w:eastAsia="黑体" w:cs="黑体"/>
                <w:i/>
                <w:iCs/>
                <w:color w:val="000000"/>
                <w:sz w:val="18"/>
                <w:szCs w:val="18"/>
                <w:u w:val="none"/>
              </w:rPr>
            </w:pPr>
          </w:p>
        </w:tc>
      </w:tr>
      <w:tr w14:paraId="616C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93236">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3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AF92">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AA251">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EF392">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FFC3">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0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E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03264">
            <w:pPr>
              <w:rPr>
                <w:rFonts w:hint="eastAsia" w:ascii="黑体" w:hAnsi="黑体" w:eastAsia="黑体" w:cs="黑体"/>
                <w:i/>
                <w:iCs/>
                <w:color w:val="000000"/>
                <w:sz w:val="18"/>
                <w:szCs w:val="18"/>
                <w:u w:val="none"/>
              </w:rPr>
            </w:pPr>
          </w:p>
        </w:tc>
      </w:tr>
      <w:tr w14:paraId="393C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51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8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E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9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7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C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6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A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F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A2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A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B39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6830E">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E4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A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5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顶岗实习、特岗教师等</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A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4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0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006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10人</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E4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4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88B0">
            <w:pPr>
              <w:jc w:val="center"/>
              <w:rPr>
                <w:rFonts w:hint="eastAsia" w:ascii="微软雅黑" w:hAnsi="微软雅黑" w:eastAsia="微软雅黑" w:cs="微软雅黑"/>
                <w:i/>
                <w:iCs/>
                <w:color w:val="000000"/>
                <w:sz w:val="16"/>
                <w:szCs w:val="16"/>
                <w:u w:val="none"/>
              </w:rPr>
            </w:pPr>
          </w:p>
        </w:tc>
      </w:tr>
      <w:tr w14:paraId="27EBD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895C7">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561E1">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0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6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2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51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A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D731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5年</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1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9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0CBA">
            <w:pPr>
              <w:jc w:val="center"/>
              <w:rPr>
                <w:rFonts w:hint="eastAsia" w:ascii="微软雅黑" w:hAnsi="微软雅黑" w:eastAsia="微软雅黑" w:cs="微软雅黑"/>
                <w:i/>
                <w:iCs/>
                <w:color w:val="000000"/>
                <w:sz w:val="16"/>
                <w:szCs w:val="16"/>
                <w:u w:val="none"/>
              </w:rPr>
            </w:pPr>
          </w:p>
        </w:tc>
      </w:tr>
      <w:tr w14:paraId="4EB3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38911">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57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4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1B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保障人员经费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B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B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保障工资</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67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B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保障工资</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AA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0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1C30D">
            <w:pPr>
              <w:jc w:val="center"/>
              <w:rPr>
                <w:rFonts w:hint="eastAsia" w:ascii="微软雅黑" w:hAnsi="微软雅黑" w:eastAsia="微软雅黑" w:cs="微软雅黑"/>
                <w:i/>
                <w:iCs/>
                <w:color w:val="000000"/>
                <w:sz w:val="16"/>
                <w:szCs w:val="16"/>
                <w:u w:val="none"/>
              </w:rPr>
            </w:pPr>
          </w:p>
        </w:tc>
      </w:tr>
      <w:tr w14:paraId="5342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B18C5">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D5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4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9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学生及社会满意度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D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4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F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E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0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E6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7794">
            <w:pPr>
              <w:jc w:val="center"/>
              <w:rPr>
                <w:rFonts w:hint="eastAsia" w:ascii="微软雅黑" w:hAnsi="微软雅黑" w:eastAsia="微软雅黑" w:cs="微软雅黑"/>
                <w:i/>
                <w:iCs/>
                <w:color w:val="000000"/>
                <w:sz w:val="16"/>
                <w:szCs w:val="16"/>
                <w:u w:val="none"/>
              </w:rPr>
            </w:pPr>
          </w:p>
        </w:tc>
      </w:tr>
      <w:tr w14:paraId="10000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1D1B5">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3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E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3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9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7F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1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F9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20万元</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4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D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D65F">
            <w:pPr>
              <w:jc w:val="center"/>
              <w:rPr>
                <w:rFonts w:hint="eastAsia" w:ascii="微软雅黑" w:hAnsi="微软雅黑" w:eastAsia="微软雅黑" w:cs="微软雅黑"/>
                <w:i/>
                <w:iCs/>
                <w:color w:val="000000"/>
                <w:sz w:val="16"/>
                <w:szCs w:val="16"/>
                <w:u w:val="none"/>
              </w:rPr>
            </w:pPr>
          </w:p>
        </w:tc>
      </w:tr>
      <w:tr w14:paraId="3413E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01F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1E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5B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A1D5">
            <w:pPr>
              <w:rPr>
                <w:rFonts w:hint="eastAsia" w:ascii="宋体" w:hAnsi="宋体" w:eastAsia="宋体" w:cs="宋体"/>
                <w:i w:val="0"/>
                <w:iCs w:val="0"/>
                <w:color w:val="000000"/>
                <w:sz w:val="18"/>
                <w:szCs w:val="18"/>
                <w:u w:val="none"/>
              </w:rPr>
            </w:pPr>
          </w:p>
        </w:tc>
      </w:tr>
      <w:tr w14:paraId="3495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10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9C751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保障顶岗实习教师工资福利待遇。稳定教师队伍，促进教师队伍的整体素质提升。</w:t>
            </w:r>
          </w:p>
        </w:tc>
      </w:tr>
      <w:tr w14:paraId="445D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9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424EC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6955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A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111FA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EED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AF51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项目负责人：李加平</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A1D5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财务负责人：程朝进</w:t>
            </w:r>
          </w:p>
        </w:tc>
      </w:tr>
    </w:tbl>
    <w:p w14:paraId="03F63F8E">
      <w:pPr>
        <w:spacing w:line="600" w:lineRule="exact"/>
        <w:jc w:val="center"/>
        <w:outlineLvl w:val="0"/>
        <w:rPr>
          <w:rFonts w:hint="eastAsia" w:ascii="黑体" w:hAnsi="黑体" w:eastAsia="黑体"/>
          <w:sz w:val="44"/>
          <w:szCs w:val="44"/>
        </w:rPr>
      </w:pPr>
    </w:p>
    <w:p w14:paraId="158E5F49">
      <w:pPr>
        <w:spacing w:line="600" w:lineRule="exact"/>
        <w:jc w:val="center"/>
        <w:outlineLvl w:val="0"/>
        <w:rPr>
          <w:rFonts w:hint="eastAsia" w:ascii="黑体" w:hAnsi="黑体" w:eastAsia="黑体"/>
          <w:sz w:val="44"/>
          <w:szCs w:val="44"/>
        </w:rPr>
      </w:pPr>
    </w:p>
    <w:p w14:paraId="496F61C4">
      <w:pPr>
        <w:spacing w:line="600" w:lineRule="exact"/>
        <w:jc w:val="center"/>
        <w:outlineLvl w:val="0"/>
        <w:rPr>
          <w:rFonts w:hint="eastAsia" w:ascii="黑体" w:hAnsi="黑体" w:eastAsia="黑体"/>
          <w:sz w:val="44"/>
          <w:szCs w:val="44"/>
        </w:rPr>
      </w:pPr>
    </w:p>
    <w:p w14:paraId="1B80F5ED">
      <w:pPr>
        <w:spacing w:line="600" w:lineRule="exact"/>
        <w:jc w:val="center"/>
        <w:outlineLvl w:val="0"/>
        <w:rPr>
          <w:rFonts w:hint="eastAsia" w:ascii="黑体" w:hAnsi="黑体" w:eastAsia="黑体"/>
          <w:sz w:val="44"/>
          <w:szCs w:val="44"/>
        </w:rPr>
      </w:pPr>
    </w:p>
    <w:p w14:paraId="69CD8D03">
      <w:pPr>
        <w:spacing w:line="600" w:lineRule="exact"/>
        <w:jc w:val="center"/>
        <w:outlineLvl w:val="0"/>
        <w:rPr>
          <w:rFonts w:hint="eastAsia" w:ascii="黑体" w:hAnsi="黑体" w:eastAsia="黑体"/>
          <w:sz w:val="44"/>
          <w:szCs w:val="44"/>
        </w:rPr>
      </w:pPr>
    </w:p>
    <w:p w14:paraId="5C811B91">
      <w:pPr>
        <w:spacing w:line="600" w:lineRule="exact"/>
        <w:jc w:val="center"/>
        <w:outlineLvl w:val="0"/>
        <w:rPr>
          <w:rFonts w:hint="eastAsia" w:ascii="黑体" w:hAnsi="黑体" w:eastAsia="黑体"/>
          <w:sz w:val="44"/>
          <w:szCs w:val="44"/>
        </w:rPr>
      </w:pPr>
    </w:p>
    <w:p w14:paraId="01E4C2CE">
      <w:pPr>
        <w:spacing w:line="600" w:lineRule="exact"/>
        <w:jc w:val="center"/>
        <w:outlineLvl w:val="0"/>
        <w:rPr>
          <w:rFonts w:hint="eastAsia" w:ascii="黑体" w:hAnsi="黑体" w:eastAsia="黑体"/>
          <w:sz w:val="44"/>
          <w:szCs w:val="44"/>
        </w:rPr>
      </w:pPr>
    </w:p>
    <w:p w14:paraId="632E2E14">
      <w:pPr>
        <w:spacing w:line="600" w:lineRule="exact"/>
        <w:jc w:val="center"/>
        <w:outlineLvl w:val="0"/>
        <w:rPr>
          <w:rFonts w:hint="eastAsia" w:ascii="黑体" w:hAnsi="黑体" w:eastAsia="黑体"/>
          <w:sz w:val="44"/>
          <w:szCs w:val="44"/>
        </w:rPr>
      </w:pPr>
    </w:p>
    <w:p w14:paraId="6E30F311">
      <w:pPr>
        <w:spacing w:line="600" w:lineRule="exact"/>
        <w:jc w:val="center"/>
        <w:outlineLvl w:val="0"/>
        <w:rPr>
          <w:rFonts w:hint="eastAsia" w:ascii="黑体" w:hAnsi="黑体" w:eastAsia="黑体"/>
          <w:sz w:val="44"/>
          <w:szCs w:val="44"/>
        </w:rPr>
      </w:pPr>
    </w:p>
    <w:p w14:paraId="21DE8542">
      <w:pPr>
        <w:spacing w:line="600" w:lineRule="exact"/>
        <w:jc w:val="center"/>
        <w:outlineLvl w:val="0"/>
        <w:rPr>
          <w:rFonts w:hint="eastAsia" w:ascii="黑体" w:hAnsi="黑体" w:eastAsia="黑体"/>
          <w:sz w:val="44"/>
          <w:szCs w:val="44"/>
        </w:rPr>
      </w:pPr>
    </w:p>
    <w:p w14:paraId="3192590B">
      <w:pPr>
        <w:spacing w:line="600" w:lineRule="exact"/>
        <w:jc w:val="center"/>
        <w:outlineLvl w:val="0"/>
        <w:rPr>
          <w:rFonts w:hint="eastAsia" w:ascii="黑体" w:hAnsi="黑体" w:eastAsia="黑体"/>
          <w:sz w:val="44"/>
          <w:szCs w:val="44"/>
        </w:rPr>
      </w:pPr>
    </w:p>
    <w:p w14:paraId="42801838">
      <w:pPr>
        <w:spacing w:line="600" w:lineRule="exact"/>
        <w:jc w:val="center"/>
        <w:outlineLvl w:val="0"/>
        <w:rPr>
          <w:rFonts w:hint="eastAsia" w:ascii="黑体" w:hAnsi="黑体" w:eastAsia="黑体"/>
          <w:sz w:val="44"/>
          <w:szCs w:val="44"/>
        </w:rPr>
      </w:pPr>
    </w:p>
    <w:p w14:paraId="4AAAA914">
      <w:pPr>
        <w:spacing w:line="600" w:lineRule="exact"/>
        <w:jc w:val="center"/>
        <w:outlineLvl w:val="0"/>
        <w:rPr>
          <w:rFonts w:hint="eastAsia" w:ascii="黑体" w:hAnsi="黑体" w:eastAsia="黑体"/>
          <w:sz w:val="44"/>
          <w:szCs w:val="44"/>
        </w:rPr>
      </w:pPr>
    </w:p>
    <w:p w14:paraId="449E40B5">
      <w:pPr>
        <w:spacing w:line="600" w:lineRule="exact"/>
        <w:jc w:val="center"/>
        <w:outlineLvl w:val="0"/>
        <w:rPr>
          <w:rFonts w:hint="eastAsia" w:ascii="黑体" w:hAnsi="黑体" w:eastAsia="黑体"/>
          <w:sz w:val="44"/>
          <w:szCs w:val="44"/>
        </w:rPr>
      </w:pPr>
    </w:p>
    <w:p w14:paraId="565CA806">
      <w:pPr>
        <w:spacing w:line="600" w:lineRule="exact"/>
        <w:jc w:val="center"/>
        <w:outlineLvl w:val="0"/>
        <w:rPr>
          <w:rFonts w:hint="eastAsia" w:ascii="黑体" w:hAnsi="黑体" w:eastAsia="黑体"/>
          <w:sz w:val="44"/>
          <w:szCs w:val="44"/>
        </w:rPr>
      </w:pPr>
    </w:p>
    <w:p w14:paraId="4AF7CA7D">
      <w:pPr>
        <w:spacing w:line="600" w:lineRule="exact"/>
        <w:jc w:val="center"/>
        <w:outlineLvl w:val="0"/>
        <w:rPr>
          <w:rFonts w:hint="eastAsia" w:ascii="黑体" w:hAnsi="黑体" w:eastAsia="黑体"/>
          <w:sz w:val="44"/>
          <w:szCs w:val="44"/>
        </w:rPr>
      </w:pPr>
    </w:p>
    <w:p w14:paraId="16C74CD4">
      <w:pPr>
        <w:spacing w:line="600" w:lineRule="exact"/>
        <w:jc w:val="center"/>
        <w:outlineLvl w:val="0"/>
        <w:rPr>
          <w:rFonts w:hint="eastAsia" w:ascii="黑体" w:hAnsi="黑体" w:eastAsia="黑体"/>
          <w:sz w:val="44"/>
          <w:szCs w:val="44"/>
        </w:rPr>
      </w:pPr>
    </w:p>
    <w:p w14:paraId="54B358DA">
      <w:pPr>
        <w:spacing w:line="600" w:lineRule="exact"/>
        <w:jc w:val="center"/>
        <w:outlineLvl w:val="0"/>
        <w:rPr>
          <w:rFonts w:hint="eastAsia" w:ascii="黑体" w:hAnsi="黑体" w:eastAsia="黑体"/>
          <w:sz w:val="44"/>
          <w:szCs w:val="44"/>
        </w:rPr>
      </w:pPr>
    </w:p>
    <w:p w14:paraId="6C0430B0">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92"/>
      <w:bookmarkEnd w:id="96"/>
      <w:bookmarkEnd w:id="97"/>
      <w:bookmarkStart w:id="98" w:name="_Toc15396619"/>
    </w:p>
    <w:p w14:paraId="424EC2BF">
      <w:pPr>
        <w:pStyle w:val="3"/>
        <w:rPr>
          <w:rStyle w:val="29"/>
          <w:rFonts w:hint="eastAsia" w:ascii="仿宋" w:hAnsi="仿宋" w:eastAsia="仿宋"/>
          <w:b w:val="0"/>
          <w:bCs w:val="0"/>
        </w:rPr>
      </w:pPr>
      <w:bookmarkStart w:id="99" w:name="_Toc18812"/>
      <w:r>
        <w:rPr>
          <w:rFonts w:hint="eastAsia" w:ascii="仿宋" w:hAnsi="仿宋" w:eastAsia="仿宋"/>
          <w:b w:val="0"/>
        </w:rPr>
        <w:t>一、收</w:t>
      </w:r>
      <w:r>
        <w:rPr>
          <w:rStyle w:val="29"/>
          <w:rFonts w:hint="eastAsia" w:ascii="仿宋" w:hAnsi="仿宋" w:eastAsia="仿宋"/>
          <w:b w:val="0"/>
          <w:bCs w:val="0"/>
        </w:rPr>
        <w:t>入支出决算总表</w:t>
      </w:r>
      <w:bookmarkEnd w:id="98"/>
      <w:bookmarkEnd w:id="99"/>
    </w:p>
    <w:p w14:paraId="51497850"/>
    <w:p w14:paraId="49F0C00A">
      <w:pPr>
        <w:pStyle w:val="3"/>
        <w:rPr>
          <w:rFonts w:ascii="仿宋" w:hAnsi="仿宋" w:eastAsia="仿宋"/>
        </w:rPr>
      </w:pPr>
      <w:bookmarkStart w:id="100" w:name="_Toc10411"/>
      <w:bookmarkStart w:id="101" w:name="_Toc15396620"/>
      <w:r>
        <w:rPr>
          <w:rFonts w:hint="eastAsia" w:ascii="仿宋" w:hAnsi="仿宋" w:eastAsia="仿宋"/>
          <w:b w:val="0"/>
        </w:rPr>
        <w:t>二、收</w:t>
      </w:r>
      <w:r>
        <w:rPr>
          <w:rStyle w:val="29"/>
          <w:rFonts w:hint="eastAsia" w:ascii="仿宋" w:hAnsi="仿宋" w:eastAsia="仿宋"/>
          <w:b w:val="0"/>
          <w:bCs w:val="0"/>
        </w:rPr>
        <w:t>入决算表</w:t>
      </w:r>
      <w:bookmarkEnd w:id="100"/>
      <w:bookmarkEnd w:id="101"/>
    </w:p>
    <w:p w14:paraId="7DDA0C24">
      <w:pPr>
        <w:pStyle w:val="3"/>
        <w:rPr>
          <w:rFonts w:ascii="仿宋" w:hAnsi="仿宋" w:eastAsia="仿宋"/>
        </w:rPr>
      </w:pPr>
      <w:bookmarkStart w:id="102" w:name="_Toc13423"/>
      <w:bookmarkStart w:id="103"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102"/>
      <w:bookmarkEnd w:id="103"/>
    </w:p>
    <w:p w14:paraId="49669A56">
      <w:pPr>
        <w:pStyle w:val="3"/>
        <w:rPr>
          <w:rFonts w:ascii="仿宋" w:hAnsi="仿宋" w:eastAsia="仿宋"/>
          <w:b w:val="0"/>
        </w:rPr>
      </w:pPr>
      <w:bookmarkStart w:id="104" w:name="_Toc15396622"/>
      <w:bookmarkStart w:id="105" w:name="_Toc1116"/>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104"/>
      <w:bookmarkEnd w:id="105"/>
    </w:p>
    <w:p w14:paraId="2922171D">
      <w:pPr>
        <w:pStyle w:val="3"/>
        <w:rPr>
          <w:rStyle w:val="29"/>
          <w:rFonts w:ascii="仿宋" w:hAnsi="仿宋" w:eastAsia="仿宋"/>
          <w:b w:val="0"/>
          <w:bCs w:val="0"/>
        </w:rPr>
      </w:pPr>
      <w:bookmarkStart w:id="106" w:name="_Toc11608"/>
      <w:bookmarkStart w:id="107"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106"/>
      <w:bookmarkEnd w:id="107"/>
      <w:bookmarkStart w:id="108" w:name="_Toc15396624"/>
    </w:p>
    <w:p w14:paraId="7F314989">
      <w:pPr>
        <w:pStyle w:val="3"/>
        <w:rPr>
          <w:rFonts w:ascii="仿宋" w:hAnsi="仿宋" w:eastAsia="仿宋"/>
        </w:rPr>
      </w:pPr>
      <w:bookmarkStart w:id="109" w:name="_Toc20683"/>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108"/>
      <w:bookmarkEnd w:id="109"/>
    </w:p>
    <w:p w14:paraId="53FB5E62">
      <w:pPr>
        <w:pStyle w:val="3"/>
        <w:rPr>
          <w:rFonts w:ascii="仿宋" w:hAnsi="仿宋" w:eastAsia="仿宋"/>
        </w:rPr>
      </w:pPr>
      <w:bookmarkStart w:id="110" w:name="_Toc4393"/>
      <w:bookmarkStart w:id="111"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110"/>
      <w:bookmarkEnd w:id="111"/>
    </w:p>
    <w:p w14:paraId="6115A5BD">
      <w:pPr>
        <w:pStyle w:val="3"/>
        <w:rPr>
          <w:rFonts w:ascii="仿宋" w:hAnsi="仿宋" w:eastAsia="仿宋"/>
        </w:rPr>
      </w:pPr>
      <w:bookmarkStart w:id="112" w:name="_Toc32287"/>
      <w:bookmarkStart w:id="113"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112"/>
      <w:bookmarkEnd w:id="113"/>
    </w:p>
    <w:p w14:paraId="7F106CB3">
      <w:pPr>
        <w:pStyle w:val="3"/>
        <w:rPr>
          <w:rFonts w:ascii="仿宋" w:hAnsi="仿宋" w:eastAsia="仿宋"/>
        </w:rPr>
      </w:pPr>
      <w:bookmarkStart w:id="114" w:name="_Toc25217"/>
      <w:bookmarkStart w:id="115"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114"/>
      <w:bookmarkEnd w:id="115"/>
    </w:p>
    <w:p w14:paraId="034847B0">
      <w:pPr>
        <w:pStyle w:val="3"/>
        <w:rPr>
          <w:rFonts w:ascii="仿宋" w:hAnsi="仿宋" w:eastAsia="仿宋"/>
        </w:rPr>
      </w:pPr>
      <w:bookmarkStart w:id="116" w:name="_Toc15396628"/>
      <w:bookmarkStart w:id="117" w:name="_Toc21308"/>
      <w:r>
        <w:rPr>
          <w:rStyle w:val="29"/>
          <w:rFonts w:hint="eastAsia" w:ascii="仿宋" w:hAnsi="仿宋" w:eastAsia="仿宋"/>
          <w:b w:val="0"/>
          <w:bCs w:val="0"/>
        </w:rPr>
        <w:t>十、</w:t>
      </w:r>
      <w:bookmarkEnd w:id="116"/>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117"/>
    </w:p>
    <w:p w14:paraId="52626C19">
      <w:pPr>
        <w:pStyle w:val="3"/>
        <w:rPr>
          <w:rFonts w:ascii="仿宋" w:hAnsi="仿宋" w:eastAsia="仿宋"/>
        </w:rPr>
      </w:pPr>
      <w:bookmarkStart w:id="118" w:name="_Toc15396629"/>
      <w:bookmarkStart w:id="119" w:name="_Toc2129"/>
      <w:r>
        <w:rPr>
          <w:rStyle w:val="29"/>
          <w:rFonts w:hint="eastAsia" w:ascii="仿宋" w:hAnsi="仿宋" w:eastAsia="仿宋"/>
          <w:b w:val="0"/>
          <w:bCs w:val="0"/>
        </w:rPr>
        <w:t>十一、</w:t>
      </w:r>
      <w:bookmarkEnd w:id="118"/>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19"/>
    </w:p>
    <w:p w14:paraId="4D0E6C0A">
      <w:pPr>
        <w:pStyle w:val="3"/>
        <w:rPr>
          <w:rFonts w:ascii="仿宋" w:hAnsi="仿宋" w:eastAsia="仿宋"/>
        </w:rPr>
      </w:pPr>
      <w:bookmarkStart w:id="120" w:name="_Toc15396630"/>
      <w:bookmarkStart w:id="121" w:name="_Toc28787"/>
      <w:r>
        <w:rPr>
          <w:rStyle w:val="29"/>
          <w:rFonts w:hint="eastAsia" w:ascii="仿宋" w:hAnsi="仿宋" w:eastAsia="仿宋"/>
          <w:b w:val="0"/>
          <w:bCs w:val="0"/>
        </w:rPr>
        <w:t>十二、</w:t>
      </w:r>
      <w:bookmarkEnd w:id="120"/>
      <w:r>
        <w:rPr>
          <w:rStyle w:val="29"/>
          <w:rFonts w:hint="eastAsia" w:ascii="仿宋" w:hAnsi="仿宋" w:eastAsia="仿宋"/>
          <w:b w:val="0"/>
          <w:bCs w:val="0"/>
        </w:rPr>
        <w:t>国有资本经营预算财政拨款支出决算表</w:t>
      </w:r>
      <w:bookmarkEnd w:id="121"/>
    </w:p>
    <w:p w14:paraId="2F0FAFDA">
      <w:pPr>
        <w:pStyle w:val="3"/>
        <w:rPr>
          <w:rFonts w:eastAsia="仿宋"/>
        </w:rPr>
      </w:pPr>
      <w:bookmarkStart w:id="122" w:name="_Toc15396631"/>
      <w:bookmarkStart w:id="123" w:name="_Toc2653"/>
      <w:r>
        <w:rPr>
          <w:rStyle w:val="29"/>
          <w:rFonts w:hint="eastAsia" w:ascii="仿宋" w:hAnsi="仿宋" w:eastAsia="仿宋"/>
          <w:b w:val="0"/>
          <w:bCs w:val="0"/>
        </w:rPr>
        <w:t>十三、</w:t>
      </w:r>
      <w:bookmarkEnd w:id="122"/>
      <w:r>
        <w:rPr>
          <w:rStyle w:val="29"/>
          <w:rFonts w:hint="eastAsia" w:ascii="仿宋" w:hAnsi="仿宋" w:eastAsia="仿宋"/>
          <w:b w:val="0"/>
          <w:bCs w:val="0"/>
        </w:rPr>
        <w:t>财政拨款“三公”经费支出决算表</w:t>
      </w:r>
      <w:bookmarkEnd w:id="12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800248A">
        <w:pPr>
          <w:pStyle w:val="9"/>
          <w:jc w:val="center"/>
        </w:pPr>
        <w:r>
          <w:fldChar w:fldCharType="begin"/>
        </w:r>
        <w:r>
          <w:instrText xml:space="preserve">PAGE   \* MERGEFORMAT</w:instrText>
        </w:r>
        <w:r>
          <w:fldChar w:fldCharType="separate"/>
        </w:r>
        <w:r>
          <w:rPr>
            <w:lang w:val="zh-CN"/>
          </w:rPr>
          <w:t>15</w:t>
        </w:r>
        <w:r>
          <w:fldChar w:fldCharType="end"/>
        </w:r>
      </w:p>
    </w:sdtContent>
  </w:sdt>
  <w:p w14:paraId="2D6D7C2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F5CC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MGUyNzMxZTVlNDNhMThjMmUyOTMzMDRhNzFhZm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8ED6E6B"/>
    <w:rsid w:val="093456D5"/>
    <w:rsid w:val="0A2032A3"/>
    <w:rsid w:val="0B6E7FCF"/>
    <w:rsid w:val="0B8A37D8"/>
    <w:rsid w:val="0C177D5B"/>
    <w:rsid w:val="0C5E75AF"/>
    <w:rsid w:val="0D3E42B5"/>
    <w:rsid w:val="0DD17198"/>
    <w:rsid w:val="0F5FFB2F"/>
    <w:rsid w:val="0FFFCF60"/>
    <w:rsid w:val="10C055FF"/>
    <w:rsid w:val="118107EC"/>
    <w:rsid w:val="11DD6519"/>
    <w:rsid w:val="16BB723D"/>
    <w:rsid w:val="18015F3F"/>
    <w:rsid w:val="1B2D5C7B"/>
    <w:rsid w:val="1B4C3236"/>
    <w:rsid w:val="1BE8440E"/>
    <w:rsid w:val="1D155CEE"/>
    <w:rsid w:val="1FDBBF84"/>
    <w:rsid w:val="20F57F95"/>
    <w:rsid w:val="22D542D5"/>
    <w:rsid w:val="240371BF"/>
    <w:rsid w:val="240B0AD6"/>
    <w:rsid w:val="24B00325"/>
    <w:rsid w:val="25711CC6"/>
    <w:rsid w:val="25C741E6"/>
    <w:rsid w:val="276F80C0"/>
    <w:rsid w:val="27842671"/>
    <w:rsid w:val="27F21951"/>
    <w:rsid w:val="29FD04D3"/>
    <w:rsid w:val="2ABE7A3E"/>
    <w:rsid w:val="2AFF09B6"/>
    <w:rsid w:val="2CA234A8"/>
    <w:rsid w:val="2D4C599D"/>
    <w:rsid w:val="2D684463"/>
    <w:rsid w:val="2EFA178C"/>
    <w:rsid w:val="2EFDF86C"/>
    <w:rsid w:val="2F9D17E1"/>
    <w:rsid w:val="2FB365C5"/>
    <w:rsid w:val="30B46D73"/>
    <w:rsid w:val="319F7F4E"/>
    <w:rsid w:val="335D510A"/>
    <w:rsid w:val="34DF331D"/>
    <w:rsid w:val="356A28F1"/>
    <w:rsid w:val="357C035A"/>
    <w:rsid w:val="368E000D"/>
    <w:rsid w:val="36FB1C2B"/>
    <w:rsid w:val="382F2EDF"/>
    <w:rsid w:val="383D272C"/>
    <w:rsid w:val="39677CC5"/>
    <w:rsid w:val="39AE70AB"/>
    <w:rsid w:val="3A4DCE41"/>
    <w:rsid w:val="3B4414C7"/>
    <w:rsid w:val="3BCB56FA"/>
    <w:rsid w:val="3C0C0783"/>
    <w:rsid w:val="3CE42528"/>
    <w:rsid w:val="3EE7C2F4"/>
    <w:rsid w:val="3F371B56"/>
    <w:rsid w:val="3F792ED8"/>
    <w:rsid w:val="3F9F3A96"/>
    <w:rsid w:val="3FECA4B2"/>
    <w:rsid w:val="3FF58C48"/>
    <w:rsid w:val="42FF6694"/>
    <w:rsid w:val="451727F8"/>
    <w:rsid w:val="48BF60AB"/>
    <w:rsid w:val="493C27E9"/>
    <w:rsid w:val="496F39ED"/>
    <w:rsid w:val="49FF41D3"/>
    <w:rsid w:val="4A183041"/>
    <w:rsid w:val="4A585020"/>
    <w:rsid w:val="4A781342"/>
    <w:rsid w:val="4BE068DB"/>
    <w:rsid w:val="4BF6002B"/>
    <w:rsid w:val="4BFFC6BE"/>
    <w:rsid w:val="4D497951"/>
    <w:rsid w:val="4ECE2238"/>
    <w:rsid w:val="4F5876FA"/>
    <w:rsid w:val="51DB4B86"/>
    <w:rsid w:val="51F64DB0"/>
    <w:rsid w:val="529B0D06"/>
    <w:rsid w:val="52B251F4"/>
    <w:rsid w:val="54661F87"/>
    <w:rsid w:val="55333C3E"/>
    <w:rsid w:val="56636396"/>
    <w:rsid w:val="58464129"/>
    <w:rsid w:val="59B469A8"/>
    <w:rsid w:val="59C37ABF"/>
    <w:rsid w:val="5CE81468"/>
    <w:rsid w:val="5F67802D"/>
    <w:rsid w:val="5F7DC4F2"/>
    <w:rsid w:val="5FB36814"/>
    <w:rsid w:val="5FBB8E56"/>
    <w:rsid w:val="5FFB5535"/>
    <w:rsid w:val="649F7A56"/>
    <w:rsid w:val="64CA39A1"/>
    <w:rsid w:val="65C42D29"/>
    <w:rsid w:val="68440AFB"/>
    <w:rsid w:val="68BB7B0C"/>
    <w:rsid w:val="69630ADE"/>
    <w:rsid w:val="69BD5F13"/>
    <w:rsid w:val="69FB0B4B"/>
    <w:rsid w:val="6A2A4F03"/>
    <w:rsid w:val="6AC61B64"/>
    <w:rsid w:val="6BFFE1FB"/>
    <w:rsid w:val="6C4A05C8"/>
    <w:rsid w:val="6C4B0B24"/>
    <w:rsid w:val="6D3B1A89"/>
    <w:rsid w:val="6DB7D8A3"/>
    <w:rsid w:val="6E0E7878"/>
    <w:rsid w:val="6E8A234A"/>
    <w:rsid w:val="6EA461BE"/>
    <w:rsid w:val="6EC78701"/>
    <w:rsid w:val="6F7A5481"/>
    <w:rsid w:val="6FFE07A9"/>
    <w:rsid w:val="71BF4EC2"/>
    <w:rsid w:val="71E8671B"/>
    <w:rsid w:val="72734D90"/>
    <w:rsid w:val="73E75B71"/>
    <w:rsid w:val="7412278C"/>
    <w:rsid w:val="750C4B31"/>
    <w:rsid w:val="75A42E8D"/>
    <w:rsid w:val="75DDCDA9"/>
    <w:rsid w:val="75FF44B1"/>
    <w:rsid w:val="77670518"/>
    <w:rsid w:val="777FA627"/>
    <w:rsid w:val="779C5820"/>
    <w:rsid w:val="77DF1B5F"/>
    <w:rsid w:val="77EF2D9D"/>
    <w:rsid w:val="79E7B28D"/>
    <w:rsid w:val="7ACFF0C2"/>
    <w:rsid w:val="7AFB9108"/>
    <w:rsid w:val="7B2B2A3C"/>
    <w:rsid w:val="7BD5340C"/>
    <w:rsid w:val="7BFB19D2"/>
    <w:rsid w:val="7BFD1750"/>
    <w:rsid w:val="7BFDAA1B"/>
    <w:rsid w:val="7CDF9A82"/>
    <w:rsid w:val="7CFFA1BD"/>
    <w:rsid w:val="7D2E3F7A"/>
    <w:rsid w:val="7DC72141"/>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Title"/>
    <w:basedOn w:val="1"/>
    <w:next w:val="1"/>
    <w:qFormat/>
    <w:uiPriority w:val="0"/>
    <w:pPr>
      <w:spacing w:before="240" w:after="60"/>
      <w:jc w:val="center"/>
      <w:outlineLvl w:val="0"/>
    </w:pPr>
    <w:rPr>
      <w:rFonts w:ascii="Arial" w:hAnsi="Arial" w:cs="Arial"/>
      <w:b/>
      <w:bCs/>
      <w:sz w:val="32"/>
      <w:szCs w:val="32"/>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2"/>
    <w:qFormat/>
    <w:uiPriority w:val="9"/>
    <w:rPr>
      <w:rFonts w:ascii="Times New Roman" w:hAnsi="Times New Roman"/>
      <w:b/>
      <w:bCs/>
      <w:kern w:val="44"/>
      <w:sz w:val="44"/>
      <w:szCs w:val="44"/>
    </w:rPr>
  </w:style>
  <w:style w:type="character" w:customStyle="1" w:styleId="29">
    <w:name w:val="标题 2 字符"/>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8"/>
    <w:semiHidden/>
    <w:qFormat/>
    <w:uiPriority w:val="99"/>
    <w:rPr>
      <w:rFonts w:ascii="Times New Roman" w:hAnsi="Times New Roman"/>
      <w:kern w:val="2"/>
      <w:sz w:val="18"/>
      <w:szCs w:val="18"/>
    </w:rPr>
  </w:style>
  <w:style w:type="character" w:customStyle="1" w:styleId="32">
    <w:name w:val="标题 3 字符"/>
    <w:basedOn w:val="16"/>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6.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rPr altLang="en-US"/>
              <a:t>收入支出决算总体情况</a:t>
            </a:r>
            <a:endParaRPr lang="en-US" altLang="zh-CN"/>
          </a:p>
        </c:rich>
      </c:tx>
      <c:layout/>
      <c:overlay val="0"/>
      <c:spPr>
        <a:noFill/>
        <a:ln>
          <a:noFill/>
        </a:ln>
        <a:effectLst/>
      </c:spPr>
    </c:title>
    <c:autoTitleDeleted val="0"/>
    <c:plotArea>
      <c:layout>
        <c:manualLayout>
          <c:layoutTarget val="inner"/>
          <c:xMode val="edge"/>
          <c:yMode val="edge"/>
          <c:x val="0.0787"/>
          <c:y val="0.129166666666667"/>
          <c:w val="0.8938"/>
          <c:h val="0.7605"/>
        </c:manualLayout>
      </c:layout>
      <c:barChart>
        <c:barDir val="col"/>
        <c:grouping val="clustered"/>
        <c:varyColors val="0"/>
        <c:ser>
          <c:idx val="0"/>
          <c:order val="0"/>
          <c:tx>
            <c:strRef>
              <c:f>Sheet1!$B$1</c:f>
              <c:strCache>
                <c:ptCount val="1"/>
                <c:pt idx="0">
                  <c:v>2023年收、支总计</c:v>
                </c:pt>
              </c:strCache>
            </c:strRef>
          </c:tx>
          <c:spPr>
            <a:solidFill>
              <a:srgbClr val="5B9BD5"/>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lumMod val="75000"/>
                            <a:lumOff val="25000"/>
                          </a:sysClr>
                        </a:solidFill>
                        <a:latin typeface="+mn-lt"/>
                        <a:ea typeface="+mn-ea"/>
                        <a:cs typeface="+mn-cs"/>
                      </a:defRPr>
                    </a:pPr>
                    <a:r>
                      <a:rPr lang="en-US" altLang="zh-CN"/>
                      <a:t>993.06</a:t>
                    </a:r>
                    <a:r>
                      <a:t>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c:f>
              <c:strCache>
                <c:ptCount val="1"/>
                <c:pt idx="0">
                  <c:v>类别 1</c:v>
                </c:pt>
              </c:strCache>
            </c:strRef>
          </c:cat>
          <c:val>
            <c:numRef>
              <c:f>Sheet1!$B$2</c:f>
              <c:numCache>
                <c:formatCode>General</c:formatCode>
                <c:ptCount val="1"/>
                <c:pt idx="0">
                  <c:v>993.06</c:v>
                </c:pt>
              </c:numCache>
            </c:numRef>
          </c:val>
        </c:ser>
        <c:ser>
          <c:idx val="1"/>
          <c:order val="1"/>
          <c:tx>
            <c:strRef>
              <c:f>Sheet1!$C$1</c:f>
              <c:strCache>
                <c:ptCount val="1"/>
                <c:pt idx="0">
                  <c:v>2024年收、支总计</c:v>
                </c:pt>
              </c:strCache>
            </c:strRef>
          </c:tx>
          <c:spPr>
            <a:solidFill>
              <a:srgbClr val="ED7D31"/>
            </a:solidFill>
            <a:ln>
              <a:noFill/>
            </a:ln>
            <a:effectLst/>
          </c:spPr>
          <c:invertIfNegative val="0"/>
          <c:dLbls>
            <c:dLbl>
              <c:idx val="0"/>
              <c:layout>
                <c:manualLayout>
                  <c:x val="0.00375"/>
                  <c:y val="-0.002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lumMod val="75000"/>
                            <a:lumOff val="25000"/>
                          </a:sysClr>
                        </a:solidFill>
                        <a:latin typeface="+mn-lt"/>
                        <a:ea typeface="+mn-ea"/>
                        <a:cs typeface="+mn-cs"/>
                      </a:defRPr>
                    </a:pPr>
                    <a:r>
                      <a:rPr lang="en-US" altLang="zh-CN"/>
                      <a:t>929.12</a:t>
                    </a:r>
                    <a:r>
                      <a:t>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c:f>
              <c:strCache>
                <c:ptCount val="1"/>
                <c:pt idx="0">
                  <c:v>类别 1</c:v>
                </c:pt>
              </c:strCache>
            </c:strRef>
          </c:cat>
          <c:val>
            <c:numRef>
              <c:f>Sheet1!$C$2</c:f>
              <c:numCache>
                <c:formatCode>General</c:formatCode>
                <c:ptCount val="1"/>
                <c:pt idx="0">
                  <c:v>929.12</c:v>
                </c:pt>
              </c:numCache>
            </c:numRef>
          </c:val>
        </c:ser>
        <c:dLbls>
          <c:showLegendKey val="0"/>
          <c:showVal val="0"/>
          <c:showCatName val="0"/>
          <c:showSerName val="0"/>
          <c:showPercent val="0"/>
          <c:showBubbleSize val="0"/>
        </c:dLbls>
        <c:gapWidth val="219"/>
        <c:overlap val="-27"/>
        <c:axId val="261286412"/>
        <c:axId val="538049818"/>
      </c:barChart>
      <c:catAx>
        <c:axId val="261286412"/>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38049818"/>
        <c:crosses val="autoZero"/>
        <c:auto val="1"/>
        <c:lblAlgn val="ctr"/>
        <c:lblOffset val="100"/>
        <c:noMultiLvlLbl val="0"/>
      </c:catAx>
      <c:valAx>
        <c:axId val="538049818"/>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2612864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85463b49-38cd-4ca3-baa3-0990d5e122f8}"/>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ysClr val="windowText" lastClr="000000">
                  <a:lumMod val="75000"/>
                  <a:lumOff val="25000"/>
                </a:sys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rgbClr val="5B9BD5"/>
              </a:solidFill>
              <a:ln>
                <a:noFill/>
              </a:ln>
              <a:effectLst>
                <a:outerShdw blurRad="254000" sx="102000" sy="102000" algn="ctr" rotWithShape="0">
                  <a:prstClr val="black">
                    <a:alpha val="20000"/>
                  </a:prstClr>
                </a:outerShdw>
              </a:effectLst>
            </c:spPr>
          </c:dPt>
          <c:dPt>
            <c:idx val="1"/>
            <c:bubble3D val="0"/>
            <c:spPr>
              <a:solidFill>
                <a:srgbClr val="ED7D31"/>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baseline="0">
                        <a:solidFill>
                          <a:sysClr val="window" lastClr="FFFFFF"/>
                        </a:solidFill>
                        <a:latin typeface="+mn-lt"/>
                        <a:ea typeface="+mn-ea"/>
                        <a:cs typeface="+mn-cs"/>
                      </a:defRPr>
                    </a:pPr>
                    <a:r>
                      <a:t>95.</a:t>
                    </a:r>
                    <a:r>
                      <a:rPr lang="en-US" altLang="zh-CN"/>
                      <a:t>67</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1" i="0" u="none" strike="noStrike" kern="1200" baseline="0">
                        <a:solidFill>
                          <a:sysClr val="window" lastClr="FFFFFF"/>
                        </a:solidFill>
                        <a:latin typeface="+mn-lt"/>
                        <a:ea typeface="+mn-ea"/>
                        <a:cs typeface="+mn-cs"/>
                      </a:defRPr>
                    </a:pPr>
                    <a:r>
                      <a:t>4.</a:t>
                    </a:r>
                    <a:r>
                      <a:rPr lang="en-US" altLang="zh-CN"/>
                      <a:t>33</a:t>
                    </a:r>
                    <a:r>
                      <a:t>%</a:t>
                    </a:r>
                  </a:p>
                </c:rich>
              </c:tx>
              <c:dLblPos val="ctr"/>
              <c:showLegendKey val="0"/>
              <c:showVal val="0"/>
              <c:showCatName val="0"/>
              <c:showSerName val="0"/>
              <c:showPercent val="1"/>
              <c:showBubbleSize val="0"/>
              <c:extLst>
                <c:ext xmlns:c15="http://schemas.microsoft.com/office/drawing/2012/chart" uri="{CE6537A1-D6FC-4f65-9D91-7224C49458BB}"/>
              </c:extLst>
            </c:dLbl>
            <c:numFmt formatCode="0.0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ysClr val="window" lastClr="FFFFFF"/>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ysClr val="windowText" lastClr="000000">
                          <a:lumMod val="50000"/>
                          <a:lumOff val="50000"/>
                        </a:sysClr>
                      </a:solidFill>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801.5</c:v>
                </c:pt>
                <c:pt idx="1">
                  <c:v>34.63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ysClr val="window" lastClr="FFFFFF">
            <a:lumMod val="95000"/>
            <a:alpha val="39000"/>
          </a:sysClr>
        </a:solid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legend>
    <c:plotVisOnly val="1"/>
    <c:dispBlanksAs val="gap"/>
    <c:showDLblsOverMax val="0"/>
    <c:extLst>
      <c:ext uri="{0b15fc19-7d7d-44ad-8c2d-2c3a37ce22c3}">
        <chartProps xmlns="https://web.wps.cn/et/2018/main" chartId="{a7642da9-2981-48f6-8a09-e43410dde394}"/>
      </c:ext>
    </c:extLst>
  </c:chart>
  <c:spPr>
    <a:gradFill flip="none" rotWithShape="1">
      <a:gsLst>
        <a:gs pos="0">
          <a:sysClr val="window" lastClr="FFFFFF"/>
        </a:gs>
        <a:gs pos="39000">
          <a:sysClr val="window" lastClr="FFFFFF"/>
        </a:gs>
        <a:gs pos="100000">
          <a:sysClr val="window" lastClr="FFFFFF">
            <a:lumMod val="75000"/>
          </a:sysClr>
        </a:gs>
      </a:gsLst>
      <a:path path="circle">
        <a:fillToRect l="50000" t="-80000" r="50000" b="180000"/>
      </a:path>
    </a:gradFill>
    <a:ln w="9525" cap="flat" cmpd="sng" algn="ctr">
      <a:solidFill>
        <a:sysClr val="windowText" lastClr="000000">
          <a:lumMod val="25000"/>
          <a:lumOff val="75000"/>
        </a:sys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ysClr val="windowText" lastClr="000000">
                  <a:lumMod val="75000"/>
                  <a:lumOff val="25000"/>
                </a:sysClr>
              </a:solidFill>
              <a:latin typeface="+mn-lt"/>
              <a:ea typeface="+mn-ea"/>
              <a:cs typeface="+mn-cs"/>
            </a:defRPr>
          </a:pPr>
        </a:p>
      </c:txPr>
    </c:title>
    <c:autoTitleDeleted val="0"/>
    <c:plotArea>
      <c:layout>
        <c:manualLayout>
          <c:layoutTarget val="inner"/>
          <c:xMode val="edge"/>
          <c:yMode val="edge"/>
          <c:x val="0.177837474815312"/>
          <c:y val="0.178654292343387"/>
          <c:w val="0.492008059100067"/>
          <c:h val="0.77262180974478"/>
        </c:manualLayout>
      </c:layout>
      <c:pieChart>
        <c:varyColors val="1"/>
        <c:ser>
          <c:idx val="0"/>
          <c:order val="0"/>
          <c:tx>
            <c:strRef>
              <c:f>Sheet1!$B$1</c:f>
              <c:strCache>
                <c:ptCount val="1"/>
                <c:pt idx="0">
                  <c:v>支出决算情况说明</c:v>
                </c:pt>
              </c:strCache>
            </c:strRef>
          </c:tx>
          <c:spPr/>
          <c:explosion val="0"/>
          <c:dPt>
            <c:idx val="0"/>
            <c:bubble3D val="0"/>
            <c:spPr>
              <a:solidFill>
                <a:srgbClr val="5B9BD5"/>
              </a:solidFill>
              <a:ln>
                <a:noFill/>
              </a:ln>
              <a:effectLst>
                <a:outerShdw blurRad="254000" sx="102000" sy="102000" algn="ctr" rotWithShape="0">
                  <a:prstClr val="black">
                    <a:alpha val="20000"/>
                  </a:prstClr>
                </a:outerShdw>
              </a:effectLst>
            </c:spPr>
          </c:dPt>
          <c:dPt>
            <c:idx val="1"/>
            <c:bubble3D val="0"/>
            <c:spPr>
              <a:solidFill>
                <a:srgbClr val="ED7D31"/>
              </a:solidFill>
              <a:ln>
                <a:noFill/>
              </a:ln>
              <a:effectLst>
                <a:outerShdw blurRad="254000" sx="102000" sy="102000" algn="ctr" rotWithShape="0">
                  <a:prstClr val="black">
                    <a:alpha val="20000"/>
                  </a:prstClr>
                </a:outerShdw>
              </a:effectLst>
            </c:spPr>
          </c:dPt>
          <c:dLbls>
            <c:dLbl>
              <c:idx val="0"/>
              <c:layout>
                <c:manualLayout>
                  <c:x val="-0.134790406908944"/>
                  <c:y val="-0.1657517742500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ysClr val="window" lastClr="FFFFFF"/>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ysClr val="windowText" lastClr="000000">
                          <a:lumMod val="50000"/>
                          <a:lumOff val="50000"/>
                        </a:sys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591.32</c:v>
                </c:pt>
                <c:pt idx="1">
                  <c:v>212.72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ysClr val="window" lastClr="FFFFFF">
            <a:lumMod val="95000"/>
            <a:alpha val="39000"/>
          </a:sysClr>
        </a:solid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legend>
    <c:plotVisOnly val="1"/>
    <c:dispBlanksAs val="gap"/>
    <c:showDLblsOverMax val="0"/>
    <c:extLst>
      <c:ext uri="{0b15fc19-7d7d-44ad-8c2d-2c3a37ce22c3}">
        <chartProps xmlns="https://web.wps.cn/et/2018/main" chartId="{f8d796ce-0715-4e37-a8af-42f709c5dc38}"/>
      </c:ext>
    </c:extLst>
  </c:chart>
  <c:spPr>
    <a:gradFill flip="none" rotWithShape="1">
      <a:gsLst>
        <a:gs pos="0">
          <a:sysClr val="window" lastClr="FFFFFF"/>
        </a:gs>
        <a:gs pos="39000">
          <a:sysClr val="window" lastClr="FFFFFF"/>
        </a:gs>
        <a:gs pos="100000">
          <a:sysClr val="window" lastClr="FFFFFF">
            <a:lumMod val="75000"/>
          </a:sysClr>
        </a:gs>
      </a:gsLst>
      <a:path path="circle">
        <a:fillToRect l="50000" t="-80000" r="50000" b="180000"/>
      </a:path>
    </a:gradFill>
    <a:ln w="9525" cap="flat" cmpd="sng" algn="ctr">
      <a:solidFill>
        <a:sysClr val="windowText" lastClr="000000">
          <a:lumMod val="25000"/>
          <a:lumOff val="75000"/>
        </a:sys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rPr altLang="en-US"/>
              <a:t>财政拨款收入支出决算总体情况</a:t>
            </a:r>
            <a:endParaRPr lang="en-US" altLang="zh-CN"/>
          </a:p>
        </c:rich>
      </c:tx>
      <c:layout/>
      <c:overlay val="0"/>
      <c:spPr>
        <a:noFill/>
        <a:ln>
          <a:noFill/>
        </a:ln>
        <a:effectLst/>
      </c:spPr>
    </c:title>
    <c:autoTitleDeleted val="0"/>
    <c:plotArea>
      <c:layout>
        <c:manualLayout>
          <c:layoutTarget val="inner"/>
          <c:xMode val="edge"/>
          <c:yMode val="edge"/>
          <c:x val="0.0787"/>
          <c:y val="0.128833333333333"/>
          <c:w val="0.8938"/>
          <c:h val="0.7605"/>
        </c:manualLayout>
      </c:layout>
      <c:barChart>
        <c:barDir val="col"/>
        <c:grouping val="clustered"/>
        <c:varyColors val="0"/>
        <c:ser>
          <c:idx val="0"/>
          <c:order val="0"/>
          <c:tx>
            <c:strRef>
              <c:f>Sheet1!$B$1</c:f>
              <c:strCache>
                <c:ptCount val="1"/>
                <c:pt idx="0">
                  <c:v>2023年财政拨款收、支总计</c:v>
                </c:pt>
              </c:strCache>
            </c:strRef>
          </c:tx>
          <c:spPr>
            <a:solidFill>
              <a:srgbClr val="5B9BD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c:f>
              <c:strCache>
                <c:ptCount val="1"/>
                <c:pt idx="0">
                  <c:v>类别 1</c:v>
                </c:pt>
              </c:strCache>
            </c:strRef>
          </c:cat>
          <c:val>
            <c:numRef>
              <c:f>Sheet1!$B$2</c:f>
              <c:numCache>
                <c:formatCode>General</c:formatCode>
                <c:ptCount val="1"/>
                <c:pt idx="0">
                  <c:v>993.06</c:v>
                </c:pt>
              </c:numCache>
            </c:numRef>
          </c:val>
        </c:ser>
        <c:ser>
          <c:idx val="1"/>
          <c:order val="1"/>
          <c:tx>
            <c:strRef>
              <c:f>Sheet1!$C$1</c:f>
              <c:strCache>
                <c:ptCount val="1"/>
                <c:pt idx="0">
                  <c:v>2024年财政拨款收、支总计</c:v>
                </c:pt>
              </c:strCache>
            </c:strRef>
          </c:tx>
          <c:spPr>
            <a:solidFill>
              <a:srgbClr val="ED7D3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c:f>
              <c:strCache>
                <c:ptCount val="1"/>
                <c:pt idx="0">
                  <c:v>类别 1</c:v>
                </c:pt>
              </c:strCache>
            </c:strRef>
          </c:cat>
          <c:val>
            <c:numRef>
              <c:f>Sheet1!$C$2</c:f>
              <c:numCache>
                <c:formatCode>General</c:formatCode>
                <c:ptCount val="1"/>
                <c:pt idx="0">
                  <c:v>929.12</c:v>
                </c:pt>
              </c:numCache>
            </c:numRef>
          </c:val>
        </c:ser>
        <c:dLbls>
          <c:showLegendKey val="0"/>
          <c:showVal val="1"/>
          <c:showCatName val="0"/>
          <c:showSerName val="0"/>
          <c:showPercent val="0"/>
          <c:showBubbleSize val="0"/>
        </c:dLbls>
        <c:gapWidth val="219"/>
        <c:overlap val="-27"/>
        <c:axId val="261286412"/>
        <c:axId val="538049818"/>
      </c:barChart>
      <c:catAx>
        <c:axId val="261286412"/>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38049818"/>
        <c:crosses val="autoZero"/>
        <c:auto val="1"/>
        <c:lblAlgn val="ctr"/>
        <c:lblOffset val="100"/>
        <c:noMultiLvlLbl val="0"/>
      </c:catAx>
      <c:valAx>
        <c:axId val="538049818"/>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2612864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2c78a800-7770-469a-b958-d9014d6f0120}"/>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ysClr val="windowText" lastClr="000000">
                  <a:lumMod val="65000"/>
                  <a:lumOff val="35000"/>
                </a:sysClr>
              </a:solidFill>
              <a:latin typeface="+mn-lt"/>
              <a:ea typeface="+mn-ea"/>
              <a:cs typeface="+mn-cs"/>
            </a:defRPr>
          </a:pPr>
        </a:p>
      </c:txPr>
    </c:title>
    <c:autoTitleDeleted val="0"/>
    <c:plotArea>
      <c:layout>
        <c:manualLayout>
          <c:layoutTarget val="inner"/>
          <c:xMode val="edge"/>
          <c:yMode val="edge"/>
          <c:x val="0.0935593220338983"/>
          <c:y val="0.139027546681457"/>
          <c:w val="0.90109517601043"/>
          <c:h val="0.681715659086707"/>
        </c:manualLayout>
      </c:layout>
      <c:barChart>
        <c:barDir val="col"/>
        <c:grouping val="clustered"/>
        <c:varyColors val="0"/>
        <c:ser>
          <c:idx val="0"/>
          <c:order val="0"/>
          <c:tx>
            <c:strRef>
              <c:f>Sheet1!$B$1</c:f>
              <c:strCache>
                <c:ptCount val="1"/>
                <c:pt idx="0">
                  <c:v>一般公共预算财政拨款支出决算变动情况</c:v>
                </c:pt>
              </c:strCache>
            </c:strRef>
          </c:tx>
          <c:spPr>
            <a:solidFill>
              <a:srgbClr val="5B9BD5"/>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822.62</c:v>
                </c:pt>
                <c:pt idx="1">
                  <c:v>766.86</c:v>
                </c:pt>
              </c:numCache>
            </c:numRef>
          </c:val>
        </c:ser>
        <c:ser>
          <c:idx val="1"/>
          <c:order val="1"/>
          <c:tx>
            <c:strRef>
              <c:f>Sheet1!$C$1</c:f>
              <c:strCache>
                <c:ptCount val="1"/>
                <c:pt idx="0">
                  <c:v/>
                </c:pt>
              </c:strCache>
            </c:strRef>
          </c:tx>
          <c:spPr>
            <a:solidFill>
              <a:srgbClr val="ED7D31"/>
            </a:solidFill>
            <a:ln>
              <a:noFill/>
            </a:ln>
            <a:effectLst/>
          </c:spPr>
          <c:invertIfNegative val="0"/>
          <c:dLbls>
            <c:delete val="1"/>
          </c:dLbls>
          <c:cat>
            <c:strRef>
              <c:f>Sheet1!$A$2:$A$3</c:f>
              <c:strCache>
                <c:ptCount val="2"/>
                <c:pt idx="0">
                  <c:v>2023年</c:v>
                </c:pt>
                <c:pt idx="1">
                  <c:v>2024年</c:v>
                </c:pt>
              </c:strCache>
            </c:strRef>
          </c:cat>
          <c:val>
            <c:numRef>
              <c:f>Sheet1!$C$2:$C$3</c:f>
              <c:numCache>
                <c:formatCode>General</c:formatCode>
                <c:ptCount val="2"/>
              </c:numCache>
            </c:numRef>
          </c:val>
        </c:ser>
        <c:ser>
          <c:idx val="2"/>
          <c:order val="2"/>
          <c:tx>
            <c:strRef>
              <c:f>Sheet1!$D$1</c:f>
              <c:strCache>
                <c:ptCount val="1"/>
                <c:pt idx="0">
                  <c:v/>
                </c:pt>
              </c:strCache>
            </c:strRef>
          </c:tx>
          <c:spPr>
            <a:solidFill>
              <a:srgbClr val="A5A5A5"/>
            </a:solidFill>
            <a:ln>
              <a:noFill/>
            </a:ln>
            <a:effectLst/>
          </c:spPr>
          <c:invertIfNegative val="0"/>
          <c:dLbls>
            <c:delete val="1"/>
          </c:dLbls>
          <c:cat>
            <c:strRef>
              <c:f>Sheet1!$A$2:$A$3</c:f>
              <c:strCache>
                <c:ptCount val="2"/>
                <c:pt idx="0">
                  <c:v>2023年</c:v>
                </c:pt>
                <c:pt idx="1">
                  <c:v>2024年</c:v>
                </c:pt>
              </c:strCache>
            </c:strRef>
          </c:cat>
          <c:val>
            <c:numRef>
              <c:f>Sheet1!$D$2:$D$3</c:f>
              <c:numCache>
                <c:formatCode>General</c:formatCode>
                <c:ptCount val="2"/>
              </c:numCache>
            </c:numRef>
          </c:val>
        </c:ser>
        <c:dLbls>
          <c:showLegendKey val="0"/>
          <c:showVal val="0"/>
          <c:showCatName val="0"/>
          <c:showSerName val="0"/>
          <c:showPercent val="0"/>
          <c:showBubbleSize val="0"/>
        </c:dLbls>
        <c:gapWidth val="219"/>
        <c:overlap val="-27"/>
        <c:axId val="776149864"/>
        <c:axId val="353209121"/>
      </c:barChart>
      <c:catAx>
        <c:axId val="776149864"/>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53209121"/>
        <c:crosses val="autoZero"/>
        <c:auto val="1"/>
        <c:lblAlgn val="ctr"/>
        <c:lblOffset val="100"/>
        <c:noMultiLvlLbl val="0"/>
      </c:catAx>
      <c:valAx>
        <c:axId val="353209121"/>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761498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1f2fbb83-bdfc-42be-a89e-f4cd9bbdb82a}"/>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t>一般公共预算财政拨款支出决算结构情况</a:t>
            </a:r>
          </a:p>
        </c:rich>
      </c:tx>
      <c:layout>
        <c:manualLayout>
          <c:xMode val="edge"/>
          <c:yMode val="edge"/>
          <c:x val="0.114554794520548"/>
          <c:y val="0.0242375277721672"/>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一般公共预算财政拨款支出决算结构情况</c:v>
                </c:pt>
              </c:strCache>
            </c:strRef>
          </c:tx>
          <c:spPr/>
          <c:explosion val="0"/>
          <c:dPt>
            <c:idx val="0"/>
            <c:bubble3D val="0"/>
            <c:spPr>
              <a:solidFill>
                <a:srgbClr val="5B9BD5"/>
              </a:solidFill>
              <a:ln w="19050">
                <a:solidFill>
                  <a:sysClr val="window" lastClr="FFFFFF"/>
                </a:solidFill>
              </a:ln>
              <a:effectLst/>
            </c:spPr>
          </c:dPt>
          <c:dPt>
            <c:idx val="1"/>
            <c:bubble3D val="0"/>
            <c:spPr>
              <a:solidFill>
                <a:srgbClr val="ED7D31"/>
              </a:solidFill>
              <a:ln w="19050">
                <a:solidFill>
                  <a:sysClr val="window" lastClr="FFFFFF"/>
                </a:solidFill>
              </a:ln>
              <a:effectLst/>
            </c:spPr>
          </c:dPt>
          <c:dPt>
            <c:idx val="2"/>
            <c:bubble3D val="0"/>
            <c:spPr>
              <a:solidFill>
                <a:srgbClr val="A5A5A5"/>
              </a:solidFill>
              <a:ln w="19050">
                <a:solidFill>
                  <a:sysClr val="window" lastClr="FFFFFF"/>
                </a:solidFill>
              </a:ln>
              <a:effectLst/>
            </c:spPr>
          </c:dPt>
          <c:dPt>
            <c:idx val="3"/>
            <c:bubble3D val="0"/>
            <c:spPr>
              <a:solidFill>
                <a:srgbClr val="FFC000"/>
              </a:solidFill>
              <a:ln w="19050">
                <a:solidFill>
                  <a:sysClr val="window" lastClr="FFFFFF"/>
                </a:solidFill>
              </a:ln>
              <a:effectLst/>
            </c:spPr>
          </c:dPt>
          <c:dLbls>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lumMod val="75000"/>
                            <a:lumOff val="25000"/>
                          </a:sysClr>
                        </a:solidFill>
                        <a:latin typeface="+mn-lt"/>
                        <a:ea typeface="+mn-ea"/>
                        <a:cs typeface="+mn-cs"/>
                      </a:defRPr>
                    </a:pPr>
                    <a:r>
                      <a:rPr lang="en-US" altLang="zh-CN"/>
                      <a:t>6.4</a:t>
                    </a:r>
                    <a:r>
                      <a:t>%</a:t>
                    </a:r>
                  </a:p>
                </c:rich>
              </c:tx>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Sheet1!$A$2:$A$5</c:f>
              <c:strCache>
                <c:ptCount val="4"/>
                <c:pt idx="0">
                  <c:v>教育支出</c:v>
                </c:pt>
                <c:pt idx="1">
                  <c:v>社会保障和就业</c:v>
                </c:pt>
                <c:pt idx="2">
                  <c:v>卫生健康支出</c:v>
                </c:pt>
                <c:pt idx="3">
                  <c:v>住房保障支出</c:v>
                </c:pt>
              </c:strCache>
            </c:strRef>
          </c:cat>
          <c:val>
            <c:numRef>
              <c:f>Sheet1!$B$2:$B$5</c:f>
              <c:numCache>
                <c:formatCode>General</c:formatCode>
                <c:ptCount val="4"/>
                <c:pt idx="0">
                  <c:v>635.61</c:v>
                </c:pt>
                <c:pt idx="1">
                  <c:v>74.48</c:v>
                </c:pt>
                <c:pt idx="2">
                  <c:v>16.66</c:v>
                </c:pt>
                <c:pt idx="3">
                  <c:v>42.66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5e33d780-8d96-4d02-87bf-917e6976b4cb}"/>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“三公”经费财政拨款收入结构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025610050736893"/>
                  <c:y val="-0.077135571610709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因公出国（境）费</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0</a:t>
                    </a:r>
                    <a:r>
                      <a:rPr altLang="en-US"/>
                      <a:t>万元</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manualLayout>
                      <c:w val="0.225416767335105"/>
                      <c:h val="0.165745856353591"/>
                    </c:manualLayout>
                  </c15:layout>
                </c:ext>
              </c:extLst>
            </c:dLbl>
            <c:dLbl>
              <c:idx val="1"/>
              <c:layout>
                <c:manualLayout>
                  <c:x val="0.12080212611742"/>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公务用车购置及运行维护费</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0</a:t>
                    </a:r>
                    <a:r>
                      <a:rPr altLang="en-US"/>
                      <a:t>万元</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manualLayout>
                      <c:w val="0.345252476443585"/>
                      <c:h val="0.165745856353591"/>
                    </c:manualLayout>
                  </c15:layout>
                </c:ext>
              </c:extLst>
            </c:dLbl>
            <c:dLbl>
              <c:idx val="2"/>
              <c:layout>
                <c:manualLayout>
                  <c:x val="-0.067322556715755"/>
                  <c:y val="-0.015634170711886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公务接待费</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0</a:t>
                    </a:r>
                    <a:r>
                      <a:rPr altLang="en-US"/>
                      <a:t>万元</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1</c:v>
                </c:pt>
                <c:pt idx="1">
                  <c:v>1</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cbbea1e-2472-42d9-a430-fffc925cb7f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ysClr val="windowText" lastClr="000000">
        <a:lumMod val="75000"/>
        <a:lumOff val="25000"/>
      </a:sysClr>
    </cs:fontRef>
    <cs:defRPr sz="900" b="1" kern="1200"/>
  </cs:axisTitle>
  <cs:categoryAxis>
    <cs:lnRef idx="0"/>
    <cs:fillRef idx="0"/>
    <cs:effectRef idx="0"/>
    <cs:fontRef idx="minor">
      <a:sysClr val="windowText" lastClr="000000">
        <a:lumMod val="75000"/>
        <a:lumOff val="25000"/>
      </a:sysClr>
    </cs:fontRef>
    <cs:spPr>
      <a:ln w="19050" cap="flat" cmpd="sng" algn="ctr">
        <a:solidFill>
          <a:sysClr val="windowText" lastClr="000000">
            <a:lumMod val="75000"/>
            <a:lumOff val="25000"/>
          </a:sysClr>
        </a:solidFill>
        <a:round/>
      </a:ln>
    </cs:spPr>
    <cs:defRPr sz="900" kern="1200" cap="all" baseline="0"/>
  </cs:categoryAxis>
  <cs:chartArea>
    <cs:lnRef idx="0"/>
    <cs:fillRef idx="0"/>
    <cs:effectRef idx="0"/>
    <cs:fontRef idx="minor">
      <a:sysClr val="windowText" lastClr="000000"/>
    </cs:fontRef>
    <cs:spPr>
      <a:gradFill flip="none" rotWithShape="1">
        <a:gsLst>
          <a:gs pos="0">
            <a:sysClr val="window" lastClr="FFFFFF"/>
          </a:gs>
          <a:gs pos="39000">
            <a:sysClr val="window" lastClr="FFFFFF"/>
          </a:gs>
          <a:gs pos="100000">
            <a:sysClr val="window" lastClr="FFFFFF">
              <a:lumMod val="75000"/>
            </a:sysClr>
          </a:gs>
        </a:gsLst>
        <a:path path="circle">
          <a:fillToRect l="50000" t="-80000" r="50000" b="180000"/>
        </a:path>
      </a:gradFill>
      <a:ln w="9525" cap="flat" cmpd="sng" algn="ctr">
        <a:solidFill>
          <a:sysClr val="windowText" lastClr="000000">
            <a:lumMod val="25000"/>
            <a:lumOff val="75000"/>
          </a:sysClr>
        </a:solidFill>
        <a:round/>
      </a:ln>
    </cs:spPr>
    <cs:defRPr sz="900" kern="1200"/>
  </cs:chartArea>
  <cs:dataLabel>
    <cs:lnRef idx="0"/>
    <cs:fillRef idx="0"/>
    <cs:effectRef idx="0"/>
    <cs:fontRef idx="minor">
      <a:sysClr val="window" lastClr="FFFFFF"/>
    </cs:fontRef>
    <cs:spPr>
      <a:pattFill prst="pct75">
        <a:fgClr>
          <a:sysClr val="windowText" lastClr="000000">
            <a:lumMod val="75000"/>
            <a:lumOff val="25000"/>
          </a:sysClr>
        </a:fgClr>
        <a:bgClr>
          <a:sysClr val="windowText" lastClr="000000">
            <a:lumMod val="65000"/>
            <a:lumOff val="35000"/>
          </a:sys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ysClr val="window" lastClr="FFFFFF"/>
    </cs:fontRef>
    <cs:spPr>
      <a:pattFill prst="pct75">
        <a:fgClr>
          <a:sysClr val="windowText" lastClr="000000">
            <a:lumMod val="75000"/>
            <a:lumOff val="25000"/>
          </a:sysClr>
        </a:fgClr>
        <a:bgClr>
          <a:sysClr val="windowText" lastClr="000000">
            <a:lumMod val="65000"/>
            <a:lumOff val="35000"/>
          </a:sys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ysClr val="windowText" lastClr="000000"/>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ysClr val="windowText" lastClr="000000"/>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ysClr val="windowText" lastClr="000000"/>
    </cs:fontRef>
    <cs:spPr>
      <a:ln w="31750" cap="rnd">
        <a:solidFill>
          <a:schemeClr val="phClr">
            <a:alpha val="85000"/>
          </a:schemeClr>
        </a:solidFill>
        <a:round/>
      </a:ln>
    </cs:spPr>
  </cs:dataPointLine>
  <cs:dataPointMarker>
    <cs:lnRef idx="0"/>
    <cs:fillRef idx="0">
      <cs:styleClr val="auto"/>
    </cs:fillRef>
    <cs:effectRef idx="0"/>
    <cs:fontRef idx="minor">
      <a:sysClr val="windowText" lastClr="000000"/>
    </cs:fontRef>
    <cs:spPr>
      <a:solidFill>
        <a:schemeClr val="phClr">
          <a:alpha val="85000"/>
        </a:schemeClr>
      </a:solidFill>
    </cs:spPr>
  </cs:dataPointMarker>
  <cs:dataPointMarkerLayout symbol="circle" size="6"/>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75000"/>
        <a:lumOff val="25000"/>
      </a:sysClr>
    </cs:fontRef>
    <cs:spPr>
      <a:ln w="9525">
        <a:solidFill>
          <a:sysClr val="windowText" lastClr="000000">
            <a:lumMod val="35000"/>
            <a:lumOff val="65000"/>
          </a:sysClr>
        </a:solidFill>
      </a:ln>
    </cs:spPr>
    <cs:defRPr sz="900" kern="1200"/>
  </cs:dataTable>
  <cs:downBar>
    <cs:lnRef idx="0"/>
    <cs:fillRef idx="0"/>
    <cs:effectRef idx="0"/>
    <cs:fontRef idx="minor">
      <a:sysClr val="windowText" lastClr="000000"/>
    </cs:fontRef>
    <cs:spPr>
      <a:solidFill>
        <a:sysClr val="windowText" lastClr="000000">
          <a:lumMod val="50000"/>
          <a:lumOff val="50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a:solidFill>
          <a:sysClr val="windowText" lastClr="000000">
            <a:lumMod val="35000"/>
            <a:lumOff val="65000"/>
          </a:sysClr>
        </a:solidFill>
        <a:prstDash val="dash"/>
      </a:ln>
    </cs:spPr>
  </cs:dropLine>
  <cs:errorBar>
    <cs:lnRef idx="0"/>
    <cs:fillRef idx="0"/>
    <cs:effectRef idx="0"/>
    <cs:fontRef idx="minor">
      <a:sysClr val="windowText" lastClr="000000"/>
    </cs:fontRef>
    <cs:spPr>
      <a:ln w="9525">
        <a:solidFill>
          <a:sysClr val="windowText" lastClr="000000">
            <a:lumMod val="65000"/>
            <a:lumOff val="35000"/>
          </a:sysClr>
        </a:solidFill>
        <a:round/>
      </a:ln>
    </cs:spPr>
  </cs:errorBar>
  <cs:floor>
    <cs:lnRef idx="0"/>
    <cs:fillRef idx="0"/>
    <cs:effectRef idx="0"/>
    <cs:fontRef idx="minor">
      <a:sysClr val="windowText" lastClr="000000"/>
    </cs:fontRef>
  </cs:floor>
  <cs:gridlineMajor>
    <cs:lnRef idx="0"/>
    <cs:fillRef idx="0"/>
    <cs:effectRef idx="0"/>
    <cs:fontRef idx="minor">
      <a:sysClr val="windowText" lastClr="000000"/>
    </cs:fontRef>
    <cs:spPr>
      <a:ln w="9525" cap="flat" cmpd="sng" algn="ctr">
        <a:gradFill>
          <a:gsLst>
            <a:gs pos="100000">
              <a:sysClr val="windowText" lastClr="000000">
                <a:lumMod val="95000"/>
                <a:lumOff val="5000"/>
                <a:alpha val="42000"/>
              </a:sysClr>
            </a:gs>
            <a:gs pos="0">
              <a:sysClr val="window" lastClr="FFFFFF">
                <a:lumMod val="75000"/>
                <a:alpha val="36000"/>
              </a:sysClr>
            </a:gs>
          </a:gsLst>
          <a:lin ang="5400000" scaled="0"/>
        </a:gradFill>
        <a:round/>
      </a:ln>
    </cs:spPr>
  </cs:gridlineMajor>
  <cs:gridlineMinor>
    <cs:lnRef idx="0"/>
    <cs:fillRef idx="0"/>
    <cs:effectRef idx="0"/>
    <cs:fontRef idx="minor">
      <a:sysClr val="windowText" lastClr="000000"/>
    </cs:fontRef>
    <cs:spPr>
      <a:ln>
        <a:gradFill>
          <a:gsLst>
            <a:gs pos="100000">
              <a:sysClr val="windowText" lastClr="000000">
                <a:lumMod val="95000"/>
                <a:lumOff val="5000"/>
                <a:alpha val="42000"/>
              </a:sysClr>
            </a:gs>
            <a:gs pos="0">
              <a:sysClr val="window" lastClr="FFFFFF">
                <a:lumMod val="75000"/>
                <a:alpha val="36000"/>
              </a:sysClr>
            </a:gs>
          </a:gsLst>
          <a:lin ang="5400000" scaled="0"/>
        </a:gradFill>
      </a:ln>
    </cs:spPr>
  </cs:gridlineMinor>
  <cs:hiLoLine>
    <cs:lnRef idx="0"/>
    <cs:fillRef idx="0"/>
    <cs:effectRef idx="0"/>
    <cs:fontRef idx="minor">
      <a:sysClr val="windowText" lastClr="000000"/>
    </cs:fontRef>
    <cs:spPr>
      <a:ln w="9525">
        <a:solidFill>
          <a:sysClr val="windowText" lastClr="000000">
            <a:lumMod val="35000"/>
            <a:lumOff val="65000"/>
          </a:sysClr>
        </a:solidFill>
        <a:prstDash val="dash"/>
      </a:ln>
    </cs:spPr>
  </cs:hiLoLine>
  <cs:leaderLine>
    <cs:lnRef idx="0"/>
    <cs:fillRef idx="0"/>
    <cs:effectRef idx="0"/>
    <cs:fontRef idx="minor">
      <a:sysClr val="windowText" lastClr="000000"/>
    </cs:fontRef>
    <cs:spPr>
      <a:ln w="9525">
        <a:solidFill>
          <a:sysClr val="windowText" lastClr="000000">
            <a:lumMod val="50000"/>
            <a:lumOff val="50000"/>
          </a:sysClr>
        </a:solidFill>
      </a:ln>
    </cs:spPr>
  </cs:leaderLine>
  <cs:legend>
    <cs:lnRef idx="0"/>
    <cs:fillRef idx="0"/>
    <cs:effectRef idx="0"/>
    <cs:fontRef idx="minor">
      <a:sysClr val="windowText" lastClr="000000">
        <a:lumMod val="75000"/>
        <a:lumOff val="25000"/>
      </a:sysClr>
    </cs:fontRef>
    <cs:spPr>
      <a:solidFill>
        <a:sysClr val="window" lastClr="FFFFFF">
          <a:lumMod val="95000"/>
          <a:alpha val="39000"/>
        </a:sysClr>
      </a:solidFill>
    </cs:spPr>
    <cs:defRPr sz="900" kern="1200"/>
  </cs:legend>
  <cs:plotArea>
    <cs:lnRef idx="0"/>
    <cs:fillRef idx="0"/>
    <cs:effectRef idx="0"/>
    <cs:fontRef idx="minor">
      <a:sysClr val="windowText" lastClr="000000"/>
    </cs:fontRef>
  </cs:plotArea>
  <cs:plotArea3D>
    <cs:lnRef idx="0"/>
    <cs:fillRef idx="0"/>
    <cs:effectRef idx="0"/>
    <cs:fontRef idx="minor">
      <a:sysClr val="windowText" lastClr="000000"/>
    </cs:fontRef>
  </cs:plotArea3D>
  <cs:seriesAxis>
    <cs:lnRef idx="0"/>
    <cs:fillRef idx="0"/>
    <cs:effectRef idx="0"/>
    <cs:fontRef idx="minor">
      <a:sysClr val="windowText" lastClr="000000">
        <a:lumMod val="75000"/>
        <a:lumOff val="25000"/>
      </a:sysClr>
    </cs:fontRef>
    <cs:spPr>
      <a:ln w="31750" cap="flat" cmpd="sng" algn="ctr">
        <a:solidFill>
          <a:sysClr val="windowText" lastClr="000000">
            <a:lumMod val="75000"/>
            <a:lumOff val="25000"/>
          </a:sysClr>
        </a:solidFill>
        <a:round/>
      </a:ln>
    </cs:spPr>
    <cs:defRPr sz="900" kern="1200"/>
  </cs:seriesAxis>
  <cs:seriesLine>
    <cs:lnRef idx="0"/>
    <cs:fillRef idx="0"/>
    <cs:effectRef idx="0"/>
    <cs:fontRef idx="minor">
      <a:sysClr val="windowText" lastClr="000000"/>
    </cs:fontRef>
    <cs:spPr>
      <a:ln w="9525">
        <a:solidFill>
          <a:sysClr val="windowText" lastClr="000000">
            <a:lumMod val="50000"/>
            <a:lumOff val="50000"/>
          </a:sysClr>
        </a:solidFill>
        <a:round/>
      </a:ln>
    </cs:spPr>
  </cs:seriesLine>
  <cs:title>
    <cs:lnRef idx="0"/>
    <cs:fillRef idx="0"/>
    <cs:effectRef idx="0"/>
    <cs:fontRef idx="minor">
      <a:sysClr val="windowText" lastClr="000000">
        <a:lumMod val="75000"/>
        <a:lumOff val="25000"/>
      </a:sysClr>
    </cs:fontRef>
    <cs:defRPr sz="1800" b="1" kern="1200" baseline="0"/>
  </cs:title>
  <cs:trendline>
    <cs:lnRef idx="0">
      <cs:styleClr val="auto"/>
    </cs:lnRef>
    <cs:fillRef idx="0"/>
    <cs:effectRef idx="0"/>
    <cs:fontRef idx="minor">
      <a:sysClr val="windowText" lastClr="000000"/>
    </cs:fontRef>
    <cs:spPr>
      <a:ln w="19050" cap="rnd">
        <a:solidFill>
          <a:schemeClr val="phClr"/>
        </a:solidFill>
      </a:ln>
    </cs:spPr>
  </cs:trendline>
  <cs:trendlineLabel>
    <cs:lnRef idx="0"/>
    <cs:fillRef idx="0"/>
    <cs:effectRef idx="0"/>
    <cs:fontRef idx="minor">
      <a:sysClr val="windowText" lastClr="000000">
        <a:lumMod val="75000"/>
        <a:lumOff val="2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65000"/>
            <a:lumOff val="35000"/>
          </a:sysClr>
        </a:solidFill>
      </a:ln>
    </cs:spPr>
  </cs:upBar>
  <cs:valueAxis>
    <cs:lnRef idx="0"/>
    <cs:fillRef idx="0"/>
    <cs:effectRef idx="0"/>
    <cs:fontRef idx="minor">
      <a:sysClr val="windowText" lastClr="000000">
        <a:lumMod val="75000"/>
        <a:lumOff val="25000"/>
      </a:sysClr>
    </cs:fontRef>
    <cs:spPr>
      <a:ln>
        <a:noFill/>
      </a:ln>
    </cs:spPr>
    <cs:defRPr sz="900" kern="1200"/>
  </cs:valueAxis>
  <cs:wall>
    <cs:lnRef idx="0"/>
    <cs:fillRef idx="0"/>
    <cs:effectRef idx="0"/>
    <cs:fontRef idx="minor">
      <a:sysClr val="windowText" lastClr="000000"/>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ysClr val="windowText" lastClr="000000">
        <a:lumMod val="75000"/>
        <a:lumOff val="25000"/>
      </a:sysClr>
    </cs:fontRef>
    <cs:defRPr sz="900" b="1" kern="1200"/>
  </cs:axisTitle>
  <cs:categoryAxis>
    <cs:lnRef idx="0"/>
    <cs:fillRef idx="0"/>
    <cs:effectRef idx="0"/>
    <cs:fontRef idx="minor">
      <a:sysClr val="windowText" lastClr="000000">
        <a:lumMod val="75000"/>
        <a:lumOff val="25000"/>
      </a:sysClr>
    </cs:fontRef>
    <cs:spPr>
      <a:ln w="19050" cap="flat" cmpd="sng" algn="ctr">
        <a:solidFill>
          <a:sysClr val="windowText" lastClr="000000">
            <a:lumMod val="75000"/>
            <a:lumOff val="25000"/>
          </a:sysClr>
        </a:solidFill>
        <a:round/>
      </a:ln>
    </cs:spPr>
    <cs:defRPr sz="900" kern="1200" cap="all" baseline="0"/>
  </cs:categoryAxis>
  <cs:chartArea>
    <cs:lnRef idx="0"/>
    <cs:fillRef idx="0"/>
    <cs:effectRef idx="0"/>
    <cs:fontRef idx="minor">
      <a:sysClr val="windowText" lastClr="000000"/>
    </cs:fontRef>
    <cs:spPr>
      <a:gradFill flip="none" rotWithShape="1">
        <a:gsLst>
          <a:gs pos="0">
            <a:sysClr val="window" lastClr="FFFFFF"/>
          </a:gs>
          <a:gs pos="39000">
            <a:sysClr val="window" lastClr="FFFFFF"/>
          </a:gs>
          <a:gs pos="100000">
            <a:sysClr val="window" lastClr="FFFFFF">
              <a:lumMod val="75000"/>
            </a:sysClr>
          </a:gs>
        </a:gsLst>
        <a:path path="circle">
          <a:fillToRect l="50000" t="-80000" r="50000" b="180000"/>
        </a:path>
      </a:gradFill>
      <a:ln w="9525" cap="flat" cmpd="sng" algn="ctr">
        <a:solidFill>
          <a:sysClr val="windowText" lastClr="000000">
            <a:lumMod val="25000"/>
            <a:lumOff val="75000"/>
          </a:sysClr>
        </a:solidFill>
        <a:round/>
      </a:ln>
    </cs:spPr>
    <cs:defRPr sz="900" kern="1200"/>
  </cs:chartArea>
  <cs:dataLabel>
    <cs:lnRef idx="0"/>
    <cs:fillRef idx="0"/>
    <cs:effectRef idx="0"/>
    <cs:fontRef idx="minor">
      <a:sysClr val="window" lastClr="FFFFFF"/>
    </cs:fontRef>
    <cs:spPr>
      <a:pattFill prst="pct75">
        <a:fgClr>
          <a:sysClr val="windowText" lastClr="000000">
            <a:lumMod val="75000"/>
            <a:lumOff val="25000"/>
          </a:sysClr>
        </a:fgClr>
        <a:bgClr>
          <a:sysClr val="windowText" lastClr="000000">
            <a:lumMod val="65000"/>
            <a:lumOff val="35000"/>
          </a:sys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ysClr val="window" lastClr="FFFFFF"/>
    </cs:fontRef>
    <cs:spPr>
      <a:pattFill prst="pct75">
        <a:fgClr>
          <a:sysClr val="windowText" lastClr="000000">
            <a:lumMod val="75000"/>
            <a:lumOff val="25000"/>
          </a:sysClr>
        </a:fgClr>
        <a:bgClr>
          <a:sysClr val="windowText" lastClr="000000">
            <a:lumMod val="65000"/>
            <a:lumOff val="35000"/>
          </a:sys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ysClr val="windowText" lastClr="000000"/>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ysClr val="windowText" lastClr="000000"/>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ysClr val="windowText" lastClr="000000"/>
    </cs:fontRef>
    <cs:spPr>
      <a:ln w="31750" cap="rnd">
        <a:solidFill>
          <a:schemeClr val="phClr">
            <a:alpha val="85000"/>
          </a:schemeClr>
        </a:solidFill>
        <a:round/>
      </a:ln>
    </cs:spPr>
  </cs:dataPointLine>
  <cs:dataPointMarker>
    <cs:lnRef idx="0"/>
    <cs:fillRef idx="0">
      <cs:styleClr val="auto"/>
    </cs:fillRef>
    <cs:effectRef idx="0"/>
    <cs:fontRef idx="minor">
      <a:sysClr val="windowText" lastClr="000000"/>
    </cs:fontRef>
    <cs:spPr>
      <a:solidFill>
        <a:schemeClr val="phClr">
          <a:alpha val="85000"/>
        </a:schemeClr>
      </a:solidFill>
    </cs:spPr>
  </cs:dataPointMarker>
  <cs:dataPointMarkerLayout symbol="circle" size="6"/>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75000"/>
        <a:lumOff val="25000"/>
      </a:sysClr>
    </cs:fontRef>
    <cs:spPr>
      <a:ln w="9525">
        <a:solidFill>
          <a:sysClr val="windowText" lastClr="000000">
            <a:lumMod val="35000"/>
            <a:lumOff val="65000"/>
          </a:sysClr>
        </a:solidFill>
      </a:ln>
    </cs:spPr>
    <cs:defRPr sz="900" kern="1200"/>
  </cs:dataTable>
  <cs:downBar>
    <cs:lnRef idx="0"/>
    <cs:fillRef idx="0"/>
    <cs:effectRef idx="0"/>
    <cs:fontRef idx="minor">
      <a:sysClr val="windowText" lastClr="000000"/>
    </cs:fontRef>
    <cs:spPr>
      <a:solidFill>
        <a:sysClr val="windowText" lastClr="000000">
          <a:lumMod val="50000"/>
          <a:lumOff val="50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a:solidFill>
          <a:sysClr val="windowText" lastClr="000000">
            <a:lumMod val="35000"/>
            <a:lumOff val="65000"/>
          </a:sysClr>
        </a:solidFill>
        <a:prstDash val="dash"/>
      </a:ln>
    </cs:spPr>
  </cs:dropLine>
  <cs:errorBar>
    <cs:lnRef idx="0"/>
    <cs:fillRef idx="0"/>
    <cs:effectRef idx="0"/>
    <cs:fontRef idx="minor">
      <a:sysClr val="windowText" lastClr="000000"/>
    </cs:fontRef>
    <cs:spPr>
      <a:ln w="9525">
        <a:solidFill>
          <a:sysClr val="windowText" lastClr="000000">
            <a:lumMod val="65000"/>
            <a:lumOff val="35000"/>
          </a:sysClr>
        </a:solidFill>
        <a:round/>
      </a:ln>
    </cs:spPr>
  </cs:errorBar>
  <cs:floor>
    <cs:lnRef idx="0"/>
    <cs:fillRef idx="0"/>
    <cs:effectRef idx="0"/>
    <cs:fontRef idx="minor">
      <a:sysClr val="windowText" lastClr="000000"/>
    </cs:fontRef>
  </cs:floor>
  <cs:gridlineMajor>
    <cs:lnRef idx="0"/>
    <cs:fillRef idx="0"/>
    <cs:effectRef idx="0"/>
    <cs:fontRef idx="minor">
      <a:sysClr val="windowText" lastClr="000000"/>
    </cs:fontRef>
    <cs:spPr>
      <a:ln w="9525" cap="flat" cmpd="sng" algn="ctr">
        <a:gradFill>
          <a:gsLst>
            <a:gs pos="100000">
              <a:sysClr val="windowText" lastClr="000000">
                <a:lumMod val="95000"/>
                <a:lumOff val="5000"/>
                <a:alpha val="42000"/>
              </a:sysClr>
            </a:gs>
            <a:gs pos="0">
              <a:sysClr val="window" lastClr="FFFFFF">
                <a:lumMod val="75000"/>
                <a:alpha val="36000"/>
              </a:sysClr>
            </a:gs>
          </a:gsLst>
          <a:lin ang="5400000" scaled="0"/>
        </a:gradFill>
        <a:round/>
      </a:ln>
    </cs:spPr>
  </cs:gridlineMajor>
  <cs:gridlineMinor>
    <cs:lnRef idx="0"/>
    <cs:fillRef idx="0"/>
    <cs:effectRef idx="0"/>
    <cs:fontRef idx="minor">
      <a:sysClr val="windowText" lastClr="000000"/>
    </cs:fontRef>
    <cs:spPr>
      <a:ln>
        <a:gradFill>
          <a:gsLst>
            <a:gs pos="100000">
              <a:sysClr val="windowText" lastClr="000000">
                <a:lumMod val="95000"/>
                <a:lumOff val="5000"/>
                <a:alpha val="42000"/>
              </a:sysClr>
            </a:gs>
            <a:gs pos="0">
              <a:sysClr val="window" lastClr="FFFFFF">
                <a:lumMod val="75000"/>
                <a:alpha val="36000"/>
              </a:sysClr>
            </a:gs>
          </a:gsLst>
          <a:lin ang="5400000" scaled="0"/>
        </a:gradFill>
      </a:ln>
    </cs:spPr>
  </cs:gridlineMinor>
  <cs:hiLoLine>
    <cs:lnRef idx="0"/>
    <cs:fillRef idx="0"/>
    <cs:effectRef idx="0"/>
    <cs:fontRef idx="minor">
      <a:sysClr val="windowText" lastClr="000000"/>
    </cs:fontRef>
    <cs:spPr>
      <a:ln w="9525">
        <a:solidFill>
          <a:sysClr val="windowText" lastClr="000000">
            <a:lumMod val="35000"/>
            <a:lumOff val="65000"/>
          </a:sysClr>
        </a:solidFill>
        <a:prstDash val="dash"/>
      </a:ln>
    </cs:spPr>
  </cs:hiLoLine>
  <cs:leaderLine>
    <cs:lnRef idx="0"/>
    <cs:fillRef idx="0"/>
    <cs:effectRef idx="0"/>
    <cs:fontRef idx="minor">
      <a:sysClr val="windowText" lastClr="000000"/>
    </cs:fontRef>
    <cs:spPr>
      <a:ln w="9525">
        <a:solidFill>
          <a:sysClr val="windowText" lastClr="000000">
            <a:lumMod val="50000"/>
            <a:lumOff val="50000"/>
          </a:sysClr>
        </a:solidFill>
      </a:ln>
    </cs:spPr>
  </cs:leaderLine>
  <cs:legend>
    <cs:lnRef idx="0"/>
    <cs:fillRef idx="0"/>
    <cs:effectRef idx="0"/>
    <cs:fontRef idx="minor">
      <a:sysClr val="windowText" lastClr="000000">
        <a:lumMod val="75000"/>
        <a:lumOff val="25000"/>
      </a:sysClr>
    </cs:fontRef>
    <cs:spPr>
      <a:solidFill>
        <a:sysClr val="window" lastClr="FFFFFF">
          <a:lumMod val="95000"/>
          <a:alpha val="39000"/>
        </a:sysClr>
      </a:solidFill>
    </cs:spPr>
    <cs:defRPr sz="900" kern="1200"/>
  </cs:legend>
  <cs:plotArea>
    <cs:lnRef idx="0"/>
    <cs:fillRef idx="0"/>
    <cs:effectRef idx="0"/>
    <cs:fontRef idx="minor">
      <a:sysClr val="windowText" lastClr="000000"/>
    </cs:fontRef>
  </cs:plotArea>
  <cs:plotArea3D>
    <cs:lnRef idx="0"/>
    <cs:fillRef idx="0"/>
    <cs:effectRef idx="0"/>
    <cs:fontRef idx="minor">
      <a:sysClr val="windowText" lastClr="000000"/>
    </cs:fontRef>
  </cs:plotArea3D>
  <cs:seriesAxis>
    <cs:lnRef idx="0"/>
    <cs:fillRef idx="0"/>
    <cs:effectRef idx="0"/>
    <cs:fontRef idx="minor">
      <a:sysClr val="windowText" lastClr="000000">
        <a:lumMod val="75000"/>
        <a:lumOff val="25000"/>
      </a:sysClr>
    </cs:fontRef>
    <cs:spPr>
      <a:ln w="31750" cap="flat" cmpd="sng" algn="ctr">
        <a:solidFill>
          <a:sysClr val="windowText" lastClr="000000">
            <a:lumMod val="75000"/>
            <a:lumOff val="25000"/>
          </a:sysClr>
        </a:solidFill>
        <a:round/>
      </a:ln>
    </cs:spPr>
    <cs:defRPr sz="900" kern="1200"/>
  </cs:seriesAxis>
  <cs:seriesLine>
    <cs:lnRef idx="0"/>
    <cs:fillRef idx="0"/>
    <cs:effectRef idx="0"/>
    <cs:fontRef idx="minor">
      <a:sysClr val="windowText" lastClr="000000"/>
    </cs:fontRef>
    <cs:spPr>
      <a:ln w="9525">
        <a:solidFill>
          <a:sysClr val="windowText" lastClr="000000">
            <a:lumMod val="50000"/>
            <a:lumOff val="50000"/>
          </a:sysClr>
        </a:solidFill>
        <a:round/>
      </a:ln>
    </cs:spPr>
  </cs:seriesLine>
  <cs:title>
    <cs:lnRef idx="0"/>
    <cs:fillRef idx="0"/>
    <cs:effectRef idx="0"/>
    <cs:fontRef idx="minor">
      <a:sysClr val="windowText" lastClr="000000">
        <a:lumMod val="75000"/>
        <a:lumOff val="25000"/>
      </a:sysClr>
    </cs:fontRef>
    <cs:defRPr sz="1800" b="1" kern="1200" baseline="0"/>
  </cs:title>
  <cs:trendline>
    <cs:lnRef idx="0">
      <cs:styleClr val="auto"/>
    </cs:lnRef>
    <cs:fillRef idx="0"/>
    <cs:effectRef idx="0"/>
    <cs:fontRef idx="minor">
      <a:sysClr val="windowText" lastClr="000000"/>
    </cs:fontRef>
    <cs:spPr>
      <a:ln w="19050" cap="rnd">
        <a:solidFill>
          <a:schemeClr val="phClr"/>
        </a:solidFill>
      </a:ln>
    </cs:spPr>
  </cs:trendline>
  <cs:trendlineLabel>
    <cs:lnRef idx="0"/>
    <cs:fillRef idx="0"/>
    <cs:effectRef idx="0"/>
    <cs:fontRef idx="minor">
      <a:sysClr val="windowText" lastClr="000000">
        <a:lumMod val="75000"/>
        <a:lumOff val="2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65000"/>
            <a:lumOff val="35000"/>
          </a:sysClr>
        </a:solidFill>
      </a:ln>
    </cs:spPr>
  </cs:upBar>
  <cs:valueAxis>
    <cs:lnRef idx="0"/>
    <cs:fillRef idx="0"/>
    <cs:effectRef idx="0"/>
    <cs:fontRef idx="minor">
      <a:sysClr val="windowText" lastClr="000000">
        <a:lumMod val="75000"/>
        <a:lumOff val="25000"/>
      </a:sysClr>
    </cs:fontRef>
    <cs:spPr>
      <a:ln>
        <a:noFill/>
      </a:ln>
    </cs:spPr>
    <cs:defRPr sz="900" kern="1200"/>
  </cs:valueAxis>
  <cs:wall>
    <cs:lnRef idx="0"/>
    <cs:fillRef idx="0"/>
    <cs:effectRef idx="0"/>
    <cs:fontRef idx="minor">
      <a:sysClr val="windowText" lastClr="000000"/>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spPr>
      <a:ln w="19050">
        <a:solidFill>
          <a:sysClr val="window" lastClr="FFFFFF"/>
        </a:solidFill>
      </a:ln>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dda42b6d-d5a8-4532-8599-161a59d8c76e</errorID>
      <errorWord>:</errorWord>
      <group>L1_Format</group>
      <groupName>格式问题</groupName>
      <ability>L2_HalfPunc</ability>
      <abilityName>全半角检查</abilityName>
      <candidateList>
        <item>：</item>
      </candidateList>
      <explain>文本全半角错误。</explain>
      <paraID>45BEB3EE</paraID>
      <start>34</start>
      <end>35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a4638987-0fb8-473d-92c8-b8b29bd180a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488</Words>
  <Characters>520</Characters>
  <Lines>54</Lines>
  <Paragraphs>15</Paragraphs>
  <TotalTime>6</TotalTime>
  <ScaleCrop>false</ScaleCrop>
  <LinksUpToDate>false</LinksUpToDate>
  <CharactersWithSpaces>561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碧云天</cp:lastModifiedBy>
  <cp:lastPrinted>2023-08-03T02:35:00Z</cp:lastPrinted>
  <dcterms:modified xsi:type="dcterms:W3CDTF">2025-12-02T08:47:26Z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C1A62D9517FF4F1583251A2861FA4D33_12</vt:lpwstr>
  </property>
  <property fmtid="{D5CDD505-2E9C-101B-9397-08002B2CF9AE}" pid="4" name="KSOTemplateDocerSaveRecord">
    <vt:lpwstr>eyJoZGlkIjoiNzI2ZGI0OGUzMDAzMzk0YmE1OTYyMDVlZGMwMmYyODYiLCJ1c2VySWQiOiIxMTM5NjM2MTk5In0=</vt:lpwstr>
  </property>
</Properties>
</file>