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94916">
      <w:pPr>
        <w:spacing w:line="600" w:lineRule="exact"/>
        <w:jc w:val="left"/>
        <w:outlineLvl w:val="9"/>
        <w:rPr>
          <w:rFonts w:ascii="方正小标宋简体" w:hAnsi="宋体" w:eastAsia="方正小标宋简体"/>
          <w:szCs w:val="21"/>
        </w:rPr>
      </w:pPr>
      <w:bookmarkStart w:id="0" w:name="_Toc15306267"/>
    </w:p>
    <w:p w14:paraId="398E52C5">
      <w:pPr>
        <w:pStyle w:val="5"/>
        <w:spacing w:before="93"/>
      </w:pPr>
    </w:p>
    <w:p w14:paraId="68C2C8DC">
      <w:pPr>
        <w:spacing w:line="600" w:lineRule="exact"/>
        <w:jc w:val="center"/>
        <w:outlineLvl w:val="9"/>
        <w:rPr>
          <w:rFonts w:ascii="方正小标宋简体" w:hAnsi="宋体" w:eastAsia="方正小标宋简体"/>
          <w:sz w:val="72"/>
          <w:szCs w:val="72"/>
        </w:rPr>
      </w:pPr>
    </w:p>
    <w:p w14:paraId="37C5BE18">
      <w:pPr>
        <w:spacing w:line="600" w:lineRule="exact"/>
        <w:jc w:val="center"/>
        <w:outlineLvl w:val="9"/>
        <w:rPr>
          <w:rFonts w:ascii="方正小标宋简体" w:hAnsi="宋体" w:eastAsia="方正小标宋简体"/>
          <w:sz w:val="72"/>
          <w:szCs w:val="72"/>
        </w:rPr>
      </w:pPr>
    </w:p>
    <w:p w14:paraId="1A1F4129">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193"/>
      <w:bookmarkStart w:id="2" w:name="_Toc15396597"/>
      <w:bookmarkStart w:id="3" w:name="_Toc4066"/>
      <w:bookmarkStart w:id="4" w:name="_Toc15377425"/>
      <w:bookmarkStart w:id="5" w:name="_Toc15396475"/>
      <w:bookmarkStart w:id="6" w:name="_Toc15378441"/>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bookmarkEnd w:id="6"/>
    </w:p>
    <w:bookmarkEnd w:id="0"/>
    <w:p w14:paraId="4996F9AC">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bookmarkStart w:id="7" w:name="_Toc15396476"/>
      <w:bookmarkStart w:id="8" w:name="_Toc15396598"/>
      <w:bookmarkStart w:id="9" w:name="_Toc15306268"/>
      <w:bookmarkStart w:id="10" w:name="_Toc15378442"/>
      <w:bookmarkStart w:id="11" w:name="_Toc15377194"/>
      <w:bookmarkStart w:id="12" w:name="_Toc15377426"/>
      <w:bookmarkStart w:id="13" w:name="_Toc17075"/>
      <w:r>
        <w:rPr>
          <w:rFonts w:hint="eastAsia" w:ascii="方正小标宋简体" w:hAnsi="方正小标宋简体" w:eastAsia="方正小标宋简体" w:cs="方正小标宋简体"/>
          <w:sz w:val="72"/>
          <w:szCs w:val="72"/>
          <w:lang w:val="en-US" w:eastAsia="zh-CN"/>
        </w:rPr>
        <w:t>峨边彝族自治县五渡镇</w:t>
      </w:r>
    </w:p>
    <w:p w14:paraId="3D3E73E7">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中心小学单位</w:t>
      </w:r>
      <w:r>
        <w:rPr>
          <w:rFonts w:hint="eastAsia" w:ascii="方正小标宋简体" w:hAnsi="方正小标宋简体" w:eastAsia="方正小标宋简体" w:cs="方正小标宋简体"/>
          <w:sz w:val="72"/>
          <w:szCs w:val="72"/>
        </w:rPr>
        <w:t>决算</w:t>
      </w:r>
      <w:bookmarkEnd w:id="7"/>
      <w:bookmarkEnd w:id="8"/>
      <w:bookmarkEnd w:id="9"/>
      <w:bookmarkEnd w:id="10"/>
      <w:bookmarkEnd w:id="11"/>
      <w:bookmarkEnd w:id="12"/>
      <w:r>
        <w:rPr>
          <w:rFonts w:hint="eastAsia" w:ascii="方正小标宋简体" w:hAnsi="方正小标宋简体" w:eastAsia="方正小标宋简体" w:cs="方正小标宋简体"/>
          <w:sz w:val="72"/>
          <w:szCs w:val="72"/>
          <w:lang w:val="en-US" w:eastAsia="zh-CN"/>
        </w:rPr>
        <w:t>公开</w:t>
      </w:r>
      <w:bookmarkEnd w:id="13"/>
    </w:p>
    <w:p w14:paraId="0DFDF0B0">
      <w:pPr>
        <w:adjustRightInd w:val="0"/>
        <w:snapToGrid w:val="0"/>
        <w:spacing w:line="360" w:lineRule="auto"/>
        <w:jc w:val="center"/>
        <w:outlineLvl w:val="9"/>
        <w:rPr>
          <w:rFonts w:ascii="方正小标宋简体" w:hAnsi="宋体" w:eastAsia="方正小标宋简体"/>
          <w:sz w:val="52"/>
          <w:szCs w:val="52"/>
        </w:rPr>
      </w:pPr>
    </w:p>
    <w:p w14:paraId="0E0E9263">
      <w:pPr>
        <w:widowControl/>
        <w:jc w:val="center"/>
        <w:rPr>
          <w:rFonts w:ascii="方正小标宋简体" w:hAnsi="宋体" w:eastAsia="方正小标宋简体"/>
          <w:sz w:val="36"/>
          <w:szCs w:val="36"/>
        </w:rPr>
      </w:pPr>
    </w:p>
    <w:p w14:paraId="1D7BE77F">
      <w:pPr>
        <w:bidi w:val="0"/>
        <w:rPr>
          <w:rFonts w:ascii="方正小标宋简体" w:hAnsi="宋体" w:eastAsia="方正小标宋简体"/>
          <w:sz w:val="36"/>
          <w:szCs w:val="36"/>
        </w:rPr>
      </w:pPr>
    </w:p>
    <w:p w14:paraId="3FC8B272">
      <w:pPr>
        <w:bidi w:val="0"/>
        <w:rPr>
          <w:rFonts w:ascii="方正小标宋简体" w:hAnsi="宋体" w:eastAsia="方正小标宋简体"/>
          <w:sz w:val="36"/>
          <w:szCs w:val="36"/>
        </w:rPr>
      </w:pPr>
    </w:p>
    <w:p w14:paraId="00C0C7DA">
      <w:pPr>
        <w:bidi w:val="0"/>
        <w:rPr>
          <w:rFonts w:ascii="方正小标宋简体" w:hAnsi="宋体" w:eastAsia="方正小标宋简体"/>
          <w:sz w:val="36"/>
          <w:szCs w:val="36"/>
        </w:rPr>
      </w:pPr>
    </w:p>
    <w:p w14:paraId="6867F979">
      <w:pPr>
        <w:bidi w:val="0"/>
        <w:rPr>
          <w:rFonts w:ascii="方正小标宋简体" w:hAnsi="宋体" w:eastAsia="方正小标宋简体"/>
          <w:sz w:val="36"/>
          <w:szCs w:val="36"/>
        </w:rPr>
      </w:pPr>
    </w:p>
    <w:p w14:paraId="2A90BEDD">
      <w:pPr>
        <w:bidi w:val="0"/>
        <w:rPr>
          <w:rFonts w:ascii="方正小标宋简体" w:hAnsi="宋体" w:eastAsia="方正小标宋简体"/>
          <w:sz w:val="36"/>
          <w:szCs w:val="36"/>
        </w:rPr>
      </w:pPr>
    </w:p>
    <w:p w14:paraId="053EBCBC">
      <w:pPr>
        <w:bidi w:val="0"/>
        <w:rPr>
          <w:rFonts w:ascii="方正小标宋简体" w:hAnsi="宋体" w:eastAsia="方正小标宋简体"/>
          <w:sz w:val="36"/>
          <w:szCs w:val="36"/>
        </w:rPr>
      </w:pPr>
    </w:p>
    <w:p w14:paraId="475C4C06">
      <w:pPr>
        <w:bidi w:val="0"/>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089B4809">
      <w:pPr>
        <w:pStyle w:val="11"/>
        <w:rPr>
          <w:rFonts w:ascii="黑体" w:hAnsi="黑体" w:eastAsia="黑体" w:cstheme="minorBidi"/>
          <w:sz w:val="28"/>
          <w:szCs w:val="28"/>
        </w:rPr>
      </w:pPr>
      <w:r>
        <w:rPr>
          <w:rFonts w:hint="eastAsia"/>
        </w:rPr>
        <w:t>公开时间：202</w:t>
      </w:r>
      <w:r>
        <w:rPr>
          <w:rFonts w:hint="eastAsia"/>
          <w:lang w:val="en-US" w:eastAsia="zh-CN"/>
        </w:rPr>
        <w:t>4</w:t>
      </w:r>
      <w:r>
        <w:rPr>
          <w:rFonts w:hint="eastAsia"/>
        </w:rPr>
        <w:t>年</w:t>
      </w:r>
      <w:r>
        <w:rPr>
          <w:rFonts w:hint="eastAsia"/>
          <w:lang w:val="en-US" w:eastAsia="zh-CN"/>
        </w:rPr>
        <w:t>10</w:t>
      </w:r>
      <w:r>
        <w:rPr>
          <w:rFonts w:hint="eastAsia"/>
        </w:rPr>
        <w:t>月</w:t>
      </w:r>
      <w:r>
        <w:rPr>
          <w:rFonts w:hint="eastAsia"/>
          <w:lang w:val="en-US" w:eastAsia="zh-CN"/>
        </w:rPr>
        <w:t>29</w:t>
      </w:r>
      <w:r>
        <w:rPr>
          <w:rFonts w:hint="eastAsia"/>
        </w:rPr>
        <w:t>日</w:t>
      </w:r>
    </w:p>
    <w:p w14:paraId="47E47D2C">
      <w:pPr>
        <w:pStyle w:val="11"/>
        <w:tabs>
          <w:tab w:val="right" w:leader="dot" w:pos="8306"/>
          <w:tab w:val="clear" w:pos="8296"/>
        </w:tabs>
        <w:jc w:val="both"/>
      </w:pPr>
      <w:bookmarkStart w:id="14" w:name="_Toc15396599"/>
      <w:bookmarkStart w:id="15" w:name="_Toc15377196"/>
      <w:r>
        <w:fldChar w:fldCharType="begin"/>
      </w:r>
      <w:r>
        <w:instrText xml:space="preserve">TOC \o "1-3" \h \u </w:instrText>
      </w:r>
      <w:r>
        <w:fldChar w:fldCharType="separate"/>
      </w:r>
    </w:p>
    <w:p w14:paraId="1706CBFF">
      <w:pPr>
        <w:pStyle w:val="11"/>
        <w:tabs>
          <w:tab w:val="right" w:leader="dot" w:pos="8306"/>
          <w:tab w:val="clear" w:pos="8296"/>
        </w:tabs>
      </w:pPr>
      <w:r>
        <w:fldChar w:fldCharType="begin"/>
      </w:r>
      <w:r>
        <w:instrText xml:space="preserve"> HYPERLINK \l _Toc29169 </w:instrText>
      </w:r>
      <w:r>
        <w:fldChar w:fldCharType="separate"/>
      </w:r>
      <w:r>
        <w:rPr>
          <w:rFonts w:hint="eastAsia" w:ascii="黑体" w:hAnsi="黑体" w:eastAsia="黑体"/>
        </w:rPr>
        <w:t>第一部分 单位</w:t>
      </w:r>
      <w:r>
        <w:rPr>
          <w:rFonts w:hint="eastAsia" w:ascii="黑体" w:hAnsi="黑体" w:eastAsia="黑体"/>
          <w:bCs w:val="0"/>
        </w:rPr>
        <w:t>概况</w:t>
      </w:r>
      <w:r>
        <w:tab/>
      </w:r>
      <w:r>
        <w:fldChar w:fldCharType="begin"/>
      </w:r>
      <w:r>
        <w:instrText xml:space="preserve"> PAGEREF _Toc29169 \h </w:instrText>
      </w:r>
      <w:r>
        <w:fldChar w:fldCharType="separate"/>
      </w:r>
      <w:r>
        <w:t>4</w:t>
      </w:r>
      <w:r>
        <w:fldChar w:fldCharType="end"/>
      </w:r>
      <w:r>
        <w:fldChar w:fldCharType="end"/>
      </w:r>
    </w:p>
    <w:p w14:paraId="0745288E">
      <w:pPr>
        <w:pStyle w:val="12"/>
        <w:tabs>
          <w:tab w:val="right" w:leader="dot" w:pos="8306"/>
          <w:tab w:val="clear" w:pos="8296"/>
        </w:tabs>
      </w:pPr>
      <w:r>
        <w:fldChar w:fldCharType="begin"/>
      </w:r>
      <w:r>
        <w:instrText xml:space="preserve"> HYPERLINK \l _Toc28438 </w:instrText>
      </w:r>
      <w:r>
        <w:fldChar w:fldCharType="separate"/>
      </w:r>
      <w:r>
        <w:rPr>
          <w:rFonts w:hint="eastAsia" w:ascii="黑体" w:hAnsi="黑体" w:eastAsia="黑体"/>
          <w:bCs w:val="0"/>
        </w:rPr>
        <w:t>一、 主要职责</w:t>
      </w:r>
      <w:r>
        <w:tab/>
      </w:r>
      <w:r>
        <w:fldChar w:fldCharType="begin"/>
      </w:r>
      <w:r>
        <w:instrText xml:space="preserve"> PAGEREF _Toc28438 \h </w:instrText>
      </w:r>
      <w:r>
        <w:fldChar w:fldCharType="separate"/>
      </w:r>
      <w:r>
        <w:t>4</w:t>
      </w:r>
      <w:r>
        <w:fldChar w:fldCharType="end"/>
      </w:r>
      <w:r>
        <w:fldChar w:fldCharType="end"/>
      </w:r>
    </w:p>
    <w:p w14:paraId="2FE37489">
      <w:pPr>
        <w:pStyle w:val="12"/>
        <w:tabs>
          <w:tab w:val="right" w:leader="dot" w:pos="8306"/>
          <w:tab w:val="clear" w:pos="8296"/>
        </w:tabs>
      </w:pPr>
      <w:r>
        <w:fldChar w:fldCharType="begin"/>
      </w:r>
      <w:r>
        <w:instrText xml:space="preserve"> HYPERLINK \l _Toc28982 </w:instrText>
      </w:r>
      <w:r>
        <w:fldChar w:fldCharType="separate"/>
      </w:r>
      <w:r>
        <w:rPr>
          <w:rFonts w:hint="eastAsia" w:ascii="黑体" w:hAnsi="黑体" w:eastAsia="黑体"/>
        </w:rPr>
        <w:t>二、机构设置</w:t>
      </w:r>
      <w:r>
        <w:tab/>
      </w:r>
      <w:r>
        <w:fldChar w:fldCharType="begin"/>
      </w:r>
      <w:r>
        <w:instrText xml:space="preserve"> PAGEREF _Toc28982 \h </w:instrText>
      </w:r>
      <w:r>
        <w:fldChar w:fldCharType="separate"/>
      </w:r>
      <w:r>
        <w:t>4</w:t>
      </w:r>
      <w:r>
        <w:fldChar w:fldCharType="end"/>
      </w:r>
      <w:r>
        <w:fldChar w:fldCharType="end"/>
      </w:r>
    </w:p>
    <w:p w14:paraId="2DED0906">
      <w:pPr>
        <w:pStyle w:val="11"/>
        <w:tabs>
          <w:tab w:val="right" w:leader="dot" w:pos="8306"/>
          <w:tab w:val="clear" w:pos="8296"/>
        </w:tabs>
      </w:pPr>
      <w:r>
        <w:fldChar w:fldCharType="begin"/>
      </w:r>
      <w:r>
        <w:instrText xml:space="preserve"> HYPERLINK \l _Toc28572 </w:instrText>
      </w:r>
      <w:r>
        <w:fldChar w:fldCharType="separate"/>
      </w:r>
      <w:r>
        <w:rPr>
          <w:rFonts w:hint="eastAsia" w:ascii="黑体" w:hAnsi="黑体" w:eastAsia="黑体"/>
        </w:rPr>
        <w:t>第二部分 2023年度</w:t>
      </w:r>
      <w:r>
        <w:rPr>
          <w:rFonts w:hint="eastAsia" w:ascii="黑体" w:hAnsi="黑体" w:eastAsia="黑体"/>
          <w:bCs/>
        </w:rPr>
        <w:t>单位决算情况说明</w:t>
      </w:r>
      <w:r>
        <w:tab/>
      </w:r>
      <w:r>
        <w:fldChar w:fldCharType="begin"/>
      </w:r>
      <w:r>
        <w:instrText xml:space="preserve"> PAGEREF _Toc28572 \h </w:instrText>
      </w:r>
      <w:r>
        <w:fldChar w:fldCharType="separate"/>
      </w:r>
      <w:r>
        <w:t>5</w:t>
      </w:r>
      <w:r>
        <w:fldChar w:fldCharType="end"/>
      </w:r>
      <w:r>
        <w:fldChar w:fldCharType="end"/>
      </w:r>
    </w:p>
    <w:p w14:paraId="1495F24A">
      <w:pPr>
        <w:pStyle w:val="12"/>
        <w:tabs>
          <w:tab w:val="right" w:leader="dot" w:pos="8306"/>
          <w:tab w:val="clear" w:pos="8296"/>
        </w:tabs>
      </w:pPr>
      <w:r>
        <w:fldChar w:fldCharType="begin"/>
      </w:r>
      <w:r>
        <w:instrText xml:space="preserve"> HYPERLINK \l _Toc20932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_Toc20932 \h </w:instrText>
      </w:r>
      <w:r>
        <w:fldChar w:fldCharType="separate"/>
      </w:r>
      <w:r>
        <w:t>5</w:t>
      </w:r>
      <w:r>
        <w:fldChar w:fldCharType="end"/>
      </w:r>
      <w:r>
        <w:fldChar w:fldCharType="end"/>
      </w:r>
    </w:p>
    <w:p w14:paraId="25EFC035">
      <w:pPr>
        <w:pStyle w:val="12"/>
        <w:tabs>
          <w:tab w:val="right" w:leader="dot" w:pos="8306"/>
          <w:tab w:val="clear" w:pos="8296"/>
        </w:tabs>
      </w:pPr>
      <w:r>
        <w:fldChar w:fldCharType="begin"/>
      </w:r>
      <w:r>
        <w:instrText xml:space="preserve"> HYPERLINK \l _Toc28544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_Toc28544 \h </w:instrText>
      </w:r>
      <w:r>
        <w:fldChar w:fldCharType="separate"/>
      </w:r>
      <w:r>
        <w:t>6</w:t>
      </w:r>
      <w:r>
        <w:fldChar w:fldCharType="end"/>
      </w:r>
      <w:r>
        <w:fldChar w:fldCharType="end"/>
      </w:r>
    </w:p>
    <w:p w14:paraId="0408D54F">
      <w:pPr>
        <w:pStyle w:val="12"/>
        <w:tabs>
          <w:tab w:val="right" w:leader="dot" w:pos="8306"/>
          <w:tab w:val="clear" w:pos="8296"/>
        </w:tabs>
      </w:pPr>
      <w:r>
        <w:fldChar w:fldCharType="begin"/>
      </w:r>
      <w:r>
        <w:instrText xml:space="preserve"> HYPERLINK \l _Toc22088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_Toc22088 \h </w:instrText>
      </w:r>
      <w:r>
        <w:fldChar w:fldCharType="separate"/>
      </w:r>
      <w:r>
        <w:t>6</w:t>
      </w:r>
      <w:r>
        <w:fldChar w:fldCharType="end"/>
      </w:r>
      <w:r>
        <w:fldChar w:fldCharType="end"/>
      </w:r>
    </w:p>
    <w:p w14:paraId="2F6AE2A5">
      <w:pPr>
        <w:pStyle w:val="12"/>
        <w:tabs>
          <w:tab w:val="right" w:leader="dot" w:pos="8306"/>
          <w:tab w:val="clear" w:pos="8296"/>
        </w:tabs>
      </w:pPr>
      <w:r>
        <w:fldChar w:fldCharType="begin"/>
      </w:r>
      <w:r>
        <w:instrText xml:space="preserve"> HYPERLINK \l _Toc26715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_Toc26715 \h </w:instrText>
      </w:r>
      <w:r>
        <w:fldChar w:fldCharType="separate"/>
      </w:r>
      <w:r>
        <w:t>7</w:t>
      </w:r>
      <w:r>
        <w:fldChar w:fldCharType="end"/>
      </w:r>
      <w:r>
        <w:fldChar w:fldCharType="end"/>
      </w:r>
    </w:p>
    <w:p w14:paraId="37D72B6D">
      <w:pPr>
        <w:pStyle w:val="12"/>
        <w:tabs>
          <w:tab w:val="right" w:leader="dot" w:pos="8306"/>
          <w:tab w:val="clear" w:pos="8296"/>
        </w:tabs>
      </w:pPr>
      <w:r>
        <w:fldChar w:fldCharType="begin"/>
      </w:r>
      <w:r>
        <w:instrText xml:space="preserve"> HYPERLINK \l _Toc4803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_Toc4803 \h </w:instrText>
      </w:r>
      <w:r>
        <w:fldChar w:fldCharType="separate"/>
      </w:r>
      <w:r>
        <w:t>8</w:t>
      </w:r>
      <w:r>
        <w:fldChar w:fldCharType="end"/>
      </w:r>
      <w:r>
        <w:fldChar w:fldCharType="end"/>
      </w:r>
    </w:p>
    <w:p w14:paraId="10B16B1C">
      <w:pPr>
        <w:pStyle w:val="12"/>
        <w:tabs>
          <w:tab w:val="right" w:leader="dot" w:pos="8306"/>
          <w:tab w:val="clear" w:pos="8296"/>
        </w:tabs>
        <w:ind w:left="0" w:leftChars="0" w:firstLine="420" w:firstLineChars="200"/>
        <w:rPr>
          <w:rFonts w:hint="eastAsia" w:eastAsia="宋体"/>
          <w:lang w:val="en-US" w:eastAsia="zh-CN"/>
        </w:rPr>
      </w:pPr>
      <w:r>
        <w:fldChar w:fldCharType="begin"/>
      </w:r>
      <w:r>
        <w:instrText xml:space="preserve"> HYPERLINK \l _Toc10045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rPr>
          <w:rFonts w:hint="eastAsia"/>
          <w:lang w:val="en-US" w:eastAsia="zh-CN"/>
        </w:rPr>
        <w:t>1</w:t>
      </w:r>
      <w:r>
        <w:fldChar w:fldCharType="end"/>
      </w:r>
      <w:r>
        <w:rPr>
          <w:rFonts w:hint="eastAsia"/>
          <w:lang w:val="en-US" w:eastAsia="zh-CN"/>
        </w:rPr>
        <w:t>0</w:t>
      </w:r>
    </w:p>
    <w:p w14:paraId="65481BEC">
      <w:pPr>
        <w:pStyle w:val="12"/>
        <w:tabs>
          <w:tab w:val="right" w:leader="dot" w:pos="8306"/>
          <w:tab w:val="clear" w:pos="8296"/>
        </w:tabs>
        <w:rPr>
          <w:rFonts w:hint="eastAsia" w:eastAsia="宋体"/>
          <w:lang w:val="en-US" w:eastAsia="zh-CN"/>
        </w:rPr>
      </w:pPr>
      <w:r>
        <w:fldChar w:fldCharType="begin"/>
      </w:r>
      <w:r>
        <w:instrText xml:space="preserve"> HYPERLINK \l _Toc15412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rPr>
          <w:rFonts w:hint="eastAsia"/>
          <w:lang w:val="en-US" w:eastAsia="zh-CN"/>
        </w:rPr>
        <w:t>1</w:t>
      </w:r>
      <w:r>
        <w:fldChar w:fldCharType="end"/>
      </w:r>
      <w:r>
        <w:rPr>
          <w:rFonts w:hint="eastAsia"/>
          <w:lang w:val="en-US" w:eastAsia="zh-CN"/>
        </w:rPr>
        <w:t>1</w:t>
      </w:r>
    </w:p>
    <w:p w14:paraId="15D70315">
      <w:pPr>
        <w:pStyle w:val="7"/>
        <w:tabs>
          <w:tab w:val="right" w:leader="dot" w:pos="8306"/>
          <w:tab w:val="clear" w:pos="8296"/>
        </w:tabs>
        <w:rPr>
          <w:rFonts w:hint="eastAsia" w:eastAsia="宋体"/>
          <w:lang w:val="en-US" w:eastAsia="zh-CN"/>
        </w:rPr>
      </w:pPr>
      <w:r>
        <w:fldChar w:fldCharType="begin"/>
      </w:r>
      <w:r>
        <w:instrText xml:space="preserve"> HYPERLINK \l _Toc11126 </w:instrText>
      </w:r>
      <w:r>
        <w:fldChar w:fldCharType="separate"/>
      </w:r>
      <w:r>
        <w:rPr>
          <w:rFonts w:hint="eastAsia" w:ascii="仿宋" w:hAnsi="仿宋" w:eastAsia="仿宋"/>
          <w:szCs w:val="32"/>
        </w:rPr>
        <w:t>（一）“三公”经费财政拨款支出决算总体情况说明</w:t>
      </w:r>
      <w:r>
        <w:tab/>
      </w:r>
      <w:r>
        <w:rPr>
          <w:rFonts w:hint="eastAsia"/>
          <w:lang w:val="en-US" w:eastAsia="zh-CN"/>
        </w:rPr>
        <w:t>1</w:t>
      </w:r>
      <w:r>
        <w:fldChar w:fldCharType="end"/>
      </w:r>
      <w:r>
        <w:rPr>
          <w:rFonts w:hint="eastAsia"/>
          <w:lang w:val="en-US" w:eastAsia="zh-CN"/>
        </w:rPr>
        <w:t>1</w:t>
      </w:r>
    </w:p>
    <w:p w14:paraId="4FEED72B">
      <w:pPr>
        <w:pStyle w:val="7"/>
        <w:tabs>
          <w:tab w:val="right" w:leader="dot" w:pos="8306"/>
          <w:tab w:val="clear" w:pos="8296"/>
        </w:tabs>
        <w:rPr>
          <w:rFonts w:hint="eastAsia" w:eastAsia="宋体"/>
          <w:lang w:val="en-US" w:eastAsia="zh-CN"/>
        </w:rPr>
      </w:pPr>
      <w:r>
        <w:fldChar w:fldCharType="begin"/>
      </w:r>
      <w:r>
        <w:instrText xml:space="preserve"> HYPERLINK \l _Toc8747 </w:instrText>
      </w:r>
      <w:r>
        <w:fldChar w:fldCharType="separate"/>
      </w:r>
      <w:r>
        <w:rPr>
          <w:rFonts w:hint="eastAsia" w:ascii="仿宋" w:hAnsi="仿宋" w:eastAsia="仿宋"/>
          <w:szCs w:val="32"/>
        </w:rPr>
        <w:t>（二）“三公”经费财政拨款支出决算具体情况说明</w:t>
      </w:r>
      <w:r>
        <w:tab/>
      </w:r>
      <w:r>
        <w:rPr>
          <w:rFonts w:hint="eastAsia"/>
          <w:lang w:val="en-US" w:eastAsia="zh-CN"/>
        </w:rPr>
        <w:t>1</w:t>
      </w:r>
      <w:r>
        <w:fldChar w:fldCharType="end"/>
      </w:r>
      <w:r>
        <w:rPr>
          <w:rFonts w:hint="eastAsia"/>
          <w:lang w:val="en-US" w:eastAsia="zh-CN"/>
        </w:rPr>
        <w:t>1</w:t>
      </w:r>
    </w:p>
    <w:p w14:paraId="412816FF">
      <w:pPr>
        <w:pStyle w:val="12"/>
        <w:tabs>
          <w:tab w:val="right" w:leader="dot" w:pos="8306"/>
          <w:tab w:val="clear" w:pos="8296"/>
        </w:tabs>
        <w:rPr>
          <w:rFonts w:hint="eastAsia" w:eastAsia="宋体"/>
          <w:lang w:val="en-US" w:eastAsia="zh-CN"/>
        </w:rPr>
      </w:pPr>
      <w:r>
        <w:fldChar w:fldCharType="begin"/>
      </w:r>
      <w:r>
        <w:instrText xml:space="preserve"> HYPERLINK \l _Toc17354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rPr>
          <w:rFonts w:hint="eastAsia"/>
          <w:lang w:val="en-US" w:eastAsia="zh-CN"/>
        </w:rPr>
        <w:t>1</w:t>
      </w:r>
      <w:r>
        <w:fldChar w:fldCharType="end"/>
      </w:r>
      <w:r>
        <w:rPr>
          <w:rFonts w:hint="eastAsia"/>
          <w:lang w:val="en-US" w:eastAsia="zh-CN"/>
        </w:rPr>
        <w:t>2</w:t>
      </w:r>
    </w:p>
    <w:p w14:paraId="7CA19742">
      <w:pPr>
        <w:pStyle w:val="12"/>
        <w:tabs>
          <w:tab w:val="right" w:leader="dot" w:pos="8306"/>
          <w:tab w:val="clear" w:pos="8296"/>
        </w:tabs>
        <w:rPr>
          <w:rFonts w:hint="eastAsia" w:eastAsia="宋体"/>
          <w:lang w:val="en-US" w:eastAsia="zh-CN"/>
        </w:rPr>
      </w:pPr>
      <w:r>
        <w:fldChar w:fldCharType="begin"/>
      </w:r>
      <w:r>
        <w:instrText xml:space="preserve"> HYPERLINK \l _Toc5153 </w:instrText>
      </w:r>
      <w:r>
        <w:fldChar w:fldCharType="separate"/>
      </w:r>
      <w:r>
        <w:rPr>
          <w:rFonts w:hint="eastAsia" w:ascii="黑体" w:hAnsi="黑体" w:eastAsia="黑体"/>
        </w:rPr>
        <w:t>九、 国有资本经营预算支出决算情况说明</w:t>
      </w:r>
      <w:r>
        <w:tab/>
      </w:r>
      <w:r>
        <w:rPr>
          <w:rFonts w:hint="eastAsia"/>
          <w:lang w:val="en-US" w:eastAsia="zh-CN"/>
        </w:rPr>
        <w:t>1</w:t>
      </w:r>
      <w:r>
        <w:fldChar w:fldCharType="end"/>
      </w:r>
      <w:r>
        <w:rPr>
          <w:rFonts w:hint="eastAsia"/>
          <w:lang w:val="en-US" w:eastAsia="zh-CN"/>
        </w:rPr>
        <w:t>2</w:t>
      </w:r>
    </w:p>
    <w:p w14:paraId="127ACD06">
      <w:pPr>
        <w:pStyle w:val="12"/>
        <w:tabs>
          <w:tab w:val="right" w:leader="dot" w:pos="8306"/>
          <w:tab w:val="clear" w:pos="8296"/>
        </w:tabs>
        <w:rPr>
          <w:rFonts w:hint="eastAsia" w:eastAsia="宋体"/>
          <w:lang w:val="en-US" w:eastAsia="zh-CN"/>
        </w:rPr>
      </w:pPr>
      <w:r>
        <w:fldChar w:fldCharType="begin"/>
      </w:r>
      <w:r>
        <w:instrText xml:space="preserve"> HYPERLINK \l _Toc28723 </w:instrText>
      </w:r>
      <w:r>
        <w:fldChar w:fldCharType="separate"/>
      </w:r>
      <w:r>
        <w:rPr>
          <w:rFonts w:hint="eastAsia" w:ascii="黑体" w:hAnsi="黑体" w:eastAsia="黑体"/>
        </w:rPr>
        <w:t>十、 其他重要事项的情况说明</w:t>
      </w:r>
      <w:r>
        <w:tab/>
      </w:r>
      <w:r>
        <w:rPr>
          <w:rFonts w:hint="eastAsia"/>
          <w:lang w:val="en-US" w:eastAsia="zh-CN"/>
        </w:rPr>
        <w:t>1</w:t>
      </w:r>
      <w:r>
        <w:fldChar w:fldCharType="end"/>
      </w:r>
      <w:r>
        <w:rPr>
          <w:rFonts w:hint="eastAsia"/>
          <w:lang w:val="en-US" w:eastAsia="zh-CN"/>
        </w:rPr>
        <w:t>3</w:t>
      </w:r>
    </w:p>
    <w:p w14:paraId="7E11F6F1">
      <w:pPr>
        <w:pStyle w:val="7"/>
        <w:tabs>
          <w:tab w:val="right" w:leader="dot" w:pos="8306"/>
          <w:tab w:val="clear" w:pos="8296"/>
        </w:tabs>
        <w:rPr>
          <w:rFonts w:hint="eastAsia" w:eastAsia="宋体"/>
          <w:lang w:val="en-US" w:eastAsia="zh-CN"/>
        </w:rPr>
      </w:pPr>
      <w:r>
        <w:fldChar w:fldCharType="begin"/>
      </w:r>
      <w:r>
        <w:instrText xml:space="preserve"> HYPERLINK \l _Toc28331 </w:instrText>
      </w:r>
      <w:r>
        <w:fldChar w:fldCharType="separate"/>
      </w:r>
      <w:r>
        <w:rPr>
          <w:rFonts w:hint="eastAsia" w:ascii="仿宋" w:hAnsi="仿宋" w:eastAsia="仿宋"/>
          <w:szCs w:val="32"/>
        </w:rPr>
        <w:t>（一）机关运行经费支出情况</w:t>
      </w:r>
      <w:r>
        <w:tab/>
      </w:r>
      <w:r>
        <w:rPr>
          <w:rFonts w:hint="eastAsia"/>
          <w:lang w:val="en-US" w:eastAsia="zh-CN"/>
        </w:rPr>
        <w:t>1</w:t>
      </w:r>
      <w:r>
        <w:fldChar w:fldCharType="end"/>
      </w:r>
      <w:r>
        <w:rPr>
          <w:rFonts w:hint="eastAsia"/>
          <w:lang w:val="en-US" w:eastAsia="zh-CN"/>
        </w:rPr>
        <w:t>3</w:t>
      </w:r>
    </w:p>
    <w:p w14:paraId="0FF5DCBD">
      <w:pPr>
        <w:pStyle w:val="7"/>
        <w:tabs>
          <w:tab w:val="right" w:leader="dot" w:pos="8306"/>
          <w:tab w:val="clear" w:pos="8296"/>
        </w:tabs>
        <w:rPr>
          <w:rFonts w:hint="eastAsia" w:eastAsia="宋体"/>
          <w:lang w:val="en-US" w:eastAsia="zh-CN"/>
        </w:rPr>
      </w:pPr>
      <w:r>
        <w:fldChar w:fldCharType="begin"/>
      </w:r>
      <w:r>
        <w:instrText xml:space="preserve"> HYPERLINK \l _Toc3432 </w:instrText>
      </w:r>
      <w:r>
        <w:fldChar w:fldCharType="separate"/>
      </w:r>
      <w:r>
        <w:rPr>
          <w:rFonts w:hint="eastAsia" w:ascii="仿宋" w:hAnsi="仿宋" w:eastAsia="仿宋"/>
          <w:szCs w:val="32"/>
        </w:rPr>
        <w:t>（二）政府采购支出情况</w:t>
      </w:r>
      <w:r>
        <w:tab/>
      </w:r>
      <w:r>
        <w:rPr>
          <w:rFonts w:hint="eastAsia"/>
          <w:lang w:val="en-US" w:eastAsia="zh-CN"/>
        </w:rPr>
        <w:t>1</w:t>
      </w:r>
      <w:r>
        <w:fldChar w:fldCharType="end"/>
      </w:r>
      <w:r>
        <w:rPr>
          <w:rFonts w:hint="eastAsia"/>
          <w:lang w:val="en-US" w:eastAsia="zh-CN"/>
        </w:rPr>
        <w:t>3</w:t>
      </w:r>
    </w:p>
    <w:p w14:paraId="0BE9DC00">
      <w:pPr>
        <w:pStyle w:val="7"/>
        <w:tabs>
          <w:tab w:val="right" w:leader="dot" w:pos="8306"/>
          <w:tab w:val="clear" w:pos="8296"/>
        </w:tabs>
        <w:rPr>
          <w:rFonts w:hint="eastAsia" w:eastAsia="宋体"/>
          <w:lang w:val="en-US" w:eastAsia="zh-CN"/>
        </w:rPr>
      </w:pPr>
      <w:r>
        <w:fldChar w:fldCharType="begin"/>
      </w:r>
      <w:r>
        <w:instrText xml:space="preserve"> HYPERLINK \l _Toc11319 </w:instrText>
      </w:r>
      <w:r>
        <w:fldChar w:fldCharType="separate"/>
      </w:r>
      <w:r>
        <w:rPr>
          <w:rFonts w:hint="eastAsia" w:ascii="仿宋" w:hAnsi="仿宋" w:eastAsia="仿宋"/>
          <w:szCs w:val="32"/>
        </w:rPr>
        <w:t>（三）国有资产占有使用情况</w:t>
      </w:r>
      <w:r>
        <w:tab/>
      </w:r>
      <w:r>
        <w:rPr>
          <w:rFonts w:hint="eastAsia"/>
          <w:lang w:val="en-US" w:eastAsia="zh-CN"/>
        </w:rPr>
        <w:t>1</w:t>
      </w:r>
      <w:r>
        <w:fldChar w:fldCharType="end"/>
      </w:r>
      <w:r>
        <w:rPr>
          <w:rFonts w:hint="eastAsia"/>
          <w:lang w:val="en-US" w:eastAsia="zh-CN"/>
        </w:rPr>
        <w:t>3</w:t>
      </w:r>
    </w:p>
    <w:p w14:paraId="56C03277">
      <w:pPr>
        <w:pStyle w:val="7"/>
        <w:tabs>
          <w:tab w:val="right" w:leader="dot" w:pos="8306"/>
          <w:tab w:val="clear" w:pos="8296"/>
        </w:tabs>
        <w:rPr>
          <w:rFonts w:hint="eastAsia" w:eastAsia="宋体"/>
          <w:lang w:val="en-US" w:eastAsia="zh-CN"/>
        </w:rPr>
      </w:pPr>
      <w:r>
        <w:fldChar w:fldCharType="begin"/>
      </w:r>
      <w:r>
        <w:instrText xml:space="preserve"> HYPERLINK \l _Toc17003 </w:instrText>
      </w:r>
      <w:r>
        <w:fldChar w:fldCharType="separate"/>
      </w:r>
      <w:r>
        <w:rPr>
          <w:rFonts w:hint="eastAsia" w:ascii="仿宋" w:hAnsi="仿宋" w:eastAsia="仿宋"/>
          <w:szCs w:val="32"/>
        </w:rPr>
        <w:t>（四）预算绩效管理情况</w:t>
      </w:r>
      <w:r>
        <w:tab/>
      </w:r>
      <w:r>
        <w:rPr>
          <w:rFonts w:hint="eastAsia"/>
          <w:lang w:val="en-US" w:eastAsia="zh-CN"/>
        </w:rPr>
        <w:t>1</w:t>
      </w:r>
      <w:r>
        <w:fldChar w:fldCharType="end"/>
      </w:r>
      <w:r>
        <w:rPr>
          <w:rFonts w:hint="eastAsia"/>
          <w:lang w:val="en-US" w:eastAsia="zh-CN"/>
        </w:rPr>
        <w:t>3</w:t>
      </w:r>
    </w:p>
    <w:p w14:paraId="034B5AA0">
      <w:pPr>
        <w:pStyle w:val="11"/>
        <w:tabs>
          <w:tab w:val="right" w:leader="dot" w:pos="8306"/>
          <w:tab w:val="clear" w:pos="8296"/>
        </w:tabs>
        <w:rPr>
          <w:rFonts w:hint="default" w:eastAsia="仿宋"/>
          <w:lang w:val="en-US" w:eastAsia="zh-CN"/>
        </w:rPr>
      </w:pPr>
      <w:r>
        <w:fldChar w:fldCharType="begin"/>
      </w:r>
      <w:r>
        <w:instrText xml:space="preserve"> HYPERLINK \l _Toc15581 </w:instrText>
      </w:r>
      <w:r>
        <w:fldChar w:fldCharType="separate"/>
      </w:r>
      <w:r>
        <w:rPr>
          <w:rFonts w:hint="eastAsia" w:ascii="黑体" w:hAnsi="黑体" w:eastAsia="黑体" w:cs="黑体"/>
          <w:szCs w:val="44"/>
        </w:rPr>
        <w:t xml:space="preserve">第三部分 </w:t>
      </w:r>
      <w:r>
        <w:rPr>
          <w:rFonts w:hint="eastAsia" w:ascii="黑体" w:hAnsi="黑体" w:eastAsia="黑体"/>
          <w:szCs w:val="44"/>
        </w:rPr>
        <w:t>名</w:t>
      </w:r>
      <w:r>
        <w:rPr>
          <w:rFonts w:hint="eastAsia" w:ascii="黑体" w:hAnsi="黑体" w:eastAsia="黑体"/>
        </w:rPr>
        <w:t>词解释</w:t>
      </w:r>
      <w:r>
        <w:tab/>
      </w:r>
      <w:r>
        <w:rPr>
          <w:rFonts w:hint="eastAsia"/>
          <w:lang w:val="en-US" w:eastAsia="zh-CN"/>
        </w:rPr>
        <w:t>1</w:t>
      </w:r>
      <w:r>
        <w:fldChar w:fldCharType="end"/>
      </w:r>
      <w:r>
        <w:rPr>
          <w:rFonts w:hint="eastAsia"/>
          <w:lang w:val="en-US" w:eastAsia="zh-CN"/>
        </w:rPr>
        <w:t>5</w:t>
      </w:r>
    </w:p>
    <w:p w14:paraId="29263ABD">
      <w:pPr>
        <w:pStyle w:val="11"/>
        <w:tabs>
          <w:tab w:val="right" w:leader="dot" w:pos="8306"/>
          <w:tab w:val="clear" w:pos="8296"/>
        </w:tabs>
      </w:pPr>
      <w:r>
        <w:fldChar w:fldCharType="begin"/>
      </w:r>
      <w:r>
        <w:instrText xml:space="preserve"> HYPERLINK \l _Toc27222 </w:instrText>
      </w:r>
      <w:r>
        <w:fldChar w:fldCharType="separate"/>
      </w:r>
      <w:r>
        <w:rPr>
          <w:rFonts w:hint="eastAsia" w:ascii="黑体" w:hAnsi="黑体" w:eastAsia="黑体"/>
          <w:szCs w:val="44"/>
        </w:rPr>
        <w:t>第</w:t>
      </w:r>
      <w:r>
        <w:rPr>
          <w:rFonts w:hint="eastAsia" w:ascii="黑体" w:hAnsi="黑体" w:eastAsia="黑体"/>
        </w:rPr>
        <w:t>四部分 附件</w:t>
      </w:r>
      <w:r>
        <w:tab/>
      </w:r>
      <w:r>
        <w:fldChar w:fldCharType="begin"/>
      </w:r>
      <w:r>
        <w:instrText xml:space="preserve"> PAGEREF _Toc27222 \h </w:instrText>
      </w:r>
      <w:r>
        <w:fldChar w:fldCharType="separate"/>
      </w:r>
      <w:r>
        <w:t>18</w:t>
      </w:r>
      <w:r>
        <w:fldChar w:fldCharType="end"/>
      </w:r>
      <w:r>
        <w:fldChar w:fldCharType="end"/>
      </w:r>
    </w:p>
    <w:p w14:paraId="4EB8C76A">
      <w:pPr>
        <w:pStyle w:val="11"/>
        <w:tabs>
          <w:tab w:val="right" w:leader="dot" w:pos="8306"/>
          <w:tab w:val="clear" w:pos="8296"/>
        </w:tabs>
        <w:rPr>
          <w:rFonts w:hint="eastAsia" w:eastAsia="仿宋"/>
          <w:lang w:val="en-US" w:eastAsia="zh-CN"/>
        </w:rPr>
      </w:pPr>
      <w:r>
        <w:fldChar w:fldCharType="begin"/>
      </w:r>
      <w:r>
        <w:instrText xml:space="preserve"> HYPERLINK \l _Toc20061 </w:instrText>
      </w:r>
      <w:r>
        <w:fldChar w:fldCharType="separate"/>
      </w:r>
      <w:r>
        <w:rPr>
          <w:rFonts w:hint="eastAsia" w:ascii="黑体" w:hAnsi="黑体" w:eastAsia="黑体"/>
          <w:szCs w:val="44"/>
        </w:rPr>
        <w:t>第</w:t>
      </w:r>
      <w:r>
        <w:rPr>
          <w:rFonts w:hint="eastAsia" w:ascii="黑体" w:hAnsi="黑体" w:eastAsia="黑体"/>
        </w:rPr>
        <w:t>五部分 附表</w:t>
      </w:r>
      <w:r>
        <w:tab/>
      </w:r>
      <w:r>
        <w:rPr>
          <w:rFonts w:hint="eastAsia"/>
          <w:lang w:val="en-US" w:eastAsia="zh-CN"/>
        </w:rPr>
        <w:t>2</w:t>
      </w:r>
      <w:r>
        <w:fldChar w:fldCharType="end"/>
      </w:r>
      <w:r>
        <w:rPr>
          <w:rFonts w:hint="eastAsia"/>
          <w:lang w:val="en-US" w:eastAsia="zh-CN"/>
        </w:rPr>
        <w:t>4</w:t>
      </w:r>
    </w:p>
    <w:p w14:paraId="52CB1398">
      <w:pPr>
        <w:pStyle w:val="12"/>
        <w:tabs>
          <w:tab w:val="right" w:leader="dot" w:pos="8306"/>
          <w:tab w:val="clear" w:pos="8296"/>
        </w:tabs>
        <w:rPr>
          <w:rFonts w:hint="eastAsia" w:eastAsia="宋体"/>
          <w:lang w:val="en-US" w:eastAsia="zh-CN"/>
        </w:rPr>
      </w:pPr>
      <w:r>
        <w:fldChar w:fldCharType="begin"/>
      </w:r>
      <w:r>
        <w:instrText xml:space="preserve"> HYPERLINK \l _Toc18812 </w:instrText>
      </w:r>
      <w:r>
        <w:fldChar w:fldCharType="separate"/>
      </w:r>
      <w:r>
        <w:rPr>
          <w:rFonts w:hint="eastAsia" w:ascii="仿宋" w:hAnsi="仿宋" w:eastAsia="仿宋"/>
        </w:rPr>
        <w:t>一、收</w:t>
      </w:r>
      <w:r>
        <w:rPr>
          <w:rFonts w:hint="eastAsia" w:ascii="仿宋" w:hAnsi="仿宋" w:eastAsia="仿宋"/>
          <w:bCs w:val="0"/>
        </w:rPr>
        <w:t>入支出决算总表</w:t>
      </w:r>
      <w:r>
        <w:tab/>
      </w:r>
      <w:r>
        <w:rPr>
          <w:rFonts w:hint="eastAsia"/>
          <w:lang w:val="en-US" w:eastAsia="zh-CN"/>
        </w:rPr>
        <w:t>2</w:t>
      </w:r>
      <w:r>
        <w:fldChar w:fldCharType="end"/>
      </w:r>
      <w:r>
        <w:rPr>
          <w:rFonts w:hint="eastAsia"/>
          <w:lang w:val="en-US" w:eastAsia="zh-CN"/>
        </w:rPr>
        <w:t>4</w:t>
      </w:r>
    </w:p>
    <w:p w14:paraId="6812CB90">
      <w:pPr>
        <w:pStyle w:val="12"/>
        <w:tabs>
          <w:tab w:val="right" w:leader="dot" w:pos="8306"/>
          <w:tab w:val="clear" w:pos="8296"/>
        </w:tabs>
        <w:rPr>
          <w:rFonts w:hint="eastAsia" w:eastAsia="宋体"/>
          <w:lang w:val="en-US" w:eastAsia="zh-CN"/>
        </w:rPr>
      </w:pPr>
      <w:r>
        <w:fldChar w:fldCharType="begin"/>
      </w:r>
      <w:r>
        <w:instrText xml:space="preserve"> HYPERLINK \l _Toc10411 </w:instrText>
      </w:r>
      <w:r>
        <w:fldChar w:fldCharType="separate"/>
      </w:r>
      <w:r>
        <w:rPr>
          <w:rFonts w:hint="eastAsia" w:ascii="仿宋" w:hAnsi="仿宋" w:eastAsia="仿宋"/>
        </w:rPr>
        <w:t>二、收</w:t>
      </w:r>
      <w:r>
        <w:rPr>
          <w:rFonts w:hint="eastAsia" w:ascii="仿宋" w:hAnsi="仿宋" w:eastAsia="仿宋"/>
          <w:bCs w:val="0"/>
        </w:rPr>
        <w:t>入决算表</w:t>
      </w:r>
      <w:r>
        <w:tab/>
      </w:r>
      <w:r>
        <w:rPr>
          <w:rFonts w:hint="eastAsia"/>
          <w:lang w:val="en-US" w:eastAsia="zh-CN"/>
        </w:rPr>
        <w:t>2</w:t>
      </w:r>
      <w:r>
        <w:fldChar w:fldCharType="end"/>
      </w:r>
      <w:r>
        <w:rPr>
          <w:rFonts w:hint="eastAsia"/>
          <w:lang w:val="en-US" w:eastAsia="zh-CN"/>
        </w:rPr>
        <w:t>4</w:t>
      </w:r>
    </w:p>
    <w:p w14:paraId="116BA1D8">
      <w:pPr>
        <w:pStyle w:val="12"/>
        <w:tabs>
          <w:tab w:val="right" w:leader="dot" w:pos="8306"/>
          <w:tab w:val="clear" w:pos="8296"/>
        </w:tabs>
        <w:rPr>
          <w:rFonts w:hint="eastAsia" w:eastAsia="宋体"/>
          <w:lang w:val="en-US" w:eastAsia="zh-CN"/>
        </w:rPr>
      </w:pPr>
      <w:r>
        <w:fldChar w:fldCharType="begin"/>
      </w:r>
      <w:r>
        <w:instrText xml:space="preserve"> HYPERLINK \l _Toc13423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rPr>
          <w:rFonts w:hint="eastAsia"/>
          <w:lang w:val="en-US" w:eastAsia="zh-CN"/>
        </w:rPr>
        <w:t>2</w:t>
      </w:r>
      <w:r>
        <w:fldChar w:fldCharType="end"/>
      </w:r>
      <w:r>
        <w:rPr>
          <w:rFonts w:hint="eastAsia"/>
          <w:lang w:val="en-US" w:eastAsia="zh-CN"/>
        </w:rPr>
        <w:t>4</w:t>
      </w:r>
    </w:p>
    <w:p w14:paraId="6CF0EADE">
      <w:pPr>
        <w:pStyle w:val="12"/>
        <w:tabs>
          <w:tab w:val="right" w:leader="dot" w:pos="8306"/>
          <w:tab w:val="clear" w:pos="8296"/>
        </w:tabs>
        <w:rPr>
          <w:rFonts w:hint="eastAsia" w:eastAsia="宋体"/>
          <w:lang w:val="en-US" w:eastAsia="zh-CN"/>
        </w:rPr>
      </w:pPr>
      <w:r>
        <w:fldChar w:fldCharType="begin"/>
      </w:r>
      <w:r>
        <w:instrText xml:space="preserve"> HYPERLINK \l _Toc1116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rPr>
          <w:rFonts w:hint="eastAsia"/>
          <w:lang w:val="en-US" w:eastAsia="zh-CN"/>
        </w:rPr>
        <w:t>2</w:t>
      </w:r>
      <w:r>
        <w:fldChar w:fldCharType="end"/>
      </w:r>
      <w:r>
        <w:rPr>
          <w:rFonts w:hint="eastAsia"/>
          <w:lang w:val="en-US" w:eastAsia="zh-CN"/>
        </w:rPr>
        <w:t>4</w:t>
      </w:r>
    </w:p>
    <w:p w14:paraId="096CBCAE">
      <w:pPr>
        <w:pStyle w:val="12"/>
        <w:tabs>
          <w:tab w:val="right" w:leader="dot" w:pos="8306"/>
          <w:tab w:val="clear" w:pos="8296"/>
        </w:tabs>
        <w:rPr>
          <w:rFonts w:hint="eastAsia" w:eastAsia="宋体"/>
          <w:lang w:val="en-US" w:eastAsia="zh-CN"/>
        </w:rPr>
      </w:pPr>
      <w:r>
        <w:fldChar w:fldCharType="begin"/>
      </w:r>
      <w:r>
        <w:instrText xml:space="preserve"> HYPERLINK \l _Toc11608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rPr>
          <w:rFonts w:hint="eastAsia"/>
          <w:lang w:val="en-US" w:eastAsia="zh-CN"/>
        </w:rPr>
        <w:t>2</w:t>
      </w:r>
      <w:r>
        <w:fldChar w:fldCharType="end"/>
      </w:r>
      <w:r>
        <w:rPr>
          <w:rFonts w:hint="eastAsia"/>
          <w:lang w:val="en-US" w:eastAsia="zh-CN"/>
        </w:rPr>
        <w:t>4</w:t>
      </w:r>
    </w:p>
    <w:p w14:paraId="19A484ED">
      <w:pPr>
        <w:pStyle w:val="12"/>
        <w:tabs>
          <w:tab w:val="right" w:leader="dot" w:pos="8306"/>
          <w:tab w:val="clear" w:pos="8296"/>
        </w:tabs>
        <w:rPr>
          <w:rFonts w:hint="eastAsia" w:eastAsia="宋体"/>
          <w:lang w:val="en-US" w:eastAsia="zh-CN"/>
        </w:rPr>
      </w:pPr>
      <w:r>
        <w:fldChar w:fldCharType="begin"/>
      </w:r>
      <w:r>
        <w:instrText xml:space="preserve"> HYPERLINK \l _Toc20683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rPr>
          <w:rFonts w:hint="eastAsia"/>
          <w:lang w:val="en-US" w:eastAsia="zh-CN"/>
        </w:rPr>
        <w:t>2</w:t>
      </w:r>
      <w:r>
        <w:fldChar w:fldCharType="end"/>
      </w:r>
      <w:r>
        <w:rPr>
          <w:rFonts w:hint="eastAsia"/>
          <w:lang w:val="en-US" w:eastAsia="zh-CN"/>
        </w:rPr>
        <w:t>4</w:t>
      </w:r>
    </w:p>
    <w:p w14:paraId="29D216B2">
      <w:pPr>
        <w:pStyle w:val="12"/>
        <w:tabs>
          <w:tab w:val="right" w:leader="dot" w:pos="8306"/>
          <w:tab w:val="clear" w:pos="8296"/>
        </w:tabs>
        <w:rPr>
          <w:rFonts w:hint="eastAsia" w:eastAsia="宋体"/>
          <w:lang w:val="en-US" w:eastAsia="zh-CN"/>
        </w:rPr>
      </w:pPr>
      <w:r>
        <w:fldChar w:fldCharType="begin"/>
      </w:r>
      <w:r>
        <w:instrText xml:space="preserve"> HYPERLINK \l _Toc4393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rPr>
          <w:rFonts w:hint="eastAsia"/>
          <w:lang w:val="en-US" w:eastAsia="zh-CN"/>
        </w:rPr>
        <w:t>2</w:t>
      </w:r>
      <w:r>
        <w:fldChar w:fldCharType="end"/>
      </w:r>
      <w:r>
        <w:rPr>
          <w:rFonts w:hint="eastAsia"/>
          <w:lang w:val="en-US" w:eastAsia="zh-CN"/>
        </w:rPr>
        <w:t>4</w:t>
      </w:r>
    </w:p>
    <w:p w14:paraId="244D1246">
      <w:pPr>
        <w:pStyle w:val="12"/>
        <w:tabs>
          <w:tab w:val="right" w:leader="dot" w:pos="8306"/>
          <w:tab w:val="clear" w:pos="8296"/>
        </w:tabs>
        <w:rPr>
          <w:rFonts w:hint="eastAsia" w:eastAsia="宋体"/>
          <w:lang w:val="en-US" w:eastAsia="zh-CN"/>
        </w:rPr>
      </w:pPr>
      <w:r>
        <w:fldChar w:fldCharType="begin"/>
      </w:r>
      <w:r>
        <w:instrText xml:space="preserve"> HYPERLINK \l _Toc32287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rPr>
          <w:rFonts w:hint="eastAsia"/>
          <w:lang w:val="en-US" w:eastAsia="zh-CN"/>
        </w:rPr>
        <w:t>2</w:t>
      </w:r>
      <w:r>
        <w:fldChar w:fldCharType="end"/>
      </w:r>
      <w:r>
        <w:rPr>
          <w:rFonts w:hint="eastAsia"/>
          <w:lang w:val="en-US" w:eastAsia="zh-CN"/>
        </w:rPr>
        <w:t>4</w:t>
      </w:r>
    </w:p>
    <w:p w14:paraId="7187E0D5">
      <w:pPr>
        <w:pStyle w:val="12"/>
        <w:tabs>
          <w:tab w:val="right" w:leader="dot" w:pos="8306"/>
          <w:tab w:val="clear" w:pos="8296"/>
        </w:tabs>
      </w:pPr>
      <w:r>
        <w:fldChar w:fldCharType="begin"/>
      </w:r>
      <w:r>
        <w:instrText xml:space="preserve"> HYPERLINK \l _Toc25217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rPr>
          <w:rFonts w:hint="eastAsia"/>
          <w:lang w:val="en-US" w:eastAsia="zh-CN"/>
        </w:rPr>
        <w:t>24</w:t>
      </w:r>
      <w:r>
        <w:fldChar w:fldCharType="end"/>
      </w:r>
    </w:p>
    <w:p w14:paraId="0857592A">
      <w:pPr>
        <w:pStyle w:val="12"/>
        <w:tabs>
          <w:tab w:val="right" w:leader="dot" w:pos="8306"/>
          <w:tab w:val="clear" w:pos="8296"/>
        </w:tabs>
        <w:rPr>
          <w:rFonts w:hint="eastAsia" w:eastAsia="宋体"/>
          <w:lang w:val="en-US" w:eastAsia="zh-CN"/>
        </w:rPr>
      </w:pPr>
      <w:r>
        <w:fldChar w:fldCharType="begin"/>
      </w:r>
      <w:r>
        <w:instrText xml:space="preserve"> HYPERLINK \l _Toc21308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rPr>
          <w:rFonts w:hint="eastAsia"/>
          <w:lang w:val="en-US" w:eastAsia="zh-CN"/>
        </w:rPr>
        <w:t>2</w:t>
      </w:r>
      <w:r>
        <w:fldChar w:fldCharType="end"/>
      </w:r>
      <w:r>
        <w:rPr>
          <w:rFonts w:hint="eastAsia"/>
          <w:lang w:val="en-US" w:eastAsia="zh-CN"/>
        </w:rPr>
        <w:t>4</w:t>
      </w:r>
    </w:p>
    <w:p w14:paraId="568CBA11">
      <w:pPr>
        <w:pStyle w:val="12"/>
        <w:tabs>
          <w:tab w:val="right" w:leader="dot" w:pos="8306"/>
          <w:tab w:val="clear" w:pos="8296"/>
        </w:tabs>
        <w:rPr>
          <w:rFonts w:hint="eastAsia" w:eastAsia="宋体"/>
          <w:lang w:val="en-US" w:eastAsia="zh-CN"/>
        </w:rPr>
      </w:pPr>
      <w:r>
        <w:fldChar w:fldCharType="begin"/>
      </w:r>
      <w:r>
        <w:instrText xml:space="preserve"> HYPERLINK \l _Toc2129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rPr>
          <w:rFonts w:hint="eastAsia"/>
          <w:lang w:val="en-US" w:eastAsia="zh-CN"/>
        </w:rPr>
        <w:t>2</w:t>
      </w:r>
      <w:r>
        <w:fldChar w:fldCharType="end"/>
      </w:r>
      <w:r>
        <w:rPr>
          <w:rFonts w:hint="eastAsia"/>
          <w:lang w:val="en-US" w:eastAsia="zh-CN"/>
        </w:rPr>
        <w:t>4</w:t>
      </w:r>
    </w:p>
    <w:p w14:paraId="13C4D26F">
      <w:pPr>
        <w:pStyle w:val="12"/>
        <w:tabs>
          <w:tab w:val="right" w:leader="dot" w:pos="8306"/>
          <w:tab w:val="clear" w:pos="8296"/>
        </w:tabs>
        <w:rPr>
          <w:rFonts w:hint="default" w:eastAsia="宋体"/>
          <w:lang w:val="en-US" w:eastAsia="zh-CN"/>
        </w:rPr>
      </w:pPr>
      <w:r>
        <w:fldChar w:fldCharType="begin"/>
      </w:r>
      <w:r>
        <w:instrText xml:space="preserve"> HYPERLINK \l _Toc28787 </w:instrText>
      </w:r>
      <w:r>
        <w:fldChar w:fldCharType="separate"/>
      </w:r>
      <w:r>
        <w:rPr>
          <w:rFonts w:hint="eastAsia" w:ascii="仿宋" w:hAnsi="仿宋" w:eastAsia="仿宋"/>
          <w:bCs w:val="0"/>
        </w:rPr>
        <w:t>十二、国有资本经营预算财政拨款支出决算表</w:t>
      </w:r>
      <w:r>
        <w:tab/>
      </w:r>
      <w:r>
        <w:rPr>
          <w:rFonts w:hint="eastAsia"/>
          <w:lang w:val="en-US" w:eastAsia="zh-CN"/>
        </w:rPr>
        <w:t>2</w:t>
      </w:r>
      <w:r>
        <w:fldChar w:fldCharType="end"/>
      </w:r>
      <w:r>
        <w:rPr>
          <w:rFonts w:hint="eastAsia"/>
          <w:lang w:val="en-US" w:eastAsia="zh-CN"/>
        </w:rPr>
        <w:t>4</w:t>
      </w:r>
    </w:p>
    <w:p w14:paraId="1E2E32BB">
      <w:pPr>
        <w:pStyle w:val="12"/>
        <w:tabs>
          <w:tab w:val="right" w:leader="dot" w:pos="8306"/>
          <w:tab w:val="clear" w:pos="8296"/>
        </w:tabs>
        <w:rPr>
          <w:rFonts w:hint="eastAsia" w:eastAsia="宋体"/>
          <w:lang w:val="en-US" w:eastAsia="zh-CN"/>
        </w:rPr>
      </w:pPr>
      <w:r>
        <w:fldChar w:fldCharType="begin"/>
      </w:r>
      <w:r>
        <w:instrText xml:space="preserve"> HYPERLINK \l _Toc2653 </w:instrText>
      </w:r>
      <w:r>
        <w:fldChar w:fldCharType="separate"/>
      </w:r>
      <w:r>
        <w:rPr>
          <w:rFonts w:hint="eastAsia" w:ascii="仿宋" w:hAnsi="仿宋" w:eastAsia="仿宋"/>
          <w:bCs w:val="0"/>
        </w:rPr>
        <w:t>十三、财政拨款“三公”经费支出决算表</w:t>
      </w:r>
      <w:r>
        <w:tab/>
      </w:r>
      <w:r>
        <w:rPr>
          <w:rFonts w:hint="eastAsia"/>
          <w:lang w:val="en-US" w:eastAsia="zh-CN"/>
        </w:rPr>
        <w:t>2</w:t>
      </w:r>
      <w:r>
        <w:fldChar w:fldCharType="end"/>
      </w:r>
      <w:r>
        <w:rPr>
          <w:rFonts w:hint="eastAsia"/>
          <w:lang w:val="en-US" w:eastAsia="zh-CN"/>
        </w:rPr>
        <w:t>4</w:t>
      </w:r>
    </w:p>
    <w:p w14:paraId="1FA6E2B6">
      <w:r>
        <w:fldChar w:fldCharType="end"/>
      </w:r>
    </w:p>
    <w:p w14:paraId="264DC4C8">
      <w:pPr>
        <w:widowControl/>
        <w:spacing w:line="440" w:lineRule="exact"/>
        <w:jc w:val="left"/>
        <w:rPr>
          <w:rFonts w:ascii="仿宋" w:hAnsi="仿宋" w:eastAsia="仿宋"/>
          <w:bCs/>
          <w:kern w:val="44"/>
          <w:sz w:val="24"/>
        </w:rPr>
      </w:pPr>
      <w:r>
        <w:rPr>
          <w:rFonts w:ascii="仿宋" w:hAnsi="仿宋" w:eastAsia="仿宋"/>
          <w:b/>
          <w:sz w:val="24"/>
        </w:rPr>
        <w:br w:type="page"/>
      </w:r>
    </w:p>
    <w:p w14:paraId="6DED9410">
      <w:pPr>
        <w:pStyle w:val="2"/>
        <w:jc w:val="center"/>
        <w:rPr>
          <w:rStyle w:val="28"/>
          <w:rFonts w:ascii="黑体" w:hAnsi="黑体" w:eastAsia="黑体"/>
          <w:b/>
          <w:bCs w:val="0"/>
        </w:rPr>
      </w:pPr>
      <w:bookmarkStart w:id="16" w:name="_Toc29169"/>
      <w:r>
        <w:rPr>
          <w:rFonts w:hint="eastAsia" w:ascii="黑体" w:hAnsi="黑体" w:eastAsia="黑体"/>
          <w:b w:val="0"/>
        </w:rPr>
        <w:t>第一部分 单位</w:t>
      </w:r>
      <w:r>
        <w:rPr>
          <w:rStyle w:val="28"/>
          <w:rFonts w:hint="eastAsia" w:ascii="黑体" w:hAnsi="黑体" w:eastAsia="黑体"/>
          <w:b w:val="0"/>
          <w:bCs w:val="0"/>
        </w:rPr>
        <w:t>概况</w:t>
      </w:r>
      <w:bookmarkEnd w:id="14"/>
      <w:bookmarkEnd w:id="15"/>
      <w:bookmarkEnd w:id="16"/>
    </w:p>
    <w:p w14:paraId="14CD269C">
      <w:pPr>
        <w:widowControl/>
        <w:jc w:val="left"/>
        <w:rPr>
          <w:rFonts w:ascii="黑体" w:eastAsia="黑体"/>
          <w:sz w:val="32"/>
          <w:szCs w:val="32"/>
        </w:rPr>
      </w:pPr>
    </w:p>
    <w:p w14:paraId="02F7C12B">
      <w:pPr>
        <w:pStyle w:val="3"/>
        <w:numPr>
          <w:ilvl w:val="0"/>
          <w:numId w:val="0"/>
        </w:numPr>
        <w:ind w:firstLine="640" w:firstLineChars="200"/>
        <w:rPr>
          <w:rStyle w:val="29"/>
          <w:rFonts w:ascii="黑体" w:hAnsi="黑体" w:eastAsia="黑体"/>
          <w:b w:val="0"/>
          <w:bCs w:val="0"/>
        </w:rPr>
      </w:pPr>
      <w:bookmarkStart w:id="17" w:name="_Toc28438"/>
      <w:bookmarkStart w:id="18" w:name="_Toc15396600"/>
      <w:bookmarkStart w:id="19" w:name="_Toc15377197"/>
      <w:r>
        <w:rPr>
          <w:rStyle w:val="29"/>
          <w:rFonts w:hint="eastAsia" w:ascii="黑体" w:hAnsi="黑体" w:eastAsia="黑体"/>
          <w:b w:val="0"/>
          <w:bCs w:val="0"/>
          <w:lang w:eastAsia="zh-CN"/>
        </w:rPr>
        <w:t>一、</w:t>
      </w:r>
      <w:r>
        <w:rPr>
          <w:rStyle w:val="29"/>
          <w:rFonts w:hint="eastAsia" w:ascii="黑体" w:hAnsi="黑体" w:eastAsia="黑体"/>
          <w:b w:val="0"/>
          <w:bCs w:val="0"/>
        </w:rPr>
        <w:t>主要职责</w:t>
      </w:r>
      <w:bookmarkEnd w:id="17"/>
    </w:p>
    <w:p w14:paraId="06884156">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lang w:val="en-US" w:eastAsia="zh-CN"/>
        </w:rPr>
        <w:t>1.</w:t>
      </w:r>
      <w:r>
        <w:rPr>
          <w:rFonts w:hint="eastAsia"/>
          <w:sz w:val="32"/>
          <w:szCs w:val="32"/>
        </w:rPr>
        <w:t>认真贯彻执行国家教育方针、政策和法律法规。</w:t>
      </w:r>
    </w:p>
    <w:p w14:paraId="75B2394F">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lang w:val="en-US" w:eastAsia="zh-CN"/>
        </w:rPr>
        <w:t>2.</w:t>
      </w:r>
      <w:r>
        <w:rPr>
          <w:rFonts w:hint="eastAsia"/>
          <w:sz w:val="32"/>
          <w:szCs w:val="32"/>
        </w:rPr>
        <w:t>根据学校实际情况，制定学校发展规划和年度工作计划。</w:t>
      </w:r>
    </w:p>
    <w:p w14:paraId="447C28E5">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lang w:val="en-US" w:eastAsia="zh-CN"/>
        </w:rPr>
        <w:t>3.</w:t>
      </w:r>
      <w:r>
        <w:rPr>
          <w:rFonts w:hint="eastAsia"/>
          <w:sz w:val="32"/>
          <w:szCs w:val="32"/>
        </w:rPr>
        <w:t>根据规划和计划做好年度预算。</w:t>
      </w:r>
    </w:p>
    <w:p w14:paraId="220FD1A5">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lang w:val="en-US" w:eastAsia="zh-CN"/>
        </w:rPr>
        <w:t>4.</w:t>
      </w:r>
      <w:r>
        <w:rPr>
          <w:rFonts w:hint="eastAsia"/>
          <w:sz w:val="32"/>
          <w:szCs w:val="32"/>
        </w:rPr>
        <w:t>做好学校教师发展、青年教师培养、后备干部选拔培养和任用工作。</w:t>
      </w:r>
    </w:p>
    <w:p w14:paraId="1CFC31A6">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lang w:val="en-US" w:eastAsia="zh-CN"/>
        </w:rPr>
        <w:t>5.</w:t>
      </w:r>
      <w:r>
        <w:rPr>
          <w:rFonts w:hint="eastAsia"/>
          <w:sz w:val="32"/>
          <w:szCs w:val="32"/>
        </w:rPr>
        <w:t>做好家校联系和控辍保学工作。</w:t>
      </w:r>
    </w:p>
    <w:p w14:paraId="77082F5D">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lang w:val="en-US" w:eastAsia="zh-CN"/>
        </w:rPr>
        <w:t>6.</w:t>
      </w:r>
      <w:r>
        <w:rPr>
          <w:rFonts w:hint="eastAsia"/>
          <w:sz w:val="32"/>
          <w:szCs w:val="32"/>
        </w:rPr>
        <w:t>做好校园美化和绿化工作。</w:t>
      </w:r>
    </w:p>
    <w:p w14:paraId="3079F8D5">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lang w:val="en-US" w:eastAsia="zh-CN"/>
        </w:rPr>
        <w:t>7.</w:t>
      </w:r>
      <w:r>
        <w:rPr>
          <w:rFonts w:hint="eastAsia"/>
          <w:sz w:val="32"/>
          <w:szCs w:val="32"/>
        </w:rPr>
        <w:t>做好环境治理和安全卫生工作。</w:t>
      </w:r>
    </w:p>
    <w:p w14:paraId="617F77EE">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lang w:val="en-US" w:eastAsia="zh-CN"/>
        </w:rPr>
        <w:t>8.</w:t>
      </w:r>
      <w:r>
        <w:rPr>
          <w:rFonts w:hint="eastAsia"/>
          <w:sz w:val="32"/>
          <w:szCs w:val="32"/>
        </w:rPr>
        <w:t>做好教学教研提升教学质量工作</w:t>
      </w:r>
    </w:p>
    <w:p w14:paraId="13594CAE">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lang w:val="en-US" w:eastAsia="zh-CN"/>
        </w:rPr>
        <w:t>9</w:t>
      </w:r>
      <w:r>
        <w:rPr>
          <w:rFonts w:hint="eastAsia"/>
          <w:sz w:val="32"/>
          <w:szCs w:val="32"/>
          <w:lang w:eastAsia="zh-CN"/>
        </w:rPr>
        <w:t>.</w:t>
      </w:r>
      <w:r>
        <w:rPr>
          <w:rFonts w:hint="eastAsia"/>
          <w:sz w:val="32"/>
          <w:szCs w:val="32"/>
        </w:rPr>
        <w:t>做好廉政建设、党建和师德师风建设工作。</w:t>
      </w:r>
    </w:p>
    <w:p w14:paraId="0DE3DB74">
      <w:pPr>
        <w:pStyle w:val="3"/>
        <w:ind w:firstLine="640" w:firstLineChars="200"/>
        <w:rPr>
          <w:rFonts w:hint="eastAsia" w:ascii="黑体" w:hAnsi="黑体" w:eastAsia="黑体"/>
          <w:b w:val="0"/>
        </w:rPr>
      </w:pPr>
      <w:bookmarkStart w:id="20" w:name="_Toc28982"/>
      <w:r>
        <w:rPr>
          <w:rFonts w:hint="eastAsia" w:ascii="黑体" w:hAnsi="黑体" w:eastAsia="黑体"/>
          <w:b w:val="0"/>
        </w:rPr>
        <w:t>二、机构设置</w:t>
      </w:r>
      <w:bookmarkEnd w:id="20"/>
    </w:p>
    <w:p w14:paraId="394691A7">
      <w:pPr>
        <w:ind w:firstLine="640" w:firstLineChars="200"/>
        <w:rPr>
          <w:rFonts w:hint="eastAsia"/>
          <w:sz w:val="32"/>
          <w:szCs w:val="32"/>
          <w:lang w:val="en-US" w:eastAsia="zh-CN"/>
        </w:rPr>
      </w:pPr>
      <w:r>
        <w:rPr>
          <w:rFonts w:hint="eastAsia"/>
          <w:sz w:val="32"/>
          <w:szCs w:val="32"/>
        </w:rPr>
        <w:t>202</w:t>
      </w:r>
      <w:r>
        <w:rPr>
          <w:rFonts w:hint="eastAsia"/>
          <w:sz w:val="32"/>
          <w:szCs w:val="32"/>
          <w:lang w:val="en-US" w:eastAsia="zh-CN"/>
        </w:rPr>
        <w:t>3</w:t>
      </w:r>
      <w:r>
        <w:rPr>
          <w:rFonts w:hint="eastAsia"/>
          <w:sz w:val="32"/>
          <w:szCs w:val="32"/>
        </w:rPr>
        <w:t>年峨边彝族自治县</w:t>
      </w:r>
      <w:r>
        <w:rPr>
          <w:rFonts w:hint="eastAsia"/>
          <w:sz w:val="32"/>
          <w:szCs w:val="32"/>
          <w:lang w:eastAsia="zh-CN"/>
        </w:rPr>
        <w:t>五渡镇中心小</w:t>
      </w:r>
      <w:r>
        <w:rPr>
          <w:rFonts w:hint="eastAsia"/>
          <w:sz w:val="32"/>
          <w:szCs w:val="32"/>
        </w:rPr>
        <w:t>学，单位基本性质为事业单位，</w:t>
      </w:r>
      <w:r>
        <w:rPr>
          <w:sz w:val="32"/>
          <w:szCs w:val="32"/>
        </w:rPr>
        <w:t>属峨边彝族自治县教育局</w:t>
      </w:r>
      <w:r>
        <w:rPr>
          <w:rFonts w:hint="eastAsia"/>
          <w:sz w:val="32"/>
          <w:szCs w:val="32"/>
        </w:rPr>
        <w:t>下设二级单位1个。</w:t>
      </w:r>
      <w:r>
        <w:rPr>
          <w:rFonts w:hint="eastAsia"/>
          <w:sz w:val="32"/>
          <w:szCs w:val="32"/>
          <w:lang w:val="en-US" w:eastAsia="zh-CN"/>
        </w:rPr>
        <w:t>核定内设机构为：行政办、教务处、少队、安全办、后勤办、德育办6个部门，还有4个村幼儿园教学点。</w:t>
      </w:r>
    </w:p>
    <w:p w14:paraId="2D378F36"/>
    <w:bookmarkEnd w:id="18"/>
    <w:bookmarkEnd w:id="19"/>
    <w:p w14:paraId="77AF4E25">
      <w:pPr>
        <w:widowControl/>
        <w:jc w:val="left"/>
        <w:rPr>
          <w:rFonts w:ascii="仿宋" w:hAnsi="仿宋" w:eastAsia="仿宋"/>
          <w:kern w:val="0"/>
          <w:sz w:val="32"/>
          <w:szCs w:val="32"/>
        </w:rPr>
      </w:pPr>
      <w:r>
        <w:rPr>
          <w:rFonts w:ascii="仿宋" w:hAnsi="仿宋" w:eastAsia="仿宋"/>
          <w:sz w:val="32"/>
          <w:szCs w:val="32"/>
        </w:rPr>
        <w:br w:type="page"/>
      </w:r>
    </w:p>
    <w:p w14:paraId="23BBE9DB">
      <w:pPr>
        <w:pStyle w:val="2"/>
        <w:ind w:right="440"/>
        <w:jc w:val="center"/>
        <w:rPr>
          <w:rStyle w:val="28"/>
          <w:rFonts w:ascii="黑体" w:hAnsi="黑体" w:eastAsia="黑体"/>
          <w:b w:val="0"/>
          <w:bCs/>
        </w:rPr>
      </w:pPr>
      <w:bookmarkStart w:id="21" w:name="_Toc15396602"/>
      <w:bookmarkStart w:id="22" w:name="_Toc28572"/>
      <w:bookmarkStart w:id="23" w:name="_Toc15377204"/>
      <w:r>
        <w:rPr>
          <w:rFonts w:hint="eastAsia" w:ascii="黑体" w:hAnsi="黑体" w:eastAsia="黑体"/>
          <w:b w:val="0"/>
        </w:rPr>
        <w:t>第二部分 2023年度</w:t>
      </w:r>
      <w:r>
        <w:rPr>
          <w:rStyle w:val="28"/>
          <w:rFonts w:hint="eastAsia" w:ascii="黑体" w:hAnsi="黑体" w:eastAsia="黑体"/>
          <w:b w:val="0"/>
          <w:bCs/>
        </w:rPr>
        <w:t>单位决算情况说明</w:t>
      </w:r>
      <w:bookmarkEnd w:id="21"/>
      <w:bookmarkEnd w:id="22"/>
      <w:bookmarkEnd w:id="23"/>
    </w:p>
    <w:p w14:paraId="70684812"/>
    <w:p w14:paraId="78C5CAD9">
      <w:pPr>
        <w:pStyle w:val="27"/>
        <w:numPr>
          <w:ilvl w:val="0"/>
          <w:numId w:val="1"/>
        </w:numPr>
        <w:spacing w:line="600" w:lineRule="exact"/>
        <w:ind w:firstLineChars="0"/>
        <w:outlineLvl w:val="1"/>
        <w:rPr>
          <w:rStyle w:val="29"/>
          <w:rFonts w:ascii="黑体" w:hAnsi="黑体" w:eastAsia="黑体"/>
          <w:b w:val="0"/>
        </w:rPr>
      </w:pPr>
      <w:bookmarkStart w:id="24" w:name="_Toc15396603"/>
      <w:bookmarkStart w:id="25" w:name="_Toc15377205"/>
      <w:bookmarkStart w:id="26" w:name="_Toc20932"/>
      <w:r>
        <w:rPr>
          <w:rFonts w:hint="eastAsia" w:ascii="黑体" w:hAnsi="黑体" w:eastAsia="黑体"/>
          <w:sz w:val="32"/>
          <w:szCs w:val="32"/>
        </w:rPr>
        <w:t>收</w:t>
      </w:r>
      <w:r>
        <w:rPr>
          <w:rStyle w:val="29"/>
          <w:rFonts w:hint="eastAsia" w:ascii="黑体" w:hAnsi="黑体" w:eastAsia="黑体"/>
          <w:b w:val="0"/>
        </w:rPr>
        <w:t>入支出决算总体情况说明</w:t>
      </w:r>
      <w:bookmarkEnd w:id="24"/>
      <w:bookmarkEnd w:id="25"/>
      <w:bookmarkEnd w:id="26"/>
    </w:p>
    <w:p w14:paraId="192978A8">
      <w:pPr>
        <w:spacing w:line="600" w:lineRule="exact"/>
        <w:ind w:firstLine="640" w:firstLineChars="200"/>
        <w:rPr>
          <w:rFonts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993.06</w:t>
      </w:r>
      <w:r>
        <w:rPr>
          <w:rFonts w:hint="eastAsia" w:ascii="仿宋" w:hAnsi="仿宋" w:eastAsia="仿宋"/>
          <w:sz w:val="32"/>
          <w:szCs w:val="32"/>
        </w:rPr>
        <w:t>万元。与2022年度相比，收、支总计各增加</w:t>
      </w:r>
      <w:r>
        <w:rPr>
          <w:rFonts w:hint="eastAsia" w:ascii="仿宋" w:hAnsi="仿宋" w:eastAsia="仿宋"/>
          <w:sz w:val="32"/>
          <w:szCs w:val="32"/>
          <w:lang w:val="en-US" w:eastAsia="zh-CN"/>
        </w:rPr>
        <w:t>113.36</w:t>
      </w:r>
      <w:r>
        <w:rPr>
          <w:rFonts w:hint="eastAsia" w:ascii="仿宋" w:hAnsi="仿宋" w:eastAsia="仿宋"/>
          <w:sz w:val="32"/>
          <w:szCs w:val="32"/>
        </w:rPr>
        <w:t>万元，增长</w:t>
      </w:r>
      <w:r>
        <w:rPr>
          <w:rFonts w:hint="eastAsia" w:ascii="仿宋" w:hAnsi="仿宋" w:eastAsia="仿宋"/>
          <w:sz w:val="32"/>
          <w:szCs w:val="32"/>
          <w:lang w:val="en-US" w:eastAsia="zh-CN"/>
        </w:rPr>
        <w:t>11.4</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学生增加，教育经费投入增加</w:t>
      </w:r>
      <w:r>
        <w:rPr>
          <w:rFonts w:hint="eastAsia" w:ascii="仿宋" w:hAnsi="仿宋" w:eastAsia="仿宋"/>
          <w:sz w:val="32"/>
          <w:szCs w:val="32"/>
        </w:rPr>
        <w:t>。</w:t>
      </w:r>
    </w:p>
    <w:p w14:paraId="665AAC7A">
      <w:pPr>
        <w:spacing w:line="600" w:lineRule="exact"/>
        <w:ind w:firstLine="640" w:firstLineChars="2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14:paraId="1F5BF3E1">
      <w:pPr>
        <w:pStyle w:val="27"/>
        <w:numPr>
          <w:ilvl w:val="0"/>
          <w:numId w:val="0"/>
        </w:numPr>
        <w:tabs>
          <w:tab w:val="left" w:pos="635"/>
        </w:tabs>
        <w:spacing w:line="600" w:lineRule="exact"/>
        <w:ind w:left="640" w:leftChars="0"/>
        <w:outlineLvl w:val="9"/>
        <w:rPr>
          <w:rStyle w:val="29"/>
          <w:rFonts w:ascii="黑体" w:hAnsi="黑体" w:eastAsia="黑体"/>
          <w:b w:val="0"/>
        </w:rPr>
      </w:pPr>
      <w:bookmarkStart w:id="27" w:name="_Toc15396604"/>
      <w:bookmarkStart w:id="28" w:name="_Toc15377206"/>
    </w:p>
    <w:p w14:paraId="085B6692">
      <w:pPr>
        <w:pStyle w:val="27"/>
        <w:numPr>
          <w:ilvl w:val="0"/>
          <w:numId w:val="0"/>
        </w:numPr>
        <w:tabs>
          <w:tab w:val="left" w:pos="635"/>
        </w:tabs>
        <w:spacing w:line="600" w:lineRule="exact"/>
        <w:ind w:left="640" w:leftChars="0"/>
        <w:outlineLvl w:val="9"/>
        <w:rPr>
          <w:rStyle w:val="29"/>
          <w:rFonts w:ascii="黑体" w:hAnsi="黑体" w:eastAsia="黑体"/>
          <w:b w:val="0"/>
        </w:rPr>
      </w:pPr>
      <w:r>
        <w:rPr>
          <w:rFonts w:hint="eastAsia" w:ascii="仿宋_GB2312" w:eastAsia="仿宋_GB2312"/>
          <w:color w:val="000000"/>
          <w:sz w:val="32"/>
          <w:szCs w:val="32"/>
        </w:rPr>
        <w:drawing>
          <wp:anchor distT="0" distB="0" distL="114300" distR="114300" simplePos="0" relativeHeight="251659264" behindDoc="1" locked="0" layoutInCell="1" allowOverlap="1">
            <wp:simplePos x="0" y="0"/>
            <wp:positionH relativeFrom="column">
              <wp:posOffset>47625</wp:posOffset>
            </wp:positionH>
            <wp:positionV relativeFrom="paragraph">
              <wp:posOffset>88900</wp:posOffset>
            </wp:positionV>
            <wp:extent cx="5080000" cy="3810000"/>
            <wp:effectExtent l="4445" t="4445" r="20955" b="1460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bookmarkStart w:id="29" w:name="_Toc4141"/>
    </w:p>
    <w:bookmarkEnd w:id="29"/>
    <w:p w14:paraId="30E6EA80">
      <w:pPr>
        <w:pStyle w:val="27"/>
        <w:numPr>
          <w:ilvl w:val="0"/>
          <w:numId w:val="0"/>
        </w:numPr>
        <w:tabs>
          <w:tab w:val="left" w:pos="635"/>
        </w:tabs>
        <w:spacing w:line="600" w:lineRule="exact"/>
        <w:ind w:left="640" w:leftChars="0"/>
        <w:outlineLvl w:val="9"/>
        <w:rPr>
          <w:rStyle w:val="29"/>
          <w:rFonts w:ascii="黑体" w:hAnsi="黑体" w:eastAsia="黑体"/>
          <w:b w:val="0"/>
        </w:rPr>
      </w:pPr>
    </w:p>
    <w:p w14:paraId="0971E764">
      <w:pPr>
        <w:pStyle w:val="27"/>
        <w:numPr>
          <w:ilvl w:val="0"/>
          <w:numId w:val="0"/>
        </w:numPr>
        <w:tabs>
          <w:tab w:val="left" w:pos="635"/>
        </w:tabs>
        <w:spacing w:line="600" w:lineRule="exact"/>
        <w:ind w:left="640" w:leftChars="0"/>
        <w:outlineLvl w:val="9"/>
        <w:rPr>
          <w:rStyle w:val="29"/>
          <w:rFonts w:ascii="黑体" w:hAnsi="黑体" w:eastAsia="黑体"/>
          <w:b w:val="0"/>
        </w:rPr>
      </w:pPr>
    </w:p>
    <w:p w14:paraId="71A022E8">
      <w:pPr>
        <w:pStyle w:val="27"/>
        <w:numPr>
          <w:ilvl w:val="0"/>
          <w:numId w:val="0"/>
        </w:numPr>
        <w:tabs>
          <w:tab w:val="left" w:pos="635"/>
        </w:tabs>
        <w:spacing w:line="600" w:lineRule="exact"/>
        <w:ind w:left="640" w:leftChars="0"/>
        <w:outlineLvl w:val="9"/>
        <w:rPr>
          <w:rStyle w:val="29"/>
          <w:rFonts w:ascii="黑体" w:hAnsi="黑体" w:eastAsia="黑体"/>
          <w:b w:val="0"/>
        </w:rPr>
      </w:pPr>
    </w:p>
    <w:p w14:paraId="7F7B99FF">
      <w:pPr>
        <w:pStyle w:val="27"/>
        <w:numPr>
          <w:ilvl w:val="0"/>
          <w:numId w:val="0"/>
        </w:numPr>
        <w:tabs>
          <w:tab w:val="left" w:pos="635"/>
        </w:tabs>
        <w:spacing w:line="600" w:lineRule="exact"/>
        <w:ind w:left="640" w:leftChars="0"/>
        <w:outlineLvl w:val="9"/>
        <w:rPr>
          <w:rStyle w:val="29"/>
          <w:rFonts w:ascii="黑体" w:hAnsi="黑体" w:eastAsia="黑体"/>
          <w:b w:val="0"/>
        </w:rPr>
      </w:pPr>
    </w:p>
    <w:p w14:paraId="218DFCFB">
      <w:pPr>
        <w:pStyle w:val="27"/>
        <w:numPr>
          <w:ilvl w:val="0"/>
          <w:numId w:val="0"/>
        </w:numPr>
        <w:tabs>
          <w:tab w:val="left" w:pos="635"/>
        </w:tabs>
        <w:spacing w:line="600" w:lineRule="exact"/>
        <w:ind w:left="640" w:leftChars="0"/>
        <w:outlineLvl w:val="9"/>
        <w:rPr>
          <w:rStyle w:val="29"/>
          <w:rFonts w:ascii="黑体" w:hAnsi="黑体" w:eastAsia="黑体"/>
          <w:b w:val="0"/>
        </w:rPr>
      </w:pPr>
    </w:p>
    <w:p w14:paraId="06C31017">
      <w:pPr>
        <w:pStyle w:val="27"/>
        <w:numPr>
          <w:ilvl w:val="0"/>
          <w:numId w:val="0"/>
        </w:numPr>
        <w:tabs>
          <w:tab w:val="left" w:pos="635"/>
        </w:tabs>
        <w:spacing w:line="600" w:lineRule="exact"/>
        <w:ind w:left="640" w:leftChars="0"/>
        <w:outlineLvl w:val="9"/>
        <w:rPr>
          <w:rStyle w:val="29"/>
          <w:rFonts w:ascii="黑体" w:hAnsi="黑体" w:eastAsia="黑体"/>
          <w:b w:val="0"/>
        </w:rPr>
      </w:pPr>
    </w:p>
    <w:p w14:paraId="69C00AAE">
      <w:pPr>
        <w:pStyle w:val="27"/>
        <w:numPr>
          <w:ilvl w:val="0"/>
          <w:numId w:val="0"/>
        </w:numPr>
        <w:tabs>
          <w:tab w:val="left" w:pos="635"/>
        </w:tabs>
        <w:spacing w:line="600" w:lineRule="exact"/>
        <w:ind w:left="640" w:leftChars="0"/>
        <w:outlineLvl w:val="9"/>
        <w:rPr>
          <w:rStyle w:val="29"/>
          <w:rFonts w:ascii="黑体" w:hAnsi="黑体" w:eastAsia="黑体"/>
          <w:b w:val="0"/>
        </w:rPr>
      </w:pPr>
    </w:p>
    <w:p w14:paraId="2AFF8792">
      <w:pPr>
        <w:pStyle w:val="27"/>
        <w:numPr>
          <w:ilvl w:val="0"/>
          <w:numId w:val="0"/>
        </w:numPr>
        <w:tabs>
          <w:tab w:val="left" w:pos="635"/>
        </w:tabs>
        <w:spacing w:line="600" w:lineRule="exact"/>
        <w:ind w:left="640" w:leftChars="0"/>
        <w:outlineLvl w:val="9"/>
        <w:rPr>
          <w:rStyle w:val="29"/>
          <w:rFonts w:ascii="黑体" w:hAnsi="黑体" w:eastAsia="黑体"/>
          <w:b w:val="0"/>
        </w:rPr>
      </w:pPr>
    </w:p>
    <w:p w14:paraId="33344C2C">
      <w:pPr>
        <w:pStyle w:val="27"/>
        <w:numPr>
          <w:ilvl w:val="0"/>
          <w:numId w:val="0"/>
        </w:numPr>
        <w:tabs>
          <w:tab w:val="left" w:pos="635"/>
        </w:tabs>
        <w:spacing w:line="600" w:lineRule="exact"/>
        <w:ind w:left="640" w:leftChars="0"/>
        <w:outlineLvl w:val="9"/>
        <w:rPr>
          <w:rStyle w:val="29"/>
          <w:rFonts w:ascii="黑体" w:hAnsi="黑体" w:eastAsia="黑体"/>
          <w:b w:val="0"/>
        </w:rPr>
      </w:pPr>
    </w:p>
    <w:p w14:paraId="5B1CDD81">
      <w:pPr>
        <w:pStyle w:val="27"/>
        <w:numPr>
          <w:ilvl w:val="0"/>
          <w:numId w:val="0"/>
        </w:numPr>
        <w:tabs>
          <w:tab w:val="left" w:pos="635"/>
        </w:tabs>
        <w:spacing w:line="600" w:lineRule="exact"/>
        <w:ind w:left="640" w:leftChars="0"/>
        <w:outlineLvl w:val="9"/>
        <w:rPr>
          <w:rStyle w:val="29"/>
          <w:rFonts w:ascii="黑体" w:hAnsi="黑体" w:eastAsia="黑体"/>
          <w:b w:val="0"/>
        </w:rPr>
      </w:pPr>
    </w:p>
    <w:p w14:paraId="197A86BE">
      <w:pPr>
        <w:pStyle w:val="27"/>
        <w:numPr>
          <w:ilvl w:val="0"/>
          <w:numId w:val="0"/>
        </w:numPr>
        <w:tabs>
          <w:tab w:val="left" w:pos="635"/>
        </w:tabs>
        <w:spacing w:line="600" w:lineRule="exact"/>
        <w:ind w:left="640" w:leftChars="0"/>
        <w:outlineLvl w:val="9"/>
        <w:rPr>
          <w:rStyle w:val="29"/>
          <w:rFonts w:ascii="黑体" w:hAnsi="黑体" w:eastAsia="黑体"/>
          <w:b w:val="0"/>
        </w:rPr>
      </w:pPr>
    </w:p>
    <w:p w14:paraId="43DC2617">
      <w:pPr>
        <w:pStyle w:val="27"/>
        <w:numPr>
          <w:ilvl w:val="0"/>
          <w:numId w:val="0"/>
        </w:numPr>
        <w:tabs>
          <w:tab w:val="left" w:pos="635"/>
        </w:tabs>
        <w:spacing w:line="600" w:lineRule="exact"/>
        <w:ind w:left="640" w:leftChars="0"/>
        <w:outlineLvl w:val="9"/>
        <w:rPr>
          <w:rStyle w:val="29"/>
          <w:rFonts w:ascii="黑体" w:hAnsi="黑体" w:eastAsia="黑体"/>
          <w:b w:val="0"/>
        </w:rPr>
      </w:pPr>
    </w:p>
    <w:p w14:paraId="394597C8">
      <w:pPr>
        <w:pStyle w:val="27"/>
        <w:numPr>
          <w:ilvl w:val="0"/>
          <w:numId w:val="1"/>
        </w:numPr>
        <w:tabs>
          <w:tab w:val="left" w:pos="635"/>
        </w:tabs>
        <w:spacing w:line="600" w:lineRule="exact"/>
        <w:ind w:firstLineChars="0"/>
        <w:outlineLvl w:val="1"/>
        <w:rPr>
          <w:rStyle w:val="29"/>
          <w:rFonts w:ascii="黑体" w:hAnsi="黑体" w:eastAsia="黑体"/>
          <w:b w:val="0"/>
        </w:rPr>
      </w:pPr>
      <w:bookmarkStart w:id="30" w:name="_Toc28544"/>
      <w:r>
        <w:rPr>
          <w:rFonts w:hint="eastAsia" w:ascii="黑体" w:hAnsi="黑体" w:eastAsia="黑体"/>
          <w:sz w:val="32"/>
          <w:szCs w:val="32"/>
        </w:rPr>
        <w:t>收</w:t>
      </w:r>
      <w:r>
        <w:rPr>
          <w:rStyle w:val="29"/>
          <w:rFonts w:hint="eastAsia" w:ascii="黑体" w:hAnsi="黑体" w:eastAsia="黑体"/>
          <w:b w:val="0"/>
        </w:rPr>
        <w:t>入决算情况说明</w:t>
      </w:r>
      <w:bookmarkEnd w:id="27"/>
      <w:bookmarkEnd w:id="28"/>
      <w:bookmarkEnd w:id="30"/>
    </w:p>
    <w:p w14:paraId="3C60C566">
      <w:pPr>
        <w:spacing w:line="600" w:lineRule="exact"/>
        <w:ind w:firstLine="640" w:firstLineChars="200"/>
        <w:outlineLvl w:val="1"/>
        <w:rPr>
          <w:rFonts w:ascii="仿宋" w:hAnsi="仿宋" w:eastAsia="仿宋"/>
          <w:sz w:val="32"/>
          <w:szCs w:val="32"/>
        </w:rPr>
      </w:pPr>
      <w:bookmarkStart w:id="31" w:name="_Toc26189"/>
      <w:r>
        <w:rPr>
          <w:rFonts w:hint="eastAsia" w:ascii="仿宋" w:hAnsi="仿宋" w:eastAsia="仿宋"/>
          <w:sz w:val="32"/>
          <w:szCs w:val="32"/>
        </w:rPr>
        <w:t>2023年度本年收入合计</w:t>
      </w:r>
      <w:r>
        <w:rPr>
          <w:rFonts w:ascii="仿宋" w:hAnsi="仿宋" w:eastAsia="仿宋"/>
          <w:b/>
          <w:sz w:val="32"/>
          <w:szCs w:val="32"/>
        </w:rPr>
        <w:t>865.43</w:t>
      </w:r>
      <w:r>
        <w:rPr>
          <w:rFonts w:hint="eastAsia" w:ascii="仿宋" w:hAnsi="仿宋" w:eastAsia="仿宋"/>
          <w:sz w:val="32"/>
          <w:szCs w:val="32"/>
        </w:rPr>
        <w:t>万元，其中：一般公共预算财政拨款收入</w:t>
      </w:r>
      <w:r>
        <w:rPr>
          <w:rFonts w:ascii="仿宋" w:hAnsi="仿宋" w:eastAsia="仿宋"/>
          <w:b/>
          <w:sz w:val="32"/>
          <w:szCs w:val="32"/>
        </w:rPr>
        <w:t>822.62</w:t>
      </w:r>
      <w:r>
        <w:rPr>
          <w:rFonts w:hint="eastAsia" w:ascii="仿宋" w:hAnsi="仿宋" w:eastAsia="仿宋"/>
          <w:sz w:val="32"/>
          <w:szCs w:val="32"/>
        </w:rPr>
        <w:t>万元，占</w:t>
      </w:r>
      <w:r>
        <w:rPr>
          <w:rFonts w:ascii="仿宋" w:hAnsi="仿宋" w:eastAsia="仿宋"/>
          <w:b/>
          <w:sz w:val="32"/>
          <w:szCs w:val="32"/>
        </w:rPr>
        <w:t>95.05%</w:t>
      </w:r>
      <w:r>
        <w:rPr>
          <w:rFonts w:hint="eastAsia" w:ascii="仿宋" w:hAnsi="仿宋" w:eastAsia="仿宋"/>
          <w:sz w:val="32"/>
          <w:szCs w:val="32"/>
        </w:rPr>
        <w:t>；政府性基金预算财政拨款收入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42.81</w:t>
      </w:r>
      <w:r>
        <w:rPr>
          <w:rFonts w:hint="eastAsia" w:ascii="仿宋" w:hAnsi="仿宋" w:eastAsia="仿宋"/>
          <w:sz w:val="32"/>
          <w:szCs w:val="32"/>
        </w:rPr>
        <w:t>万元，占</w:t>
      </w:r>
      <w:r>
        <w:rPr>
          <w:rFonts w:ascii="仿宋" w:hAnsi="仿宋" w:eastAsia="仿宋"/>
          <w:b/>
          <w:sz w:val="32"/>
          <w:szCs w:val="32"/>
        </w:rPr>
        <w:t>4.9</w:t>
      </w:r>
      <w:r>
        <w:rPr>
          <w:rFonts w:hint="eastAsia" w:ascii="仿宋" w:hAnsi="仿宋" w:eastAsia="仿宋"/>
          <w:b/>
          <w:sz w:val="32"/>
          <w:szCs w:val="32"/>
          <w:lang w:val="en-US" w:eastAsia="zh-CN"/>
        </w:rPr>
        <w:t>5</w:t>
      </w:r>
      <w:r>
        <w:rPr>
          <w:rFonts w:ascii="仿宋" w:hAnsi="仿宋" w:eastAsia="仿宋"/>
          <w:sz w:val="32"/>
          <w:szCs w:val="32"/>
        </w:rPr>
        <w:t>%</w:t>
      </w:r>
      <w:bookmarkEnd w:id="31"/>
    </w:p>
    <w:p w14:paraId="2F4D93FF">
      <w:pPr>
        <w:spacing w:line="600" w:lineRule="exact"/>
        <w:outlineLvl w:val="9"/>
      </w:pPr>
      <w:r>
        <w:rPr>
          <w:rFonts w:hint="eastAsia" w:ascii="仿宋" w:hAnsi="仿宋" w:eastAsia="仿宋"/>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-109855</wp:posOffset>
            </wp:positionH>
            <wp:positionV relativeFrom="paragraph">
              <wp:posOffset>351155</wp:posOffset>
            </wp:positionV>
            <wp:extent cx="4727575" cy="3010535"/>
            <wp:effectExtent l="4445" t="4445" r="11430" b="1397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0D1CF6AB">
      <w:pPr>
        <w:pStyle w:val="27"/>
        <w:numPr>
          <w:ilvl w:val="0"/>
          <w:numId w:val="1"/>
        </w:numPr>
        <w:spacing w:line="600" w:lineRule="exact"/>
        <w:ind w:firstLineChars="0"/>
        <w:outlineLvl w:val="1"/>
        <w:rPr>
          <w:rStyle w:val="29"/>
          <w:rFonts w:ascii="黑体" w:hAnsi="黑体" w:eastAsia="黑体"/>
          <w:b w:val="0"/>
        </w:rPr>
      </w:pPr>
      <w:bookmarkStart w:id="32" w:name="_Toc15396605"/>
      <w:bookmarkStart w:id="33" w:name="_Toc22088"/>
      <w:bookmarkStart w:id="34" w:name="_Toc15377207"/>
      <w:r>
        <w:rPr>
          <w:rFonts w:hint="eastAsia" w:ascii="黑体" w:hAnsi="黑体" w:eastAsia="黑体"/>
          <w:sz w:val="32"/>
          <w:szCs w:val="32"/>
        </w:rPr>
        <w:t>支</w:t>
      </w:r>
      <w:r>
        <w:rPr>
          <w:rStyle w:val="29"/>
          <w:rFonts w:hint="eastAsia" w:ascii="黑体" w:hAnsi="黑体" w:eastAsia="黑体"/>
          <w:b w:val="0"/>
        </w:rPr>
        <w:t>出决算情况说明</w:t>
      </w:r>
      <w:bookmarkEnd w:id="32"/>
      <w:bookmarkEnd w:id="33"/>
      <w:bookmarkEnd w:id="34"/>
    </w:p>
    <w:p w14:paraId="1B710B68">
      <w:pPr>
        <w:spacing w:line="600" w:lineRule="exact"/>
        <w:ind w:firstLine="640" w:firstLineChars="200"/>
        <w:outlineLvl w:val="1"/>
        <w:rPr>
          <w:rFonts w:ascii="仿宋" w:hAnsi="仿宋" w:eastAsia="仿宋"/>
          <w:sz w:val="32"/>
          <w:szCs w:val="32"/>
        </w:rPr>
      </w:pPr>
      <w:bookmarkStart w:id="35" w:name="_Toc4388"/>
      <w:r>
        <w:rPr>
          <w:rFonts w:hint="eastAsia" w:ascii="仿宋" w:hAnsi="仿宋" w:eastAsia="仿宋"/>
          <w:sz w:val="32"/>
          <w:szCs w:val="32"/>
        </w:rPr>
        <w:t>2023年度本年支出合计</w:t>
      </w:r>
      <w:r>
        <w:rPr>
          <w:rFonts w:ascii="仿宋" w:hAnsi="仿宋" w:eastAsia="仿宋"/>
          <w:b/>
          <w:sz w:val="32"/>
          <w:szCs w:val="32"/>
        </w:rPr>
        <w:t>865.43</w:t>
      </w:r>
      <w:r>
        <w:rPr>
          <w:rFonts w:hint="eastAsia" w:ascii="仿宋" w:hAnsi="仿宋" w:eastAsia="仿宋"/>
          <w:sz w:val="32"/>
          <w:szCs w:val="32"/>
        </w:rPr>
        <w:t>万元，其中：基本支出</w:t>
      </w:r>
      <w:r>
        <w:rPr>
          <w:rFonts w:ascii="仿宋" w:hAnsi="仿宋" w:eastAsia="仿宋"/>
          <w:b/>
          <w:sz w:val="32"/>
          <w:szCs w:val="32"/>
        </w:rPr>
        <w:t>603.58</w:t>
      </w:r>
      <w:r>
        <w:rPr>
          <w:rFonts w:hint="eastAsia" w:ascii="仿宋" w:hAnsi="仿宋" w:eastAsia="仿宋"/>
          <w:sz w:val="32"/>
          <w:szCs w:val="32"/>
        </w:rPr>
        <w:t>万元，占</w:t>
      </w:r>
      <w:r>
        <w:rPr>
          <w:rFonts w:ascii="仿宋" w:hAnsi="仿宋" w:eastAsia="仿宋"/>
          <w:b/>
          <w:sz w:val="32"/>
          <w:szCs w:val="32"/>
        </w:rPr>
        <w:t>69.74</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261.85</w:t>
      </w:r>
      <w:r>
        <w:rPr>
          <w:rFonts w:hint="eastAsia" w:ascii="仿宋" w:hAnsi="仿宋" w:eastAsia="仿宋"/>
          <w:sz w:val="32"/>
          <w:szCs w:val="32"/>
        </w:rPr>
        <w:t>万元，占</w:t>
      </w:r>
      <w:r>
        <w:rPr>
          <w:rFonts w:ascii="仿宋" w:hAnsi="仿宋" w:eastAsia="仿宋"/>
          <w:b/>
          <w:sz w:val="32"/>
          <w:szCs w:val="32"/>
        </w:rPr>
        <w:t>30.2</w:t>
      </w:r>
      <w:r>
        <w:rPr>
          <w:rFonts w:hint="eastAsia" w:ascii="仿宋" w:hAnsi="仿宋" w:eastAsia="仿宋"/>
          <w:b/>
          <w:sz w:val="32"/>
          <w:szCs w:val="32"/>
          <w:lang w:val="en-US" w:eastAsia="zh-CN"/>
        </w:rPr>
        <w:t>6</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bookmarkEnd w:id="35"/>
    </w:p>
    <w:p w14:paraId="08C4FCBB">
      <w:pPr>
        <w:pStyle w:val="13"/>
        <w:jc w:val="both"/>
        <w:outlineLvl w:val="9"/>
      </w:pPr>
      <w:r>
        <w:rPr>
          <w:rFonts w:hint="eastAsia" w:ascii="仿宋" w:hAnsi="仿宋" w:eastAsia="仿宋"/>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252095</wp:posOffset>
            </wp:positionH>
            <wp:positionV relativeFrom="paragraph">
              <wp:posOffset>40005</wp:posOffset>
            </wp:positionV>
            <wp:extent cx="4727575" cy="3010535"/>
            <wp:effectExtent l="4445" t="4445" r="11430" b="1397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030369E2">
      <w:pPr>
        <w:spacing w:line="600" w:lineRule="exact"/>
        <w:ind w:firstLine="640" w:firstLineChars="200"/>
        <w:outlineLvl w:val="1"/>
        <w:rPr>
          <w:rStyle w:val="29"/>
          <w:rFonts w:ascii="黑体" w:hAnsi="黑体" w:eastAsia="黑体"/>
          <w:b w:val="0"/>
        </w:rPr>
      </w:pPr>
      <w:bookmarkStart w:id="36" w:name="_Toc15377208"/>
      <w:bookmarkStart w:id="37" w:name="_Toc15396606"/>
      <w:bookmarkStart w:id="38" w:name="_Toc26715"/>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36"/>
      <w:bookmarkEnd w:id="37"/>
      <w:bookmarkEnd w:id="38"/>
    </w:p>
    <w:p w14:paraId="7B76FF04">
      <w:pPr>
        <w:spacing w:line="600" w:lineRule="exact"/>
        <w:ind w:firstLine="640"/>
        <w:rPr>
          <w:rFonts w:ascii="仿宋" w:hAnsi="仿宋" w:eastAsia="仿宋"/>
          <w:b/>
          <w:sz w:val="32"/>
          <w:szCs w:val="32"/>
        </w:rPr>
      </w:pPr>
      <w:r>
        <w:rPr>
          <w:rFonts w:hint="eastAsia" w:ascii="仿宋" w:hAnsi="仿宋" w:eastAsia="仿宋"/>
          <w:sz w:val="32"/>
          <w:szCs w:val="32"/>
        </w:rPr>
        <w:t>2023年度财政拨款收、支总计均为</w:t>
      </w:r>
      <w:r>
        <w:rPr>
          <w:rFonts w:ascii="仿宋" w:hAnsi="仿宋" w:eastAsia="仿宋"/>
          <w:b/>
          <w:sz w:val="32"/>
          <w:szCs w:val="32"/>
        </w:rPr>
        <w:t>950.25</w:t>
      </w:r>
      <w:r>
        <w:rPr>
          <w:rFonts w:hint="eastAsia" w:ascii="仿宋" w:hAnsi="仿宋" w:eastAsia="仿宋"/>
          <w:sz w:val="32"/>
          <w:szCs w:val="32"/>
        </w:rPr>
        <w:t>万元。与2022年度相比，财政拨款收、支总计各增加</w:t>
      </w:r>
      <w:r>
        <w:rPr>
          <w:rFonts w:hint="eastAsia" w:ascii="仿宋" w:hAnsi="仿宋" w:eastAsia="仿宋"/>
          <w:sz w:val="32"/>
          <w:szCs w:val="32"/>
          <w:lang w:val="en-US" w:eastAsia="zh-CN"/>
        </w:rPr>
        <w:t>91.55</w:t>
      </w:r>
      <w:r>
        <w:rPr>
          <w:rFonts w:hint="eastAsia" w:ascii="仿宋" w:hAnsi="仿宋" w:eastAsia="仿宋"/>
          <w:sz w:val="32"/>
          <w:szCs w:val="32"/>
        </w:rPr>
        <w:t>万元，增长</w:t>
      </w:r>
      <w:r>
        <w:rPr>
          <w:rFonts w:hint="eastAsia" w:ascii="仿宋" w:hAnsi="仿宋" w:eastAsia="仿宋"/>
          <w:sz w:val="32"/>
          <w:szCs w:val="32"/>
          <w:lang w:val="en-US" w:eastAsia="zh-CN"/>
        </w:rPr>
        <w:t>9.63</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学生增加，教育经费投入增加。</w:t>
      </w:r>
    </w:p>
    <w:p w14:paraId="736B9880">
      <w:pPr>
        <w:pStyle w:val="13"/>
        <w:outlineLvl w:val="9"/>
      </w:pPr>
      <w:r>
        <w:rPr>
          <w:rFonts w:hint="eastAsia" w:ascii="仿宋_GB2312" w:eastAsia="仿宋_GB2312"/>
          <w:color w:val="000000"/>
          <w:sz w:val="32"/>
          <w:szCs w:val="32"/>
        </w:rPr>
        <w:drawing>
          <wp:anchor distT="0" distB="0" distL="114300" distR="114300" simplePos="0" relativeHeight="251662336" behindDoc="1" locked="0" layoutInCell="1" allowOverlap="1">
            <wp:simplePos x="0" y="0"/>
            <wp:positionH relativeFrom="column">
              <wp:posOffset>400050</wp:posOffset>
            </wp:positionH>
            <wp:positionV relativeFrom="paragraph">
              <wp:posOffset>116205</wp:posOffset>
            </wp:positionV>
            <wp:extent cx="5080000" cy="3810000"/>
            <wp:effectExtent l="4445" t="4445" r="20955" b="14605"/>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1B2F7632"/>
    <w:p w14:paraId="1DADF3DD">
      <w:pPr>
        <w:pStyle w:val="13"/>
        <w:outlineLvl w:val="9"/>
      </w:pPr>
    </w:p>
    <w:p w14:paraId="560F19FF"/>
    <w:p w14:paraId="3F31E449">
      <w:pPr>
        <w:pStyle w:val="13"/>
        <w:outlineLvl w:val="9"/>
      </w:pPr>
    </w:p>
    <w:p w14:paraId="792F6752"/>
    <w:p w14:paraId="5AF2BBD3">
      <w:pPr>
        <w:pStyle w:val="13"/>
        <w:outlineLvl w:val="9"/>
      </w:pPr>
    </w:p>
    <w:p w14:paraId="434BE4CD"/>
    <w:p w14:paraId="73036A1D">
      <w:pPr>
        <w:pStyle w:val="13"/>
        <w:outlineLvl w:val="9"/>
      </w:pPr>
    </w:p>
    <w:p w14:paraId="4C83F159">
      <w:pPr>
        <w:spacing w:line="600" w:lineRule="exact"/>
        <w:ind w:firstLine="640" w:firstLineChars="200"/>
        <w:outlineLvl w:val="1"/>
        <w:rPr>
          <w:rStyle w:val="29"/>
          <w:rFonts w:ascii="黑体" w:hAnsi="黑体" w:eastAsia="黑体"/>
          <w:b w:val="0"/>
        </w:rPr>
      </w:pPr>
      <w:bookmarkStart w:id="39" w:name="_Toc4803"/>
      <w:bookmarkStart w:id="40" w:name="_Toc15377209"/>
      <w:bookmarkStart w:id="41" w:name="_Toc15396607"/>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39"/>
      <w:bookmarkEnd w:id="40"/>
      <w:bookmarkEnd w:id="41"/>
    </w:p>
    <w:p w14:paraId="5297BD9B">
      <w:pPr>
        <w:spacing w:line="600" w:lineRule="exact"/>
        <w:ind w:firstLine="643" w:firstLineChars="200"/>
        <w:outlineLvl w:val="2"/>
        <w:rPr>
          <w:rFonts w:ascii="仿宋" w:hAnsi="仿宋" w:eastAsia="仿宋"/>
          <w:b/>
          <w:sz w:val="32"/>
          <w:szCs w:val="32"/>
        </w:rPr>
      </w:pPr>
      <w:bookmarkStart w:id="42" w:name="_Toc27919"/>
      <w:bookmarkStart w:id="43" w:name="_Toc15377210"/>
      <w:r>
        <w:rPr>
          <w:rFonts w:hint="eastAsia" w:ascii="仿宋" w:hAnsi="仿宋" w:eastAsia="仿宋"/>
          <w:b/>
          <w:sz w:val="32"/>
          <w:szCs w:val="32"/>
        </w:rPr>
        <w:t>（一）一般公共预算财政拨款支出决算总体情况</w:t>
      </w:r>
      <w:bookmarkEnd w:id="42"/>
      <w:bookmarkEnd w:id="43"/>
    </w:p>
    <w:p w14:paraId="34CAE00D">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822.62</w:t>
      </w:r>
      <w:r>
        <w:rPr>
          <w:rFonts w:hint="eastAsia" w:ascii="仿宋" w:hAnsi="仿宋" w:eastAsia="仿宋"/>
          <w:sz w:val="32"/>
          <w:szCs w:val="32"/>
        </w:rPr>
        <w:t>万元，占本年支出合计的</w:t>
      </w:r>
      <w:r>
        <w:rPr>
          <w:rFonts w:ascii="仿宋" w:hAnsi="仿宋" w:eastAsia="仿宋"/>
          <w:b/>
          <w:sz w:val="32"/>
          <w:szCs w:val="32"/>
        </w:rPr>
        <w:t>95.05</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90.88</w:t>
      </w:r>
      <w:r>
        <w:rPr>
          <w:rFonts w:hint="eastAsia" w:ascii="仿宋" w:hAnsi="仿宋" w:eastAsia="仿宋"/>
          <w:sz w:val="32"/>
          <w:szCs w:val="32"/>
        </w:rPr>
        <w:t>万元，增长</w:t>
      </w:r>
      <w:r>
        <w:rPr>
          <w:rFonts w:hint="eastAsia" w:ascii="仿宋" w:hAnsi="仿宋" w:eastAsia="仿宋"/>
          <w:sz w:val="32"/>
          <w:szCs w:val="32"/>
          <w:lang w:val="en-US" w:eastAsia="zh-CN"/>
        </w:rPr>
        <w:t>11.05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人员经费增加，教育经费增加。</w:t>
      </w:r>
    </w:p>
    <w:p w14:paraId="1499DF25">
      <w:pPr>
        <w:rPr>
          <w:rFonts w:ascii="仿宋" w:hAnsi="仿宋" w:eastAsia="仿宋"/>
          <w:sz w:val="32"/>
          <w:szCs w:val="32"/>
        </w:rPr>
      </w:pPr>
      <w:r>
        <w:rPr>
          <w:rFonts w:hint="eastAsia" w:ascii="仿宋" w:hAnsi="仿宋" w:eastAsia="仿宋"/>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63500</wp:posOffset>
            </wp:positionH>
            <wp:positionV relativeFrom="paragraph">
              <wp:posOffset>299720</wp:posOffset>
            </wp:positionV>
            <wp:extent cx="4870450" cy="3434715"/>
            <wp:effectExtent l="4445" t="5080" r="20955" b="8255"/>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6FBAE864">
      <w:pPr>
        <w:pStyle w:val="13"/>
        <w:outlineLvl w:val="9"/>
        <w:rPr>
          <w:rFonts w:ascii="仿宋" w:hAnsi="仿宋" w:eastAsia="仿宋"/>
          <w:sz w:val="32"/>
          <w:szCs w:val="32"/>
        </w:rPr>
      </w:pPr>
    </w:p>
    <w:p w14:paraId="383E674E">
      <w:pPr>
        <w:rPr>
          <w:rFonts w:ascii="仿宋" w:hAnsi="仿宋" w:eastAsia="仿宋"/>
          <w:sz w:val="32"/>
          <w:szCs w:val="32"/>
        </w:rPr>
      </w:pPr>
    </w:p>
    <w:p w14:paraId="5FD709BB">
      <w:pPr>
        <w:pStyle w:val="13"/>
        <w:outlineLvl w:val="9"/>
        <w:rPr>
          <w:rFonts w:ascii="仿宋" w:hAnsi="仿宋" w:eastAsia="仿宋"/>
          <w:sz w:val="32"/>
          <w:szCs w:val="32"/>
        </w:rPr>
      </w:pPr>
    </w:p>
    <w:p w14:paraId="0D0DE680">
      <w:pPr>
        <w:rPr>
          <w:rFonts w:ascii="仿宋" w:hAnsi="仿宋" w:eastAsia="仿宋"/>
          <w:sz w:val="32"/>
          <w:szCs w:val="32"/>
        </w:rPr>
      </w:pPr>
    </w:p>
    <w:p w14:paraId="3DB72884">
      <w:pPr>
        <w:pStyle w:val="13"/>
        <w:outlineLvl w:val="9"/>
        <w:rPr>
          <w:rFonts w:ascii="仿宋" w:hAnsi="仿宋" w:eastAsia="仿宋"/>
          <w:sz w:val="32"/>
          <w:szCs w:val="32"/>
        </w:rPr>
      </w:pPr>
    </w:p>
    <w:p w14:paraId="33A6F021">
      <w:pPr>
        <w:rPr>
          <w:rFonts w:ascii="仿宋" w:hAnsi="仿宋" w:eastAsia="仿宋"/>
          <w:sz w:val="32"/>
          <w:szCs w:val="32"/>
        </w:rPr>
      </w:pPr>
    </w:p>
    <w:p w14:paraId="04E92EB1">
      <w:pPr>
        <w:pStyle w:val="13"/>
        <w:outlineLvl w:val="9"/>
        <w:rPr>
          <w:rFonts w:ascii="仿宋" w:hAnsi="仿宋" w:eastAsia="仿宋"/>
          <w:sz w:val="32"/>
          <w:szCs w:val="32"/>
        </w:rPr>
      </w:pPr>
    </w:p>
    <w:p w14:paraId="76D6CB87"/>
    <w:p w14:paraId="15E1EB5A">
      <w:pPr>
        <w:spacing w:line="600" w:lineRule="exact"/>
        <w:ind w:firstLine="643" w:firstLineChars="200"/>
        <w:outlineLvl w:val="2"/>
        <w:rPr>
          <w:rFonts w:ascii="仿宋" w:hAnsi="仿宋" w:eastAsia="仿宋"/>
          <w:b/>
          <w:sz w:val="32"/>
          <w:szCs w:val="32"/>
        </w:rPr>
      </w:pPr>
      <w:bookmarkStart w:id="44" w:name="_Toc21649"/>
      <w:bookmarkStart w:id="45" w:name="_Toc15377211"/>
      <w:r>
        <w:rPr>
          <w:rFonts w:hint="eastAsia" w:ascii="仿宋" w:hAnsi="仿宋" w:eastAsia="仿宋"/>
          <w:b/>
          <w:sz w:val="32"/>
          <w:szCs w:val="32"/>
        </w:rPr>
        <w:t>（二）一般公共预算财政拨款支出决算结构情况</w:t>
      </w:r>
      <w:bookmarkEnd w:id="44"/>
      <w:bookmarkEnd w:id="45"/>
    </w:p>
    <w:p w14:paraId="45BEB3EE">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822.62</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教育支出</w:t>
      </w:r>
      <w:r>
        <w:rPr>
          <w:rFonts w:hint="eastAsia" w:ascii="仿宋" w:hAnsi="仿宋" w:eastAsia="仿宋"/>
          <w:b/>
          <w:sz w:val="32"/>
          <w:szCs w:val="32"/>
          <w:lang w:val="en-US" w:eastAsia="zh-CN"/>
        </w:rPr>
        <w:t>682.09</w:t>
      </w:r>
      <w:r>
        <w:rPr>
          <w:rFonts w:hint="eastAsia" w:ascii="仿宋" w:hAnsi="仿宋" w:eastAsia="仿宋"/>
          <w:sz w:val="32"/>
          <w:szCs w:val="32"/>
        </w:rPr>
        <w:t>万元，占</w:t>
      </w:r>
      <w:r>
        <w:rPr>
          <w:rFonts w:hint="eastAsia" w:ascii="仿宋" w:hAnsi="仿宋" w:eastAsia="仿宋"/>
          <w:sz w:val="32"/>
          <w:szCs w:val="32"/>
          <w:lang w:val="en-US" w:eastAsia="zh-CN"/>
        </w:rPr>
        <w:t>82.91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b/>
          <w:bCs/>
          <w:sz w:val="32"/>
          <w:szCs w:val="32"/>
          <w:lang w:val="en-US" w:eastAsia="zh-CN"/>
        </w:rPr>
        <w:t>80.55</w:t>
      </w:r>
      <w:r>
        <w:rPr>
          <w:rFonts w:hint="eastAsia" w:ascii="仿宋" w:hAnsi="仿宋" w:eastAsia="仿宋"/>
          <w:sz w:val="32"/>
          <w:szCs w:val="32"/>
        </w:rPr>
        <w:t>万元，占</w:t>
      </w:r>
      <w:r>
        <w:rPr>
          <w:rFonts w:hint="eastAsia" w:ascii="仿宋" w:hAnsi="仿宋" w:eastAsia="仿宋"/>
          <w:sz w:val="32"/>
          <w:szCs w:val="32"/>
          <w:lang w:val="en-US" w:eastAsia="zh-CN"/>
        </w:rPr>
        <w:t>9.79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b/>
          <w:bCs/>
          <w:sz w:val="32"/>
          <w:szCs w:val="32"/>
          <w:lang w:val="en-US" w:eastAsia="zh-CN"/>
        </w:rPr>
        <w:t>19.38</w:t>
      </w:r>
      <w:r>
        <w:rPr>
          <w:rFonts w:hint="eastAsia" w:ascii="仿宋" w:hAnsi="仿宋" w:eastAsia="仿宋"/>
          <w:sz w:val="32"/>
          <w:szCs w:val="32"/>
        </w:rPr>
        <w:t>万元，占</w:t>
      </w:r>
      <w:r>
        <w:rPr>
          <w:rFonts w:hint="eastAsia" w:ascii="仿宋" w:hAnsi="仿宋" w:eastAsia="仿宋"/>
          <w:sz w:val="32"/>
          <w:szCs w:val="32"/>
          <w:lang w:val="en-US" w:eastAsia="zh-CN"/>
        </w:rPr>
        <w:t>2.36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b/>
          <w:bCs/>
          <w:sz w:val="32"/>
          <w:szCs w:val="32"/>
          <w:lang w:val="en-US" w:eastAsia="zh-CN"/>
        </w:rPr>
        <w:t>40.59</w:t>
      </w:r>
      <w:r>
        <w:rPr>
          <w:rFonts w:hint="eastAsia" w:ascii="仿宋" w:hAnsi="仿宋" w:eastAsia="仿宋"/>
          <w:sz w:val="32"/>
          <w:szCs w:val="32"/>
        </w:rPr>
        <w:t>万元，占</w:t>
      </w:r>
      <w:r>
        <w:rPr>
          <w:rFonts w:hint="eastAsia" w:ascii="仿宋" w:hAnsi="仿宋" w:eastAsia="仿宋"/>
          <w:sz w:val="32"/>
          <w:szCs w:val="32"/>
          <w:lang w:val="en-US" w:eastAsia="zh-CN"/>
        </w:rPr>
        <w:t>4.94</w:t>
      </w:r>
      <w:r>
        <w:rPr>
          <w:rFonts w:ascii="仿宋" w:hAnsi="仿宋" w:eastAsia="仿宋"/>
          <w:sz w:val="32"/>
          <w:szCs w:val="32"/>
        </w:rPr>
        <w:t>%</w:t>
      </w:r>
      <w:r>
        <w:rPr>
          <w:rFonts w:hint="eastAsia" w:ascii="仿宋" w:hAnsi="仿宋" w:eastAsia="仿宋"/>
          <w:sz w:val="32"/>
          <w:szCs w:val="32"/>
        </w:rPr>
        <w:t>。</w:t>
      </w:r>
    </w:p>
    <w:p w14:paraId="46A88059">
      <w:pPr>
        <w:spacing w:line="600" w:lineRule="exact"/>
        <w:ind w:firstLine="640"/>
        <w:rPr>
          <w:rFonts w:ascii="仿宋" w:hAnsi="仿宋" w:eastAsia="仿宋"/>
          <w:b/>
          <w:sz w:val="32"/>
          <w:szCs w:val="32"/>
        </w:rPr>
      </w:pPr>
    </w:p>
    <w:p w14:paraId="371C7851">
      <w:pPr>
        <w:rPr>
          <w:rFonts w:ascii="仿宋" w:hAnsi="仿宋" w:eastAsia="仿宋"/>
          <w:sz w:val="32"/>
          <w:szCs w:val="32"/>
        </w:rPr>
      </w:pPr>
    </w:p>
    <w:p w14:paraId="2F551422">
      <w:pPr>
        <w:pStyle w:val="13"/>
        <w:outlineLvl w:val="9"/>
        <w:rPr>
          <w:rFonts w:ascii="仿宋" w:hAnsi="仿宋" w:eastAsia="仿宋"/>
          <w:sz w:val="32"/>
          <w:szCs w:val="32"/>
        </w:rPr>
      </w:pPr>
      <w:r>
        <w:rPr>
          <w:rFonts w:hint="eastAsia" w:ascii="仿宋" w:hAnsi="仿宋" w:eastAsia="仿宋"/>
          <w:b/>
          <w:color w:val="auto"/>
          <w:sz w:val="32"/>
          <w:szCs w:val="32"/>
          <w:highlight w:val="none"/>
          <w:lang w:eastAsia="zh-CN"/>
        </w:rPr>
        <w:drawing>
          <wp:anchor distT="0" distB="0" distL="114300" distR="114300" simplePos="0" relativeHeight="251664384" behindDoc="1" locked="0" layoutInCell="1" allowOverlap="1">
            <wp:simplePos x="0" y="0"/>
            <wp:positionH relativeFrom="column">
              <wp:posOffset>372110</wp:posOffset>
            </wp:positionH>
            <wp:positionV relativeFrom="paragraph">
              <wp:posOffset>116205</wp:posOffset>
            </wp:positionV>
            <wp:extent cx="4652645" cy="3159760"/>
            <wp:effectExtent l="4445" t="4445" r="10160" b="1714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04EDB6AE">
      <w:pPr>
        <w:rPr>
          <w:rFonts w:ascii="仿宋" w:hAnsi="仿宋" w:eastAsia="仿宋"/>
          <w:sz w:val="32"/>
          <w:szCs w:val="32"/>
        </w:rPr>
      </w:pPr>
    </w:p>
    <w:p w14:paraId="6F5AA267">
      <w:pPr>
        <w:pStyle w:val="13"/>
        <w:outlineLvl w:val="9"/>
        <w:rPr>
          <w:rFonts w:ascii="仿宋" w:hAnsi="仿宋" w:eastAsia="仿宋"/>
          <w:sz w:val="32"/>
          <w:szCs w:val="32"/>
        </w:rPr>
      </w:pPr>
    </w:p>
    <w:p w14:paraId="6F9C3F40">
      <w:pPr>
        <w:rPr>
          <w:rFonts w:ascii="仿宋" w:hAnsi="仿宋" w:eastAsia="仿宋"/>
          <w:sz w:val="32"/>
          <w:szCs w:val="32"/>
        </w:rPr>
      </w:pPr>
    </w:p>
    <w:p w14:paraId="0BB3A282">
      <w:pPr>
        <w:pStyle w:val="13"/>
        <w:outlineLvl w:val="9"/>
        <w:rPr>
          <w:rFonts w:ascii="仿宋" w:hAnsi="仿宋" w:eastAsia="仿宋"/>
          <w:sz w:val="32"/>
          <w:szCs w:val="32"/>
        </w:rPr>
      </w:pPr>
    </w:p>
    <w:p w14:paraId="08D8D2C5">
      <w:pPr>
        <w:rPr>
          <w:rFonts w:ascii="仿宋" w:hAnsi="仿宋" w:eastAsia="仿宋"/>
          <w:sz w:val="32"/>
          <w:szCs w:val="32"/>
        </w:rPr>
      </w:pPr>
    </w:p>
    <w:p w14:paraId="1569DE4E">
      <w:pPr>
        <w:pStyle w:val="13"/>
        <w:jc w:val="both"/>
        <w:outlineLvl w:val="9"/>
      </w:pPr>
    </w:p>
    <w:p w14:paraId="4E466A64">
      <w:pPr>
        <w:spacing w:line="600" w:lineRule="exact"/>
        <w:ind w:firstLine="643" w:firstLineChars="200"/>
        <w:outlineLvl w:val="2"/>
        <w:rPr>
          <w:rFonts w:ascii="仿宋" w:hAnsi="仿宋" w:eastAsia="仿宋"/>
          <w:b/>
          <w:sz w:val="32"/>
          <w:szCs w:val="32"/>
        </w:rPr>
      </w:pPr>
      <w:bookmarkStart w:id="46" w:name="_Toc15377212"/>
      <w:bookmarkStart w:id="47" w:name="_Toc29198"/>
      <w:r>
        <w:rPr>
          <w:rFonts w:hint="eastAsia" w:ascii="仿宋" w:hAnsi="仿宋" w:eastAsia="仿宋"/>
          <w:b/>
          <w:sz w:val="32"/>
          <w:szCs w:val="32"/>
        </w:rPr>
        <w:t>（三）一般公共预算财政拨款支出决算具体情况</w:t>
      </w:r>
      <w:bookmarkEnd w:id="46"/>
      <w:bookmarkEnd w:id="47"/>
    </w:p>
    <w:p w14:paraId="54CF54A5">
      <w:pPr>
        <w:spacing w:line="600" w:lineRule="exact"/>
        <w:ind w:firstLine="643" w:firstLineChars="200"/>
        <w:outlineLvl w:val="1"/>
        <w:rPr>
          <w:rStyle w:val="17"/>
          <w:rFonts w:hint="eastAsia" w:ascii="仿宋" w:hAnsi="仿宋" w:eastAsia="仿宋"/>
          <w:bCs/>
          <w:sz w:val="32"/>
          <w:szCs w:val="32"/>
        </w:rPr>
      </w:pPr>
      <w:bookmarkStart w:id="48" w:name="_Toc15378460"/>
      <w:bookmarkStart w:id="49" w:name="_Toc15377444"/>
      <w:bookmarkStart w:id="50" w:name="_Toc15377213"/>
      <w:bookmarkStart w:id="51" w:name="_Toc14330"/>
      <w:r>
        <w:rPr>
          <w:rFonts w:hint="eastAsia" w:ascii="仿宋" w:hAnsi="仿宋" w:eastAsia="仿宋"/>
          <w:b/>
          <w:sz w:val="32"/>
          <w:szCs w:val="32"/>
        </w:rPr>
        <w:t>2023年度一般公共预算支出决算数为</w:t>
      </w:r>
      <w:r>
        <w:rPr>
          <w:rFonts w:ascii="仿宋" w:hAnsi="仿宋" w:eastAsia="仿宋"/>
          <w:b/>
          <w:sz w:val="32"/>
          <w:szCs w:val="32"/>
        </w:rPr>
        <w:t>822.62</w:t>
      </w:r>
      <w:r>
        <w:rPr>
          <w:rFonts w:hint="eastAsia" w:ascii="仿宋" w:hAnsi="仿宋" w:eastAsia="仿宋"/>
          <w:sz w:val="32"/>
          <w:szCs w:val="32"/>
        </w:rPr>
        <w:t>，</w:t>
      </w:r>
      <w:r>
        <w:rPr>
          <w:rStyle w:val="17"/>
          <w:rFonts w:hint="eastAsia" w:ascii="仿宋" w:hAnsi="仿宋" w:eastAsia="仿宋"/>
          <w:bCs/>
          <w:sz w:val="32"/>
          <w:szCs w:val="32"/>
        </w:rPr>
        <w:t>完成预算</w:t>
      </w:r>
      <w:r>
        <w:rPr>
          <w:rStyle w:val="17"/>
          <w:rFonts w:hint="eastAsia" w:ascii="仿宋" w:hAnsi="仿宋" w:eastAsia="仿宋"/>
          <w:bCs/>
          <w:sz w:val="32"/>
          <w:szCs w:val="32"/>
          <w:lang w:val="en-US" w:eastAsia="zh-CN"/>
        </w:rPr>
        <w:t>100</w:t>
      </w:r>
      <w:r>
        <w:rPr>
          <w:rStyle w:val="17"/>
          <w:rFonts w:ascii="仿宋" w:hAnsi="仿宋" w:eastAsia="仿宋"/>
          <w:bCs/>
          <w:sz w:val="32"/>
          <w:szCs w:val="32"/>
        </w:rPr>
        <w:t>%</w:t>
      </w:r>
      <w:r>
        <w:rPr>
          <w:rStyle w:val="17"/>
          <w:rFonts w:hint="eastAsia" w:ascii="仿宋" w:hAnsi="仿宋" w:eastAsia="仿宋"/>
          <w:bCs/>
          <w:sz w:val="32"/>
          <w:szCs w:val="32"/>
        </w:rPr>
        <w:t>。其中：</w:t>
      </w:r>
      <w:bookmarkEnd w:id="48"/>
      <w:bookmarkEnd w:id="49"/>
      <w:bookmarkEnd w:id="50"/>
      <w:bookmarkEnd w:id="51"/>
    </w:p>
    <w:p w14:paraId="171A95FC">
      <w:pPr>
        <w:numPr>
          <w:ilvl w:val="0"/>
          <w:numId w:val="0"/>
        </w:numPr>
        <w:spacing w:line="600" w:lineRule="exact"/>
        <w:ind w:firstLine="643" w:firstLineChars="200"/>
        <w:outlineLvl w:val="2"/>
        <w:rPr>
          <w:rStyle w:val="17"/>
          <w:rFonts w:hint="eastAsia" w:ascii="仿宋" w:hAnsi="仿宋" w:eastAsia="仿宋"/>
          <w:bCs/>
          <w:sz w:val="32"/>
          <w:szCs w:val="32"/>
        </w:rPr>
      </w:pPr>
      <w:bookmarkStart w:id="52" w:name="_Toc31674"/>
      <w:r>
        <w:rPr>
          <w:rStyle w:val="17"/>
          <w:rFonts w:hint="eastAsia" w:ascii="仿宋" w:hAnsi="仿宋" w:eastAsia="仿宋"/>
          <w:bCs/>
          <w:sz w:val="32"/>
          <w:szCs w:val="32"/>
          <w:lang w:val="en-US" w:eastAsia="zh-CN"/>
        </w:rPr>
        <w:t>1.</w:t>
      </w:r>
      <w:r>
        <w:rPr>
          <w:rStyle w:val="17"/>
          <w:rFonts w:hint="eastAsia" w:ascii="仿宋" w:hAnsi="仿宋" w:eastAsia="仿宋"/>
          <w:bCs/>
          <w:sz w:val="32"/>
          <w:szCs w:val="32"/>
        </w:rPr>
        <w:t>教育（</w:t>
      </w:r>
      <w:r>
        <w:rPr>
          <w:rStyle w:val="17"/>
          <w:rFonts w:hint="eastAsia" w:ascii="仿宋" w:hAnsi="仿宋" w:eastAsia="仿宋"/>
          <w:bCs/>
          <w:sz w:val="32"/>
          <w:szCs w:val="32"/>
          <w:lang w:val="en-US" w:eastAsia="zh-CN"/>
        </w:rPr>
        <w:t>205</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普通教育</w:t>
      </w:r>
      <w:r>
        <w:rPr>
          <w:rStyle w:val="17"/>
          <w:rFonts w:hint="eastAsia" w:ascii="仿宋" w:hAnsi="仿宋" w:eastAsia="仿宋"/>
          <w:bCs/>
          <w:sz w:val="32"/>
          <w:szCs w:val="32"/>
        </w:rPr>
        <w:t>（</w:t>
      </w:r>
      <w:r>
        <w:rPr>
          <w:rStyle w:val="17"/>
          <w:rFonts w:hint="eastAsia" w:ascii="仿宋" w:hAnsi="仿宋" w:eastAsia="仿宋"/>
          <w:bCs/>
          <w:sz w:val="32"/>
          <w:szCs w:val="32"/>
          <w:lang w:val="en-US" w:eastAsia="zh-CN"/>
        </w:rPr>
        <w:t>02</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学前教育</w:t>
      </w:r>
      <w:r>
        <w:rPr>
          <w:rStyle w:val="17"/>
          <w:rFonts w:hint="eastAsia" w:ascii="仿宋" w:hAnsi="仿宋" w:eastAsia="仿宋"/>
          <w:bCs/>
          <w:sz w:val="32"/>
          <w:szCs w:val="32"/>
        </w:rPr>
        <w:t>（</w:t>
      </w:r>
      <w:r>
        <w:rPr>
          <w:rStyle w:val="17"/>
          <w:rFonts w:hint="eastAsia" w:ascii="仿宋" w:hAnsi="仿宋" w:eastAsia="仿宋"/>
          <w:bCs/>
          <w:sz w:val="32"/>
          <w:szCs w:val="32"/>
          <w:lang w:val="en-US" w:eastAsia="zh-CN"/>
        </w:rPr>
        <w:t>01</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：支出决算数为</w:t>
      </w:r>
      <w:r>
        <w:rPr>
          <w:rStyle w:val="17"/>
          <w:rFonts w:hint="eastAsia" w:ascii="仿宋" w:hAnsi="仿宋" w:eastAsia="仿宋"/>
          <w:bCs/>
          <w:sz w:val="32"/>
          <w:szCs w:val="32"/>
          <w:lang w:val="en-US" w:eastAsia="zh-CN"/>
        </w:rPr>
        <w:t>141.71万元，完成预算数100%。</w:t>
      </w:r>
      <w:bookmarkEnd w:id="52"/>
    </w:p>
    <w:p w14:paraId="7D7F50E2">
      <w:pPr>
        <w:numPr>
          <w:ilvl w:val="0"/>
          <w:numId w:val="0"/>
        </w:numPr>
        <w:spacing w:line="600" w:lineRule="exact"/>
        <w:ind w:firstLine="643" w:firstLineChars="200"/>
        <w:outlineLvl w:val="2"/>
        <w:rPr>
          <w:rStyle w:val="17"/>
          <w:rFonts w:hint="eastAsia" w:ascii="仿宋" w:hAnsi="仿宋" w:eastAsia="仿宋"/>
          <w:bCs/>
          <w:sz w:val="32"/>
          <w:szCs w:val="32"/>
        </w:rPr>
      </w:pPr>
      <w:bookmarkStart w:id="53" w:name="_Toc24034"/>
      <w:r>
        <w:rPr>
          <w:rStyle w:val="17"/>
          <w:rFonts w:hint="eastAsia" w:ascii="仿宋" w:hAnsi="仿宋" w:eastAsia="仿宋"/>
          <w:bCs/>
          <w:sz w:val="32"/>
          <w:szCs w:val="32"/>
          <w:lang w:val="en-US" w:eastAsia="zh-CN"/>
        </w:rPr>
        <w:t>2.</w:t>
      </w:r>
      <w:r>
        <w:rPr>
          <w:rStyle w:val="17"/>
          <w:rFonts w:hint="eastAsia" w:ascii="仿宋" w:hAnsi="仿宋" w:eastAsia="仿宋"/>
          <w:bCs/>
          <w:sz w:val="32"/>
          <w:szCs w:val="32"/>
          <w:lang w:eastAsia="zh-CN"/>
        </w:rPr>
        <w:t>教育（</w:t>
      </w:r>
      <w:r>
        <w:rPr>
          <w:rStyle w:val="17"/>
          <w:rFonts w:hint="eastAsia" w:ascii="仿宋" w:hAnsi="仿宋" w:eastAsia="仿宋"/>
          <w:bCs/>
          <w:sz w:val="32"/>
          <w:szCs w:val="32"/>
          <w:lang w:val="en-US" w:eastAsia="zh-CN"/>
        </w:rPr>
        <w:t>205</w:t>
      </w:r>
      <w:r>
        <w:rPr>
          <w:rStyle w:val="17"/>
          <w:rFonts w:hint="eastAsia" w:ascii="仿宋" w:hAnsi="仿宋" w:eastAsia="仿宋"/>
          <w:bCs/>
          <w:sz w:val="32"/>
          <w:szCs w:val="32"/>
          <w:lang w:eastAsia="zh-CN"/>
        </w:rPr>
        <w:t>类）小学教育（</w:t>
      </w:r>
      <w:r>
        <w:rPr>
          <w:rStyle w:val="17"/>
          <w:rFonts w:hint="eastAsia" w:ascii="仿宋" w:hAnsi="仿宋" w:eastAsia="仿宋"/>
          <w:bCs/>
          <w:sz w:val="32"/>
          <w:szCs w:val="32"/>
          <w:lang w:val="en-US" w:eastAsia="zh-CN"/>
        </w:rPr>
        <w:t>02项</w:t>
      </w:r>
      <w:r>
        <w:rPr>
          <w:rStyle w:val="17"/>
          <w:rFonts w:hint="eastAsia" w:ascii="仿宋" w:hAnsi="仿宋" w:eastAsia="仿宋"/>
          <w:bCs/>
          <w:sz w:val="32"/>
          <w:szCs w:val="32"/>
          <w:lang w:eastAsia="zh-CN"/>
        </w:rPr>
        <w:t>）</w:t>
      </w:r>
      <w:r>
        <w:rPr>
          <w:rStyle w:val="17"/>
          <w:rFonts w:hint="eastAsia" w:ascii="仿宋" w:hAnsi="仿宋" w:eastAsia="仿宋"/>
          <w:bCs/>
          <w:sz w:val="32"/>
          <w:szCs w:val="32"/>
          <w:lang w:val="en-US" w:eastAsia="zh-CN"/>
        </w:rPr>
        <w:t>其他教育（99项）：</w:t>
      </w:r>
      <w:r>
        <w:rPr>
          <w:rStyle w:val="17"/>
          <w:rFonts w:hint="eastAsia" w:ascii="仿宋" w:hAnsi="仿宋" w:eastAsia="仿宋"/>
          <w:bCs/>
          <w:sz w:val="32"/>
          <w:szCs w:val="32"/>
        </w:rPr>
        <w:t xml:space="preserve"> 支出决算为</w:t>
      </w:r>
      <w:r>
        <w:rPr>
          <w:rStyle w:val="17"/>
          <w:rFonts w:hint="eastAsia" w:ascii="仿宋" w:hAnsi="仿宋" w:eastAsia="仿宋"/>
          <w:bCs/>
          <w:sz w:val="32"/>
          <w:szCs w:val="32"/>
          <w:lang w:val="en-US" w:eastAsia="zh-CN"/>
        </w:rPr>
        <w:t>537.49</w:t>
      </w:r>
      <w:r>
        <w:rPr>
          <w:rStyle w:val="17"/>
          <w:rFonts w:hint="eastAsia" w:ascii="仿宋" w:hAnsi="仿宋" w:eastAsia="仿宋"/>
          <w:bCs/>
          <w:sz w:val="32"/>
          <w:szCs w:val="32"/>
        </w:rPr>
        <w:t>万元，完成预算</w:t>
      </w:r>
      <w:r>
        <w:rPr>
          <w:rStyle w:val="17"/>
          <w:rFonts w:hint="eastAsia" w:ascii="仿宋" w:hAnsi="仿宋" w:eastAsia="仿宋"/>
          <w:bCs/>
          <w:sz w:val="32"/>
          <w:szCs w:val="32"/>
          <w:lang w:val="en-US" w:eastAsia="zh-CN"/>
        </w:rPr>
        <w:t>100</w:t>
      </w:r>
      <w:r>
        <w:rPr>
          <w:rStyle w:val="17"/>
          <w:rFonts w:hint="eastAsia" w:ascii="仿宋" w:hAnsi="仿宋" w:eastAsia="仿宋"/>
          <w:bCs/>
          <w:sz w:val="32"/>
          <w:szCs w:val="32"/>
        </w:rPr>
        <w:t>%。</w:t>
      </w:r>
      <w:bookmarkEnd w:id="53"/>
    </w:p>
    <w:p w14:paraId="5FF8F0C7">
      <w:pPr>
        <w:numPr>
          <w:ilvl w:val="0"/>
          <w:numId w:val="0"/>
        </w:numPr>
        <w:spacing w:line="600" w:lineRule="exact"/>
        <w:ind w:firstLine="643" w:firstLineChars="200"/>
        <w:outlineLvl w:val="2"/>
        <w:rPr>
          <w:rFonts w:hint="eastAsia"/>
        </w:rPr>
      </w:pPr>
      <w:bookmarkStart w:id="54" w:name="_Toc9569"/>
      <w:r>
        <w:rPr>
          <w:rStyle w:val="17"/>
          <w:rFonts w:hint="eastAsia" w:ascii="仿宋" w:hAnsi="仿宋" w:eastAsia="仿宋"/>
          <w:bCs/>
          <w:sz w:val="32"/>
          <w:szCs w:val="32"/>
          <w:lang w:val="en-US" w:eastAsia="zh-CN"/>
        </w:rPr>
        <w:t>3.</w:t>
      </w:r>
      <w:r>
        <w:rPr>
          <w:rStyle w:val="17"/>
          <w:rFonts w:hint="eastAsia" w:ascii="仿宋" w:hAnsi="仿宋" w:eastAsia="仿宋"/>
          <w:bCs/>
          <w:sz w:val="32"/>
          <w:szCs w:val="32"/>
          <w:lang w:eastAsia="zh-CN"/>
        </w:rPr>
        <w:t>教育（</w:t>
      </w:r>
      <w:r>
        <w:rPr>
          <w:rStyle w:val="17"/>
          <w:rFonts w:hint="eastAsia" w:ascii="仿宋" w:hAnsi="仿宋" w:eastAsia="仿宋"/>
          <w:bCs/>
          <w:sz w:val="32"/>
          <w:szCs w:val="32"/>
          <w:lang w:val="en-US" w:eastAsia="zh-CN"/>
        </w:rPr>
        <w:t>205</w:t>
      </w:r>
      <w:r>
        <w:rPr>
          <w:rStyle w:val="17"/>
          <w:rFonts w:hint="eastAsia" w:ascii="仿宋" w:hAnsi="仿宋" w:eastAsia="仿宋"/>
          <w:bCs/>
          <w:sz w:val="32"/>
          <w:szCs w:val="32"/>
          <w:lang w:eastAsia="zh-CN"/>
        </w:rPr>
        <w:t>类）其他教育支出（</w:t>
      </w:r>
      <w:r>
        <w:rPr>
          <w:rStyle w:val="17"/>
          <w:rFonts w:hint="eastAsia" w:ascii="仿宋" w:hAnsi="仿宋" w:eastAsia="仿宋"/>
          <w:bCs/>
          <w:sz w:val="32"/>
          <w:szCs w:val="32"/>
          <w:lang w:val="en-US" w:eastAsia="zh-CN"/>
        </w:rPr>
        <w:t>99项</w:t>
      </w:r>
      <w:r>
        <w:rPr>
          <w:rStyle w:val="17"/>
          <w:rFonts w:hint="eastAsia" w:ascii="仿宋" w:hAnsi="仿宋" w:eastAsia="仿宋"/>
          <w:bCs/>
          <w:sz w:val="32"/>
          <w:szCs w:val="32"/>
          <w:lang w:eastAsia="zh-CN"/>
        </w:rPr>
        <w:t>）</w:t>
      </w:r>
      <w:r>
        <w:rPr>
          <w:rStyle w:val="17"/>
          <w:rFonts w:hint="eastAsia" w:ascii="仿宋" w:hAnsi="仿宋" w:eastAsia="仿宋"/>
          <w:bCs/>
          <w:sz w:val="32"/>
          <w:szCs w:val="32"/>
          <w:lang w:val="en-US" w:eastAsia="zh-CN"/>
        </w:rPr>
        <w:t>其他教育（99项）：</w:t>
      </w:r>
      <w:r>
        <w:rPr>
          <w:rStyle w:val="17"/>
          <w:rFonts w:hint="eastAsia" w:ascii="仿宋" w:hAnsi="仿宋" w:eastAsia="仿宋"/>
          <w:bCs/>
          <w:sz w:val="32"/>
          <w:szCs w:val="32"/>
        </w:rPr>
        <w:t xml:space="preserve"> 支出决算为</w:t>
      </w:r>
      <w:r>
        <w:rPr>
          <w:rStyle w:val="17"/>
          <w:rFonts w:hint="eastAsia" w:ascii="仿宋" w:hAnsi="仿宋" w:eastAsia="仿宋"/>
          <w:bCs/>
          <w:sz w:val="32"/>
          <w:szCs w:val="32"/>
          <w:lang w:val="en-US" w:eastAsia="zh-CN"/>
        </w:rPr>
        <w:t>2.89</w:t>
      </w:r>
      <w:r>
        <w:rPr>
          <w:rStyle w:val="17"/>
          <w:rFonts w:hint="eastAsia" w:ascii="仿宋" w:hAnsi="仿宋" w:eastAsia="仿宋"/>
          <w:bCs/>
          <w:sz w:val="32"/>
          <w:szCs w:val="32"/>
        </w:rPr>
        <w:t>万元，完成预算</w:t>
      </w:r>
      <w:r>
        <w:rPr>
          <w:rStyle w:val="17"/>
          <w:rFonts w:hint="eastAsia" w:ascii="仿宋" w:hAnsi="仿宋" w:eastAsia="仿宋"/>
          <w:bCs/>
          <w:sz w:val="32"/>
          <w:szCs w:val="32"/>
          <w:lang w:val="en-US" w:eastAsia="zh-CN"/>
        </w:rPr>
        <w:t>100</w:t>
      </w:r>
      <w:r>
        <w:rPr>
          <w:rStyle w:val="17"/>
          <w:rFonts w:hint="eastAsia" w:ascii="仿宋" w:hAnsi="仿宋" w:eastAsia="仿宋"/>
          <w:bCs/>
          <w:sz w:val="32"/>
          <w:szCs w:val="32"/>
        </w:rPr>
        <w:t>%。</w:t>
      </w:r>
      <w:bookmarkEnd w:id="54"/>
    </w:p>
    <w:p w14:paraId="7769D047">
      <w:pPr>
        <w:spacing w:line="600" w:lineRule="exact"/>
        <w:ind w:firstLine="643" w:firstLineChars="200"/>
        <w:outlineLvl w:val="2"/>
        <w:rPr>
          <w:rStyle w:val="17"/>
          <w:rFonts w:hint="eastAsia" w:ascii="仿宋" w:hAnsi="仿宋" w:eastAsia="仿宋"/>
          <w:bCs/>
          <w:sz w:val="32"/>
          <w:szCs w:val="32"/>
        </w:rPr>
      </w:pPr>
      <w:bookmarkStart w:id="55" w:name="_Toc25195"/>
      <w:r>
        <w:rPr>
          <w:rStyle w:val="17"/>
          <w:rFonts w:hint="eastAsia" w:ascii="仿宋" w:hAnsi="仿宋" w:eastAsia="仿宋"/>
          <w:bCs/>
          <w:sz w:val="32"/>
          <w:szCs w:val="32"/>
          <w:lang w:val="en-US" w:eastAsia="zh-CN"/>
        </w:rPr>
        <w:t>4</w:t>
      </w:r>
      <w:r>
        <w:rPr>
          <w:rStyle w:val="17"/>
          <w:rFonts w:hint="eastAsia" w:ascii="仿宋" w:hAnsi="仿宋" w:eastAsia="仿宋"/>
          <w:bCs/>
          <w:sz w:val="32"/>
          <w:szCs w:val="32"/>
        </w:rPr>
        <w:t>.社会保障和就业（208类）行政事业单位养老支出（05款）机关事业单位基本养老保险缴费支出（05项）</w:t>
      </w:r>
      <w:r>
        <w:rPr>
          <w:rStyle w:val="17"/>
          <w:rFonts w:hint="eastAsia" w:ascii="仿宋" w:hAnsi="仿宋" w:eastAsia="仿宋"/>
          <w:bCs/>
          <w:sz w:val="32"/>
          <w:szCs w:val="32"/>
          <w:lang w:eastAsia="zh-CN"/>
        </w:rPr>
        <w:t>：</w:t>
      </w:r>
      <w:r>
        <w:rPr>
          <w:rStyle w:val="17"/>
          <w:rFonts w:hint="eastAsia" w:ascii="仿宋" w:hAnsi="仿宋" w:eastAsia="仿宋"/>
          <w:bCs/>
          <w:sz w:val="32"/>
          <w:szCs w:val="32"/>
        </w:rPr>
        <w:t xml:space="preserve"> 支出决算为</w:t>
      </w:r>
      <w:r>
        <w:rPr>
          <w:rStyle w:val="17"/>
          <w:rFonts w:hint="eastAsia" w:ascii="仿宋" w:hAnsi="仿宋" w:eastAsia="仿宋"/>
          <w:bCs/>
          <w:sz w:val="32"/>
          <w:szCs w:val="32"/>
          <w:lang w:val="en-US" w:eastAsia="zh-CN"/>
        </w:rPr>
        <w:t>42.53</w:t>
      </w:r>
      <w:r>
        <w:rPr>
          <w:rStyle w:val="17"/>
          <w:rFonts w:hint="eastAsia" w:ascii="仿宋" w:hAnsi="仿宋" w:eastAsia="仿宋"/>
          <w:bCs/>
          <w:sz w:val="32"/>
          <w:szCs w:val="32"/>
        </w:rPr>
        <w:t>万元，完成预算</w:t>
      </w:r>
      <w:r>
        <w:rPr>
          <w:rStyle w:val="17"/>
          <w:rFonts w:hint="eastAsia" w:ascii="仿宋" w:hAnsi="仿宋" w:eastAsia="仿宋"/>
          <w:bCs/>
          <w:sz w:val="32"/>
          <w:szCs w:val="32"/>
          <w:lang w:val="en-US" w:eastAsia="zh-CN"/>
        </w:rPr>
        <w:t>100</w:t>
      </w:r>
      <w:r>
        <w:rPr>
          <w:rStyle w:val="17"/>
          <w:rFonts w:hint="eastAsia" w:ascii="仿宋" w:hAnsi="仿宋" w:eastAsia="仿宋"/>
          <w:bCs/>
          <w:sz w:val="32"/>
          <w:szCs w:val="32"/>
        </w:rPr>
        <w:t>%。</w:t>
      </w:r>
      <w:bookmarkEnd w:id="55"/>
    </w:p>
    <w:p w14:paraId="573F0650">
      <w:pPr>
        <w:spacing w:line="600" w:lineRule="exact"/>
        <w:ind w:firstLine="643" w:firstLineChars="200"/>
        <w:outlineLvl w:val="2"/>
        <w:rPr>
          <w:rStyle w:val="17"/>
          <w:rFonts w:hint="eastAsia" w:ascii="仿宋" w:hAnsi="仿宋" w:eastAsia="仿宋"/>
          <w:bCs/>
          <w:sz w:val="32"/>
          <w:szCs w:val="32"/>
        </w:rPr>
      </w:pPr>
      <w:bookmarkStart w:id="56" w:name="_Toc6252"/>
      <w:r>
        <w:rPr>
          <w:rStyle w:val="17"/>
          <w:rFonts w:hint="eastAsia" w:ascii="仿宋" w:hAnsi="仿宋" w:eastAsia="仿宋"/>
          <w:bCs/>
          <w:sz w:val="32"/>
          <w:szCs w:val="32"/>
          <w:lang w:val="en-US" w:eastAsia="zh-CN"/>
        </w:rPr>
        <w:t>5.</w:t>
      </w:r>
      <w:r>
        <w:rPr>
          <w:rStyle w:val="17"/>
          <w:rFonts w:hint="eastAsia" w:ascii="仿宋" w:hAnsi="仿宋" w:eastAsia="仿宋"/>
          <w:bCs/>
          <w:sz w:val="32"/>
          <w:szCs w:val="32"/>
        </w:rPr>
        <w:t>社会保障和就业（208类）行政事业单位养老支出（05款）机关事业单位职业年金缴费支出（06项）</w:t>
      </w:r>
      <w:r>
        <w:rPr>
          <w:rStyle w:val="17"/>
          <w:rFonts w:hint="eastAsia" w:ascii="仿宋" w:hAnsi="仿宋" w:eastAsia="仿宋"/>
          <w:bCs/>
          <w:sz w:val="32"/>
          <w:szCs w:val="32"/>
          <w:lang w:eastAsia="zh-CN"/>
        </w:rPr>
        <w:t>：</w:t>
      </w:r>
      <w:r>
        <w:rPr>
          <w:rStyle w:val="17"/>
          <w:rFonts w:hint="eastAsia" w:ascii="仿宋" w:hAnsi="仿宋" w:eastAsia="仿宋"/>
          <w:bCs/>
          <w:sz w:val="32"/>
          <w:szCs w:val="32"/>
        </w:rPr>
        <w:t xml:space="preserve"> 支出决算为</w:t>
      </w:r>
      <w:r>
        <w:rPr>
          <w:rStyle w:val="17"/>
          <w:rFonts w:hint="eastAsia" w:ascii="仿宋" w:hAnsi="仿宋" w:eastAsia="仿宋"/>
          <w:bCs/>
          <w:sz w:val="32"/>
          <w:szCs w:val="32"/>
          <w:lang w:val="en-US" w:eastAsia="zh-CN"/>
        </w:rPr>
        <w:t>22.96</w:t>
      </w:r>
      <w:r>
        <w:rPr>
          <w:rStyle w:val="17"/>
          <w:rFonts w:hint="eastAsia" w:ascii="仿宋" w:hAnsi="仿宋" w:eastAsia="仿宋"/>
          <w:bCs/>
          <w:sz w:val="32"/>
          <w:szCs w:val="32"/>
        </w:rPr>
        <w:t>万元，完成预算</w:t>
      </w:r>
      <w:r>
        <w:rPr>
          <w:rStyle w:val="17"/>
          <w:rFonts w:hint="eastAsia" w:ascii="仿宋" w:hAnsi="仿宋" w:eastAsia="仿宋"/>
          <w:bCs/>
          <w:sz w:val="32"/>
          <w:szCs w:val="32"/>
          <w:lang w:val="en-US" w:eastAsia="zh-CN"/>
        </w:rPr>
        <w:t>100</w:t>
      </w:r>
      <w:r>
        <w:rPr>
          <w:rStyle w:val="17"/>
          <w:rFonts w:hint="eastAsia" w:ascii="仿宋" w:hAnsi="仿宋" w:eastAsia="仿宋"/>
          <w:bCs/>
          <w:sz w:val="32"/>
          <w:szCs w:val="32"/>
        </w:rPr>
        <w:t>%。</w:t>
      </w:r>
      <w:bookmarkEnd w:id="56"/>
    </w:p>
    <w:p w14:paraId="1102F65A">
      <w:pPr>
        <w:spacing w:line="600" w:lineRule="exact"/>
        <w:ind w:firstLine="643" w:firstLineChars="200"/>
        <w:outlineLvl w:val="2"/>
        <w:rPr>
          <w:rStyle w:val="17"/>
          <w:rFonts w:hint="eastAsia" w:ascii="仿宋" w:hAnsi="仿宋" w:eastAsia="仿宋"/>
          <w:bCs/>
          <w:sz w:val="32"/>
          <w:szCs w:val="32"/>
          <w:lang w:val="en-US" w:eastAsia="zh-CN"/>
        </w:rPr>
      </w:pPr>
      <w:bookmarkStart w:id="57" w:name="_Toc30719"/>
      <w:r>
        <w:rPr>
          <w:rStyle w:val="17"/>
          <w:rFonts w:hint="eastAsia" w:ascii="仿宋" w:hAnsi="仿宋" w:eastAsia="仿宋"/>
          <w:bCs/>
          <w:sz w:val="32"/>
          <w:szCs w:val="32"/>
          <w:lang w:val="en-US" w:eastAsia="zh-CN"/>
        </w:rPr>
        <w:t>6.</w:t>
      </w:r>
      <w:r>
        <w:rPr>
          <w:rStyle w:val="17"/>
          <w:rFonts w:hint="eastAsia" w:ascii="仿宋" w:hAnsi="仿宋" w:eastAsia="仿宋"/>
          <w:bCs/>
          <w:sz w:val="32"/>
          <w:szCs w:val="32"/>
        </w:rPr>
        <w:t>社会保障和就业（208类）机关事业单位</w:t>
      </w:r>
      <w:r>
        <w:rPr>
          <w:rStyle w:val="17"/>
          <w:rFonts w:hint="eastAsia" w:ascii="仿宋" w:hAnsi="仿宋" w:eastAsia="仿宋"/>
          <w:bCs/>
          <w:sz w:val="32"/>
          <w:szCs w:val="32"/>
          <w:lang w:eastAsia="zh-CN"/>
        </w:rPr>
        <w:t>抚恤金</w:t>
      </w:r>
      <w:r>
        <w:rPr>
          <w:rStyle w:val="17"/>
          <w:rFonts w:hint="eastAsia" w:ascii="仿宋" w:hAnsi="仿宋" w:eastAsia="仿宋"/>
          <w:bCs/>
          <w:sz w:val="32"/>
          <w:szCs w:val="32"/>
        </w:rPr>
        <w:t>支出（0</w:t>
      </w:r>
      <w:r>
        <w:rPr>
          <w:rStyle w:val="17"/>
          <w:rFonts w:hint="eastAsia" w:ascii="仿宋" w:hAnsi="仿宋" w:eastAsia="仿宋"/>
          <w:bCs/>
          <w:sz w:val="32"/>
          <w:szCs w:val="32"/>
          <w:lang w:val="en-US" w:eastAsia="zh-CN"/>
        </w:rPr>
        <w:t>8款</w:t>
      </w:r>
      <w:r>
        <w:rPr>
          <w:rStyle w:val="17"/>
          <w:rFonts w:hint="eastAsia" w:ascii="仿宋" w:hAnsi="仿宋" w:eastAsia="仿宋"/>
          <w:bCs/>
          <w:sz w:val="32"/>
          <w:szCs w:val="32"/>
        </w:rPr>
        <w:t>）</w:t>
      </w:r>
      <w:r>
        <w:rPr>
          <w:rStyle w:val="17"/>
          <w:rFonts w:hint="eastAsia" w:ascii="仿宋" w:hAnsi="仿宋" w:eastAsia="仿宋"/>
          <w:bCs/>
          <w:sz w:val="32"/>
          <w:szCs w:val="32"/>
          <w:lang w:eastAsia="zh-CN"/>
        </w:rPr>
        <w:t>死亡抚恤（</w:t>
      </w:r>
      <w:r>
        <w:rPr>
          <w:rStyle w:val="17"/>
          <w:rFonts w:hint="eastAsia" w:ascii="仿宋" w:hAnsi="仿宋" w:eastAsia="仿宋"/>
          <w:bCs/>
          <w:sz w:val="32"/>
          <w:szCs w:val="32"/>
          <w:lang w:val="en-US" w:eastAsia="zh-CN"/>
        </w:rPr>
        <w:t>01</w:t>
      </w:r>
      <w:r>
        <w:rPr>
          <w:rStyle w:val="17"/>
          <w:rFonts w:hint="eastAsia" w:ascii="仿宋" w:hAnsi="仿宋" w:eastAsia="仿宋"/>
          <w:bCs/>
          <w:sz w:val="32"/>
          <w:szCs w:val="32"/>
          <w:lang w:eastAsia="zh-CN"/>
        </w:rPr>
        <w:t>项）：支出决算为</w:t>
      </w:r>
      <w:r>
        <w:rPr>
          <w:rStyle w:val="17"/>
          <w:rFonts w:hint="eastAsia" w:ascii="仿宋" w:hAnsi="仿宋" w:eastAsia="仿宋"/>
          <w:bCs/>
          <w:sz w:val="32"/>
          <w:szCs w:val="32"/>
          <w:lang w:val="en-US" w:eastAsia="zh-CN"/>
        </w:rPr>
        <w:t>7.21万元，完成预算100%</w:t>
      </w:r>
      <w:bookmarkEnd w:id="57"/>
    </w:p>
    <w:p w14:paraId="53848AE5">
      <w:pPr>
        <w:spacing w:line="600" w:lineRule="exact"/>
        <w:ind w:firstLine="643" w:firstLineChars="200"/>
        <w:outlineLvl w:val="2"/>
        <w:rPr>
          <w:rStyle w:val="17"/>
          <w:rFonts w:hint="eastAsia" w:ascii="仿宋" w:hAnsi="仿宋" w:eastAsia="仿宋"/>
          <w:bCs/>
          <w:sz w:val="32"/>
          <w:szCs w:val="32"/>
        </w:rPr>
      </w:pPr>
      <w:bookmarkStart w:id="58" w:name="_Toc14768"/>
      <w:r>
        <w:rPr>
          <w:rStyle w:val="17"/>
          <w:rFonts w:hint="eastAsia" w:ascii="仿宋" w:hAnsi="仿宋" w:eastAsia="仿宋"/>
          <w:bCs/>
          <w:sz w:val="32"/>
          <w:szCs w:val="32"/>
          <w:lang w:val="en-US" w:eastAsia="zh-CN"/>
        </w:rPr>
        <w:t>7.</w:t>
      </w:r>
      <w:r>
        <w:rPr>
          <w:rStyle w:val="17"/>
          <w:rFonts w:hint="eastAsia" w:ascii="仿宋" w:hAnsi="仿宋" w:eastAsia="仿宋"/>
          <w:bCs/>
          <w:sz w:val="32"/>
          <w:szCs w:val="32"/>
        </w:rPr>
        <w:t>卫生健康（210类）行政事业单位医疗（11款）</w:t>
      </w:r>
      <w:r>
        <w:rPr>
          <w:rStyle w:val="17"/>
          <w:rFonts w:hint="eastAsia" w:ascii="仿宋" w:hAnsi="仿宋" w:eastAsia="仿宋"/>
          <w:bCs/>
          <w:sz w:val="32"/>
          <w:szCs w:val="32"/>
          <w:lang w:eastAsia="zh-CN"/>
        </w:rPr>
        <w:t>：</w:t>
      </w:r>
      <w:r>
        <w:rPr>
          <w:rStyle w:val="17"/>
          <w:rFonts w:hint="eastAsia" w:ascii="仿宋" w:hAnsi="仿宋" w:eastAsia="仿宋"/>
          <w:bCs/>
          <w:sz w:val="32"/>
          <w:szCs w:val="32"/>
        </w:rPr>
        <w:t>支出决算数为</w:t>
      </w:r>
      <w:r>
        <w:rPr>
          <w:rStyle w:val="17"/>
          <w:rFonts w:hint="eastAsia" w:ascii="仿宋" w:hAnsi="仿宋" w:eastAsia="仿宋"/>
          <w:bCs/>
          <w:sz w:val="32"/>
          <w:szCs w:val="32"/>
          <w:lang w:val="en-US" w:eastAsia="zh-CN"/>
        </w:rPr>
        <w:t>19.38</w:t>
      </w:r>
      <w:r>
        <w:rPr>
          <w:rStyle w:val="17"/>
          <w:rFonts w:hint="eastAsia" w:ascii="仿宋" w:hAnsi="仿宋" w:eastAsia="仿宋"/>
          <w:bCs/>
          <w:sz w:val="32"/>
          <w:szCs w:val="32"/>
        </w:rPr>
        <w:t>万元，完成预算</w:t>
      </w:r>
      <w:r>
        <w:rPr>
          <w:rStyle w:val="17"/>
          <w:rFonts w:hint="eastAsia" w:ascii="仿宋" w:hAnsi="仿宋" w:eastAsia="仿宋"/>
          <w:bCs/>
          <w:sz w:val="32"/>
          <w:szCs w:val="32"/>
          <w:lang w:val="en-US" w:eastAsia="zh-CN"/>
        </w:rPr>
        <w:t>100</w:t>
      </w:r>
      <w:r>
        <w:rPr>
          <w:rStyle w:val="17"/>
          <w:rFonts w:hint="eastAsia" w:ascii="仿宋" w:hAnsi="仿宋" w:eastAsia="仿宋"/>
          <w:bCs/>
          <w:sz w:val="32"/>
          <w:szCs w:val="32"/>
        </w:rPr>
        <w:t>%。</w:t>
      </w:r>
      <w:bookmarkEnd w:id="58"/>
    </w:p>
    <w:p w14:paraId="190C6D53">
      <w:pPr>
        <w:spacing w:line="600" w:lineRule="exact"/>
        <w:ind w:firstLine="643" w:firstLineChars="200"/>
        <w:outlineLvl w:val="2"/>
        <w:rPr>
          <w:rStyle w:val="17"/>
          <w:rFonts w:hint="eastAsia" w:ascii="仿宋" w:hAnsi="仿宋" w:eastAsia="仿宋"/>
          <w:bCs/>
          <w:sz w:val="32"/>
          <w:szCs w:val="32"/>
        </w:rPr>
      </w:pPr>
      <w:bookmarkStart w:id="59" w:name="_Toc25554"/>
      <w:r>
        <w:rPr>
          <w:rStyle w:val="17"/>
          <w:rFonts w:hint="eastAsia" w:ascii="仿宋" w:hAnsi="仿宋" w:eastAsia="仿宋"/>
          <w:bCs/>
          <w:sz w:val="32"/>
          <w:szCs w:val="32"/>
          <w:lang w:val="en-US" w:eastAsia="zh-CN"/>
        </w:rPr>
        <w:t>8.</w:t>
      </w:r>
      <w:r>
        <w:rPr>
          <w:rStyle w:val="17"/>
          <w:rFonts w:hint="eastAsia" w:ascii="仿宋" w:hAnsi="仿宋" w:eastAsia="仿宋"/>
          <w:bCs/>
          <w:sz w:val="32"/>
          <w:szCs w:val="32"/>
        </w:rPr>
        <w:t>卫生健康（210类）行政事业单位医疗（11款）事业单位医疗（0</w:t>
      </w:r>
      <w:r>
        <w:rPr>
          <w:rStyle w:val="17"/>
          <w:rFonts w:hint="eastAsia" w:ascii="仿宋" w:hAnsi="仿宋" w:eastAsia="仿宋"/>
          <w:bCs/>
          <w:sz w:val="32"/>
          <w:szCs w:val="32"/>
          <w:lang w:val="en-US" w:eastAsia="zh-CN"/>
        </w:rPr>
        <w:t>2</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hint="eastAsia" w:ascii="仿宋" w:hAnsi="仿宋" w:eastAsia="仿宋"/>
          <w:bCs/>
          <w:sz w:val="32"/>
          <w:szCs w:val="32"/>
        </w:rPr>
        <w:t>支出决算数为</w:t>
      </w:r>
      <w:r>
        <w:rPr>
          <w:rStyle w:val="17"/>
          <w:rFonts w:hint="eastAsia" w:ascii="仿宋" w:hAnsi="仿宋" w:eastAsia="仿宋"/>
          <w:bCs/>
          <w:sz w:val="32"/>
          <w:szCs w:val="32"/>
          <w:lang w:val="en-US" w:eastAsia="zh-CN"/>
        </w:rPr>
        <w:t>15.9</w:t>
      </w:r>
      <w:r>
        <w:rPr>
          <w:rStyle w:val="17"/>
          <w:rFonts w:hint="eastAsia" w:ascii="仿宋" w:hAnsi="仿宋" w:eastAsia="仿宋"/>
          <w:bCs/>
          <w:sz w:val="32"/>
          <w:szCs w:val="32"/>
        </w:rPr>
        <w:t>万元，完成预算</w:t>
      </w:r>
      <w:r>
        <w:rPr>
          <w:rStyle w:val="17"/>
          <w:rFonts w:hint="eastAsia" w:ascii="仿宋" w:hAnsi="仿宋" w:eastAsia="仿宋"/>
          <w:bCs/>
          <w:sz w:val="32"/>
          <w:szCs w:val="32"/>
          <w:lang w:val="en-US" w:eastAsia="zh-CN"/>
        </w:rPr>
        <w:t>100</w:t>
      </w:r>
      <w:r>
        <w:rPr>
          <w:rStyle w:val="17"/>
          <w:rFonts w:hint="eastAsia" w:ascii="仿宋" w:hAnsi="仿宋" w:eastAsia="仿宋"/>
          <w:bCs/>
          <w:sz w:val="32"/>
          <w:szCs w:val="32"/>
        </w:rPr>
        <w:t>%。</w:t>
      </w:r>
      <w:bookmarkEnd w:id="59"/>
    </w:p>
    <w:p w14:paraId="559ED429">
      <w:pPr>
        <w:spacing w:line="600" w:lineRule="exact"/>
        <w:ind w:firstLine="643" w:firstLineChars="200"/>
        <w:outlineLvl w:val="2"/>
        <w:rPr>
          <w:rStyle w:val="17"/>
          <w:rFonts w:hint="eastAsia" w:ascii="仿宋" w:hAnsi="仿宋" w:eastAsia="仿宋"/>
          <w:bCs/>
          <w:sz w:val="32"/>
          <w:szCs w:val="32"/>
        </w:rPr>
      </w:pPr>
      <w:bookmarkStart w:id="60" w:name="_Toc9855"/>
      <w:r>
        <w:rPr>
          <w:rStyle w:val="17"/>
          <w:rFonts w:hint="eastAsia" w:ascii="仿宋" w:hAnsi="仿宋" w:eastAsia="仿宋"/>
          <w:bCs/>
          <w:sz w:val="32"/>
          <w:szCs w:val="32"/>
          <w:lang w:val="en-US" w:eastAsia="zh-CN"/>
        </w:rPr>
        <w:t>9.</w:t>
      </w:r>
      <w:r>
        <w:rPr>
          <w:rStyle w:val="17"/>
          <w:rFonts w:hint="eastAsia" w:ascii="仿宋" w:hAnsi="仿宋" w:eastAsia="仿宋"/>
          <w:bCs/>
          <w:sz w:val="32"/>
          <w:szCs w:val="32"/>
        </w:rPr>
        <w:t>卫生健康（210类）行政事业单位医疗（11款）（03项）</w:t>
      </w:r>
      <w:r>
        <w:rPr>
          <w:rStyle w:val="17"/>
          <w:rFonts w:hint="eastAsia" w:ascii="仿宋" w:hAnsi="仿宋" w:eastAsia="仿宋"/>
          <w:bCs/>
          <w:sz w:val="32"/>
          <w:szCs w:val="32"/>
          <w:lang w:eastAsia="zh-CN"/>
        </w:rPr>
        <w:t>：</w:t>
      </w:r>
      <w:r>
        <w:rPr>
          <w:rStyle w:val="17"/>
          <w:rFonts w:hint="eastAsia" w:ascii="仿宋" w:hAnsi="仿宋" w:eastAsia="仿宋"/>
          <w:bCs/>
          <w:sz w:val="32"/>
          <w:szCs w:val="32"/>
        </w:rPr>
        <w:t>本年收公务员医疗补助：支出决算数为</w:t>
      </w:r>
      <w:r>
        <w:rPr>
          <w:rStyle w:val="17"/>
          <w:rFonts w:hint="eastAsia" w:ascii="仿宋" w:hAnsi="仿宋" w:eastAsia="仿宋"/>
          <w:bCs/>
          <w:sz w:val="32"/>
          <w:szCs w:val="32"/>
          <w:lang w:val="en-US" w:eastAsia="zh-CN"/>
        </w:rPr>
        <w:t>3.48</w:t>
      </w:r>
      <w:r>
        <w:rPr>
          <w:rStyle w:val="17"/>
          <w:rFonts w:hint="eastAsia" w:ascii="仿宋" w:hAnsi="仿宋" w:eastAsia="仿宋"/>
          <w:bCs/>
          <w:sz w:val="32"/>
          <w:szCs w:val="32"/>
        </w:rPr>
        <w:t>万元，完成预算</w:t>
      </w:r>
      <w:r>
        <w:rPr>
          <w:rStyle w:val="17"/>
          <w:rFonts w:hint="eastAsia" w:ascii="仿宋" w:hAnsi="仿宋" w:eastAsia="仿宋"/>
          <w:bCs/>
          <w:sz w:val="32"/>
          <w:szCs w:val="32"/>
          <w:lang w:val="en-US" w:eastAsia="zh-CN"/>
        </w:rPr>
        <w:t>100</w:t>
      </w:r>
      <w:r>
        <w:rPr>
          <w:rStyle w:val="17"/>
          <w:rFonts w:hint="eastAsia" w:ascii="仿宋" w:hAnsi="仿宋" w:eastAsia="仿宋"/>
          <w:bCs/>
          <w:sz w:val="32"/>
          <w:szCs w:val="32"/>
        </w:rPr>
        <w:t>%。</w:t>
      </w:r>
      <w:bookmarkEnd w:id="60"/>
    </w:p>
    <w:p w14:paraId="6BC5C728">
      <w:pPr>
        <w:spacing w:line="600" w:lineRule="exact"/>
        <w:ind w:firstLine="643" w:firstLineChars="200"/>
        <w:outlineLvl w:val="2"/>
        <w:rPr>
          <w:rFonts w:ascii="仿宋" w:hAnsi="仿宋" w:eastAsia="仿宋"/>
          <w:b/>
          <w:sz w:val="32"/>
          <w:szCs w:val="32"/>
        </w:rPr>
      </w:pPr>
      <w:bookmarkStart w:id="61" w:name="_Toc12075"/>
      <w:r>
        <w:rPr>
          <w:rStyle w:val="17"/>
          <w:rFonts w:hint="eastAsia" w:ascii="仿宋" w:hAnsi="仿宋" w:eastAsia="仿宋"/>
          <w:bCs/>
          <w:sz w:val="32"/>
          <w:szCs w:val="32"/>
          <w:lang w:val="en-US" w:eastAsia="zh-CN"/>
        </w:rPr>
        <w:t>10.</w:t>
      </w:r>
      <w:r>
        <w:rPr>
          <w:rStyle w:val="17"/>
          <w:rFonts w:hint="eastAsia" w:ascii="仿宋" w:hAnsi="仿宋" w:eastAsia="仿宋"/>
          <w:bCs/>
          <w:sz w:val="32"/>
          <w:szCs w:val="32"/>
        </w:rPr>
        <w:t>住房保障支出（221类）住房改革支出（02款）住房公积金（01项）</w:t>
      </w:r>
      <w:r>
        <w:rPr>
          <w:rStyle w:val="17"/>
          <w:rFonts w:hint="eastAsia" w:ascii="仿宋" w:hAnsi="仿宋" w:eastAsia="仿宋"/>
          <w:bCs/>
          <w:sz w:val="32"/>
          <w:szCs w:val="32"/>
          <w:lang w:eastAsia="zh-CN"/>
        </w:rPr>
        <w:t>：</w:t>
      </w:r>
      <w:r>
        <w:rPr>
          <w:rStyle w:val="17"/>
          <w:rFonts w:hint="eastAsia" w:ascii="仿宋" w:hAnsi="仿宋" w:eastAsia="仿宋"/>
          <w:bCs/>
          <w:sz w:val="32"/>
          <w:szCs w:val="32"/>
        </w:rPr>
        <w:t>支出决算数</w:t>
      </w:r>
      <w:r>
        <w:rPr>
          <w:rStyle w:val="17"/>
          <w:rFonts w:hint="eastAsia" w:ascii="仿宋" w:hAnsi="仿宋" w:eastAsia="仿宋"/>
          <w:bCs/>
          <w:sz w:val="32"/>
          <w:szCs w:val="32"/>
          <w:lang w:val="en-US" w:eastAsia="zh-CN"/>
        </w:rPr>
        <w:t>40.58</w:t>
      </w:r>
      <w:r>
        <w:rPr>
          <w:rStyle w:val="17"/>
          <w:rFonts w:hint="eastAsia" w:ascii="仿宋" w:hAnsi="仿宋" w:eastAsia="仿宋"/>
          <w:bCs/>
          <w:sz w:val="32"/>
          <w:szCs w:val="32"/>
        </w:rPr>
        <w:t>万元，完成预算100%。</w:t>
      </w:r>
      <w:bookmarkEnd w:id="61"/>
    </w:p>
    <w:p w14:paraId="13770DC0">
      <w:pPr>
        <w:tabs>
          <w:tab w:val="right" w:pos="8306"/>
        </w:tabs>
        <w:spacing w:line="600" w:lineRule="exact"/>
        <w:ind w:firstLine="640"/>
        <w:outlineLvl w:val="1"/>
        <w:rPr>
          <w:rStyle w:val="29"/>
        </w:rPr>
      </w:pPr>
      <w:bookmarkStart w:id="62" w:name="_Toc15377214"/>
      <w:bookmarkStart w:id="63" w:name="_Toc15396608"/>
      <w:bookmarkStart w:id="64" w:name="_Toc10045"/>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62"/>
      <w:bookmarkEnd w:id="63"/>
      <w:bookmarkEnd w:id="64"/>
      <w:r>
        <w:rPr>
          <w:rStyle w:val="29"/>
          <w:rFonts w:ascii="黑体" w:hAnsi="黑体" w:eastAsia="黑体"/>
          <w:b w:val="0"/>
        </w:rPr>
        <w:tab/>
      </w:r>
    </w:p>
    <w:p w14:paraId="517A48A5">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603.58</w:t>
      </w:r>
      <w:r>
        <w:rPr>
          <w:rFonts w:hint="eastAsia" w:ascii="仿宋" w:hAnsi="仿宋" w:eastAsia="仿宋"/>
          <w:sz w:val="32"/>
          <w:szCs w:val="32"/>
        </w:rPr>
        <w:t>万元，其中：</w:t>
      </w:r>
    </w:p>
    <w:p w14:paraId="40405B7F">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w:t>
      </w:r>
      <w:r>
        <w:rPr>
          <w:rFonts w:ascii="仿宋" w:hAnsi="仿宋" w:eastAsia="仿宋"/>
          <w:b/>
          <w:sz w:val="32"/>
          <w:szCs w:val="32"/>
        </w:rPr>
        <w:t>578.17</w:t>
      </w:r>
      <w:r>
        <w:rPr>
          <w:rFonts w:hint="eastAsia" w:ascii="仿宋" w:hAnsi="仿宋" w:eastAsia="仿宋"/>
          <w:sz w:val="32"/>
          <w:szCs w:val="32"/>
        </w:rPr>
        <w:t>万元，主要包括：基本工资、津贴补贴、伙食补助费、绩效工资、机关事业单位基本养老保险缴费、职业年金缴费、其他社会保障缴费、其他工资福利支出、抚恤金、生活补助、医疗费补助、住房公积金、其他对个人和家庭的补助支出等。</w:t>
      </w:r>
    </w:p>
    <w:p w14:paraId="39B21929">
      <w:pPr>
        <w:spacing w:line="600" w:lineRule="exact"/>
        <w:ind w:firstLine="645"/>
        <w:rPr>
          <w:rFonts w:hint="eastAsia" w:ascii="仿宋" w:hAnsi="仿宋" w:eastAsia="仿宋"/>
          <w:b/>
          <w:sz w:val="32"/>
          <w:szCs w:val="32"/>
          <w:lang w:eastAsia="zh-CN"/>
        </w:rPr>
      </w:pPr>
      <w:r>
        <w:rPr>
          <w:rFonts w:hint="eastAsia" w:ascii="仿宋" w:hAnsi="仿宋" w:eastAsia="仿宋"/>
          <w:sz w:val="32"/>
          <w:szCs w:val="32"/>
        </w:rPr>
        <w:t>　　公用经费</w:t>
      </w:r>
      <w:r>
        <w:rPr>
          <w:rFonts w:ascii="仿宋" w:hAnsi="仿宋" w:eastAsia="仿宋"/>
          <w:b/>
          <w:sz w:val="32"/>
          <w:szCs w:val="32"/>
        </w:rPr>
        <w:t>25.41</w:t>
      </w:r>
      <w:r>
        <w:rPr>
          <w:rFonts w:hint="eastAsia" w:ascii="仿宋" w:hAnsi="仿宋" w:eastAsia="仿宋"/>
          <w:sz w:val="32"/>
          <w:szCs w:val="32"/>
        </w:rPr>
        <w:t>万元，主要包括：工会经费、福利费</w:t>
      </w:r>
      <w:r>
        <w:rPr>
          <w:rFonts w:hint="eastAsia" w:ascii="仿宋" w:hAnsi="仿宋" w:eastAsia="仿宋"/>
          <w:sz w:val="32"/>
          <w:szCs w:val="32"/>
          <w:lang w:eastAsia="zh-CN"/>
        </w:rPr>
        <w:t>等支出。</w:t>
      </w:r>
    </w:p>
    <w:p w14:paraId="05A2162C">
      <w:pPr>
        <w:spacing w:line="600" w:lineRule="exact"/>
        <w:ind w:firstLine="640"/>
        <w:outlineLvl w:val="1"/>
        <w:rPr>
          <w:rStyle w:val="29"/>
          <w:rFonts w:ascii="黑体" w:hAnsi="黑体" w:eastAsia="黑体"/>
          <w:b w:val="0"/>
        </w:rPr>
      </w:pPr>
      <w:bookmarkStart w:id="65" w:name="_Toc15396609"/>
      <w:bookmarkStart w:id="66" w:name="_Toc15412"/>
      <w:bookmarkStart w:id="67" w:name="_Toc15377215"/>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65"/>
      <w:bookmarkEnd w:id="66"/>
      <w:bookmarkEnd w:id="67"/>
    </w:p>
    <w:p w14:paraId="3D98E560">
      <w:pPr>
        <w:spacing w:line="600" w:lineRule="exact"/>
        <w:ind w:firstLine="640"/>
        <w:outlineLvl w:val="2"/>
        <w:rPr>
          <w:rFonts w:ascii="仿宋" w:hAnsi="仿宋" w:eastAsia="仿宋"/>
          <w:b/>
          <w:sz w:val="32"/>
          <w:szCs w:val="32"/>
        </w:rPr>
      </w:pPr>
      <w:bookmarkStart w:id="68" w:name="_Toc11126"/>
      <w:bookmarkStart w:id="69" w:name="_Toc15377216"/>
      <w:r>
        <w:rPr>
          <w:rFonts w:hint="eastAsia" w:ascii="仿宋" w:hAnsi="仿宋" w:eastAsia="仿宋"/>
          <w:b/>
          <w:sz w:val="32"/>
          <w:szCs w:val="32"/>
        </w:rPr>
        <w:t>（一）“三公”经费财政拨款支出决算总体情况说明</w:t>
      </w:r>
      <w:bookmarkEnd w:id="68"/>
      <w:bookmarkEnd w:id="69"/>
    </w:p>
    <w:p w14:paraId="5727199B">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0</w:t>
      </w:r>
      <w:r>
        <w:rPr>
          <w:rFonts w:hint="eastAsia" w:ascii="仿宋" w:hAnsi="仿宋" w:eastAsia="仿宋"/>
          <w:sz w:val="32"/>
          <w:szCs w:val="32"/>
        </w:rPr>
        <w:t>万元。主要原因是</w:t>
      </w:r>
      <w:r>
        <w:rPr>
          <w:rFonts w:hint="eastAsia" w:ascii="仿宋" w:hAnsi="仿宋" w:eastAsia="仿宋"/>
          <w:sz w:val="32"/>
          <w:szCs w:val="32"/>
          <w:lang w:eastAsia="zh-CN"/>
        </w:rPr>
        <w:t>厉</w:t>
      </w:r>
      <w:r>
        <w:rPr>
          <w:rFonts w:hint="eastAsia" w:ascii="仿宋" w:hAnsi="仿宋" w:eastAsia="仿宋"/>
          <w:sz w:val="32"/>
          <w:szCs w:val="32"/>
          <w:lang w:val="en-US" w:eastAsia="zh-CN"/>
        </w:rPr>
        <w:t>行节约</w:t>
      </w:r>
      <w:r>
        <w:rPr>
          <w:rFonts w:hint="eastAsia" w:ascii="仿宋" w:hAnsi="仿宋" w:eastAsia="仿宋"/>
          <w:sz w:val="32"/>
          <w:szCs w:val="32"/>
        </w:rPr>
        <w:t>。</w:t>
      </w:r>
    </w:p>
    <w:p w14:paraId="4A3E0340">
      <w:pPr>
        <w:spacing w:line="600" w:lineRule="exact"/>
        <w:ind w:firstLine="643" w:firstLineChars="200"/>
        <w:outlineLvl w:val="2"/>
        <w:rPr>
          <w:rFonts w:ascii="仿宋" w:hAnsi="仿宋" w:eastAsia="仿宋"/>
          <w:b/>
          <w:sz w:val="32"/>
          <w:szCs w:val="32"/>
        </w:rPr>
      </w:pPr>
      <w:bookmarkStart w:id="70" w:name="_Toc8747"/>
      <w:bookmarkStart w:id="71" w:name="_Toc15377217"/>
      <w:r>
        <w:rPr>
          <w:rFonts w:hint="eastAsia" w:ascii="仿宋" w:hAnsi="仿宋" w:eastAsia="仿宋"/>
          <w:b/>
          <w:sz w:val="32"/>
          <w:szCs w:val="32"/>
        </w:rPr>
        <w:t>（二）“三公”经费财政拨款支出决算具体情况说明</w:t>
      </w:r>
      <w:bookmarkEnd w:id="70"/>
      <w:bookmarkEnd w:id="71"/>
    </w:p>
    <w:p w14:paraId="3CB8E8DF">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。具体情况如下：</w:t>
      </w:r>
    </w:p>
    <w:p w14:paraId="23745420">
      <w:pPr>
        <w:spacing w:line="600" w:lineRule="exact"/>
        <w:ind w:firstLine="640"/>
        <w:rPr>
          <w:rFonts w:ascii="仿宋" w:hAnsi="仿宋" w:eastAsia="仿宋"/>
          <w:sz w:val="32"/>
          <w:szCs w:val="32"/>
        </w:rPr>
      </w:pPr>
    </w:p>
    <w:p w14:paraId="4496C0B3">
      <w:pPr>
        <w:pStyle w:val="13"/>
        <w:outlineLvl w:val="9"/>
        <w:rPr>
          <w:rFonts w:ascii="仿宋" w:hAnsi="仿宋" w:eastAsia="仿宋"/>
          <w:sz w:val="32"/>
          <w:szCs w:val="32"/>
        </w:rPr>
      </w:pPr>
      <w:r>
        <w:rPr>
          <w:rFonts w:hint="eastAsia" w:ascii="仿宋" w:hAnsi="仿宋" w:eastAsia="仿宋"/>
          <w:color w:val="auto"/>
          <w:sz w:val="32"/>
          <w:szCs w:val="32"/>
          <w:highlight w:val="none"/>
          <w:lang w:eastAsia="zh-CN"/>
        </w:rPr>
        <w:drawing>
          <wp:anchor distT="0" distB="0" distL="114300" distR="114300" simplePos="0" relativeHeight="251665408" behindDoc="0" locked="0" layoutInCell="1" allowOverlap="1">
            <wp:simplePos x="0" y="0"/>
            <wp:positionH relativeFrom="column">
              <wp:posOffset>123825</wp:posOffset>
            </wp:positionH>
            <wp:positionV relativeFrom="paragraph">
              <wp:posOffset>192405</wp:posOffset>
            </wp:positionV>
            <wp:extent cx="4852670" cy="2362835"/>
            <wp:effectExtent l="4445" t="4445" r="19685" b="13970"/>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4416F11F">
      <w:pPr>
        <w:rPr>
          <w:rFonts w:ascii="仿宋" w:hAnsi="仿宋" w:eastAsia="仿宋"/>
          <w:sz w:val="32"/>
          <w:szCs w:val="32"/>
        </w:rPr>
      </w:pPr>
    </w:p>
    <w:p w14:paraId="70F971F1">
      <w:pPr>
        <w:pStyle w:val="13"/>
        <w:outlineLvl w:val="9"/>
        <w:rPr>
          <w:rFonts w:ascii="仿宋" w:hAnsi="仿宋" w:eastAsia="仿宋"/>
          <w:sz w:val="32"/>
          <w:szCs w:val="32"/>
        </w:rPr>
      </w:pPr>
    </w:p>
    <w:p w14:paraId="20841934">
      <w:pPr>
        <w:rPr>
          <w:rFonts w:ascii="仿宋" w:hAnsi="仿宋" w:eastAsia="仿宋"/>
          <w:sz w:val="32"/>
          <w:szCs w:val="32"/>
        </w:rPr>
      </w:pPr>
    </w:p>
    <w:p w14:paraId="57F79E90">
      <w:pPr>
        <w:pStyle w:val="13"/>
        <w:outlineLvl w:val="9"/>
        <w:rPr>
          <w:rFonts w:ascii="仿宋" w:hAnsi="仿宋" w:eastAsia="仿宋"/>
          <w:sz w:val="32"/>
          <w:szCs w:val="32"/>
        </w:rPr>
      </w:pPr>
    </w:p>
    <w:p w14:paraId="0A116C09">
      <w:pPr>
        <w:pStyle w:val="13"/>
        <w:jc w:val="both"/>
        <w:outlineLvl w:val="9"/>
      </w:pPr>
    </w:p>
    <w:p w14:paraId="63EB4D67">
      <w:pPr>
        <w:spacing w:line="600" w:lineRule="exact"/>
        <w:ind w:firstLine="640"/>
        <w:rPr>
          <w:rFonts w:ascii="仿宋_GB2312" w:eastAsia="仿宋_GB2312"/>
          <w:b/>
          <w:sz w:val="32"/>
          <w:szCs w:val="32"/>
        </w:rPr>
      </w:pPr>
      <w:bookmarkStart w:id="72" w:name="_Toc15396610"/>
      <w:bookmarkStart w:id="73" w:name="_Toc15377218"/>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ascii="仿宋" w:hAnsi="仿宋" w:eastAsia="仿宋"/>
          <w:bCs/>
          <w:sz w:val="32"/>
          <w:szCs w:val="32"/>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人。因公出国（境）支出决算比2022年增加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无因公出国，无经费支出</w:t>
      </w:r>
      <w:r>
        <w:rPr>
          <w:rFonts w:hint="eastAsia" w:ascii="仿宋_GB2312" w:eastAsia="仿宋_GB2312"/>
          <w:sz w:val="32"/>
          <w:szCs w:val="32"/>
        </w:rPr>
        <w:t>。</w:t>
      </w:r>
    </w:p>
    <w:p w14:paraId="69BE5E82">
      <w:pPr>
        <w:spacing w:line="600" w:lineRule="exact"/>
        <w:ind w:firstLine="643" w:firstLineChars="20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7"/>
          <w:rFonts w:hint="eastAsia" w:ascii="仿宋" w:hAnsi="仿宋" w:eastAsia="仿宋"/>
          <w:b w:val="0"/>
          <w:bCs/>
          <w:sz w:val="32"/>
          <w:szCs w:val="32"/>
        </w:rPr>
        <w:t>完成预算</w:t>
      </w:r>
      <w:r>
        <w:rPr>
          <w:rStyle w:val="17"/>
          <w:rFonts w:ascii="仿宋" w:hAnsi="仿宋" w:eastAsia="仿宋"/>
          <w:bCs/>
          <w:sz w:val="32"/>
          <w:szCs w:val="32"/>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无公务用车</w:t>
      </w:r>
      <w:r>
        <w:rPr>
          <w:rFonts w:hint="eastAsia" w:ascii="仿宋_GB2312" w:eastAsia="仿宋_GB2312"/>
          <w:sz w:val="32"/>
          <w:szCs w:val="32"/>
        </w:rPr>
        <w:t>。</w:t>
      </w:r>
    </w:p>
    <w:p w14:paraId="68400614">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41DC031A">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w:t>
      </w:r>
    </w:p>
    <w:p w14:paraId="6ABF1251">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厉</w:t>
      </w:r>
      <w:bookmarkStart w:id="125" w:name="_GoBack"/>
      <w:bookmarkEnd w:id="125"/>
      <w:r>
        <w:rPr>
          <w:rFonts w:hint="eastAsia" w:ascii="仿宋_GB2312" w:eastAsia="仿宋_GB2312"/>
          <w:sz w:val="32"/>
          <w:szCs w:val="32"/>
          <w:lang w:val="en-US" w:eastAsia="zh-CN"/>
        </w:rPr>
        <w:t>行节约</w:t>
      </w:r>
      <w:r>
        <w:rPr>
          <w:rFonts w:hint="eastAsia" w:ascii="仿宋_GB2312" w:eastAsia="仿宋_GB2312"/>
          <w:sz w:val="32"/>
          <w:szCs w:val="32"/>
        </w:rPr>
        <w:t>。</w:t>
      </w:r>
    </w:p>
    <w:p w14:paraId="75557E6B">
      <w:pPr>
        <w:spacing w:line="600" w:lineRule="exact"/>
        <w:ind w:firstLine="640"/>
        <w:rPr>
          <w:rFonts w:hint="eastAsia" w:ascii="仿宋_GB2312" w:eastAsia="仿宋_GB2312"/>
          <w:sz w:val="32"/>
          <w:szCs w:val="32"/>
          <w:lang w:eastAsia="zh-CN"/>
        </w:rPr>
      </w:pPr>
      <w:r>
        <w:rPr>
          <w:rFonts w:hint="eastAsia" w:ascii="仿宋" w:hAnsi="仿宋" w:eastAsia="仿宋"/>
          <w:b/>
          <w:sz w:val="32"/>
          <w:szCs w:val="32"/>
        </w:rPr>
        <w:t>国内公务接待支出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p>
    <w:p w14:paraId="15372581">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1C379E2B">
      <w:pPr>
        <w:spacing w:line="600" w:lineRule="exact"/>
        <w:ind w:firstLine="640"/>
        <w:outlineLvl w:val="9"/>
        <w:rPr>
          <w:rFonts w:ascii="黑体" w:eastAsia="黑体"/>
          <w:sz w:val="32"/>
          <w:szCs w:val="32"/>
        </w:rPr>
      </w:pPr>
    </w:p>
    <w:p w14:paraId="5CD888D4">
      <w:pPr>
        <w:spacing w:line="600" w:lineRule="exact"/>
        <w:ind w:firstLine="640"/>
        <w:outlineLvl w:val="1"/>
        <w:rPr>
          <w:rStyle w:val="29"/>
          <w:rFonts w:ascii="黑体" w:hAnsi="黑体" w:eastAsia="黑体"/>
        </w:rPr>
      </w:pPr>
      <w:bookmarkStart w:id="74" w:name="_Toc17354"/>
      <w:r>
        <w:rPr>
          <w:rFonts w:hint="eastAsia" w:ascii="黑体" w:eastAsia="黑体"/>
          <w:sz w:val="32"/>
          <w:szCs w:val="32"/>
        </w:rPr>
        <w:t>八、</w:t>
      </w:r>
      <w:r>
        <w:rPr>
          <w:rStyle w:val="29"/>
          <w:rFonts w:hint="eastAsia" w:ascii="黑体" w:hAnsi="黑体" w:eastAsia="黑体"/>
          <w:b w:val="0"/>
        </w:rPr>
        <w:t>政府性基金预算支出决算情况说明</w:t>
      </w:r>
      <w:bookmarkEnd w:id="72"/>
      <w:bookmarkEnd w:id="73"/>
      <w:bookmarkEnd w:id="74"/>
    </w:p>
    <w:p w14:paraId="764A63BA">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7B4CD928">
      <w:pPr>
        <w:numPr>
          <w:ilvl w:val="0"/>
          <w:numId w:val="2"/>
        </w:numPr>
        <w:spacing w:line="600" w:lineRule="exact"/>
        <w:ind w:firstLine="640"/>
        <w:outlineLvl w:val="1"/>
        <w:rPr>
          <w:rStyle w:val="29"/>
          <w:rFonts w:ascii="黑体" w:hAnsi="黑体" w:eastAsia="黑体"/>
          <w:b w:val="0"/>
        </w:rPr>
      </w:pPr>
      <w:bookmarkStart w:id="75" w:name="_Toc15377219"/>
      <w:bookmarkStart w:id="76" w:name="_Toc5153"/>
      <w:bookmarkStart w:id="77" w:name="_Toc15396611"/>
      <w:r>
        <w:rPr>
          <w:rStyle w:val="29"/>
          <w:rFonts w:hint="eastAsia" w:ascii="黑体" w:hAnsi="黑体" w:eastAsia="黑体"/>
          <w:b w:val="0"/>
        </w:rPr>
        <w:t>国有资本经营预算支出决算情况说明</w:t>
      </w:r>
      <w:bookmarkEnd w:id="75"/>
      <w:bookmarkEnd w:id="76"/>
      <w:bookmarkEnd w:id="77"/>
    </w:p>
    <w:p w14:paraId="0E9221B7">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16374FB1">
      <w:pPr>
        <w:spacing w:line="580" w:lineRule="exact"/>
        <w:jc w:val="center"/>
        <w:rPr>
          <w:rFonts w:ascii="方正小标宋简体" w:hAnsi="方正小标宋简体" w:eastAsia="方正小标宋简体" w:cs="方正小标宋简体"/>
          <w:sz w:val="44"/>
          <w:szCs w:val="44"/>
        </w:rPr>
      </w:pPr>
    </w:p>
    <w:p w14:paraId="01774D2D">
      <w:pPr>
        <w:numPr>
          <w:ilvl w:val="0"/>
          <w:numId w:val="2"/>
        </w:numPr>
        <w:spacing w:line="600" w:lineRule="exact"/>
        <w:ind w:firstLine="640"/>
        <w:outlineLvl w:val="1"/>
        <w:rPr>
          <w:rStyle w:val="29"/>
          <w:rFonts w:ascii="黑体" w:hAnsi="黑体" w:eastAsia="黑体"/>
          <w:b w:val="0"/>
        </w:rPr>
      </w:pPr>
      <w:bookmarkStart w:id="78" w:name="_Toc15396612"/>
      <w:bookmarkStart w:id="79" w:name="_Toc15377221"/>
      <w:bookmarkStart w:id="80" w:name="_Toc28723"/>
      <w:r>
        <w:rPr>
          <w:rStyle w:val="29"/>
          <w:rFonts w:hint="eastAsia" w:ascii="黑体" w:hAnsi="黑体" w:eastAsia="黑体"/>
          <w:b w:val="0"/>
        </w:rPr>
        <w:t>其他重要事项的情况说明</w:t>
      </w:r>
      <w:bookmarkEnd w:id="78"/>
      <w:bookmarkEnd w:id="79"/>
      <w:bookmarkEnd w:id="80"/>
    </w:p>
    <w:p w14:paraId="6BF8E9DF">
      <w:pPr>
        <w:spacing w:line="600" w:lineRule="exact"/>
        <w:ind w:firstLine="643" w:firstLineChars="200"/>
        <w:outlineLvl w:val="2"/>
        <w:rPr>
          <w:rFonts w:ascii="仿宋" w:hAnsi="仿宋" w:eastAsia="仿宋"/>
          <w:sz w:val="32"/>
          <w:szCs w:val="32"/>
        </w:rPr>
      </w:pPr>
      <w:bookmarkStart w:id="81" w:name="_Toc28331"/>
      <w:bookmarkStart w:id="82" w:name="_Toc15377222"/>
      <w:r>
        <w:rPr>
          <w:rFonts w:hint="eastAsia" w:ascii="仿宋" w:hAnsi="仿宋" w:eastAsia="仿宋"/>
          <w:b/>
          <w:sz w:val="32"/>
          <w:szCs w:val="32"/>
        </w:rPr>
        <w:t>（一）机关运行经费支出情况</w:t>
      </w:r>
      <w:bookmarkEnd w:id="81"/>
      <w:bookmarkEnd w:id="82"/>
    </w:p>
    <w:p w14:paraId="03B5BFEF">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峨边彝族自治县五渡镇中心小学</w:t>
      </w:r>
      <w:r>
        <w:rPr>
          <w:rFonts w:hint="eastAsia" w:ascii="仿宋_GB2312" w:eastAsia="仿宋_GB2312"/>
          <w:sz w:val="32"/>
          <w:szCs w:val="32"/>
        </w:rPr>
        <w:t>机关运行经费支出</w:t>
      </w:r>
      <w:r>
        <w:rPr>
          <w:rFonts w:ascii="仿宋" w:hAnsi="仿宋" w:eastAsia="仿宋"/>
          <w:b/>
          <w:sz w:val="32"/>
          <w:szCs w:val="32"/>
        </w:rPr>
        <w:t>0</w:t>
      </w:r>
      <w:r>
        <w:rPr>
          <w:rFonts w:hint="eastAsia" w:ascii="仿宋_GB2312" w:eastAsia="仿宋_GB2312"/>
          <w:sz w:val="32"/>
          <w:szCs w:val="32"/>
        </w:rPr>
        <w:t>万元，比2022年度增加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与2022年度决算数持平。</w:t>
      </w:r>
    </w:p>
    <w:p w14:paraId="1F1B2CF0">
      <w:pPr>
        <w:autoSpaceDE w:val="0"/>
        <w:autoSpaceDN w:val="0"/>
        <w:adjustRightInd w:val="0"/>
        <w:spacing w:line="600" w:lineRule="exact"/>
        <w:ind w:firstLine="643" w:firstLineChars="200"/>
        <w:jc w:val="left"/>
        <w:outlineLvl w:val="2"/>
        <w:rPr>
          <w:rFonts w:ascii="仿宋" w:hAnsi="仿宋" w:eastAsia="仿宋"/>
          <w:b/>
          <w:sz w:val="32"/>
          <w:szCs w:val="32"/>
        </w:rPr>
      </w:pPr>
      <w:bookmarkStart w:id="83" w:name="_Toc15377223"/>
      <w:bookmarkStart w:id="84" w:name="_Toc3432"/>
      <w:r>
        <w:rPr>
          <w:rFonts w:hint="eastAsia" w:ascii="仿宋" w:hAnsi="仿宋" w:eastAsia="仿宋"/>
          <w:b/>
          <w:sz w:val="32"/>
          <w:szCs w:val="32"/>
        </w:rPr>
        <w:t>（二）政府采购支出情况</w:t>
      </w:r>
      <w:bookmarkEnd w:id="83"/>
      <w:bookmarkEnd w:id="84"/>
    </w:p>
    <w:p w14:paraId="1A52D26C">
      <w:pPr>
        <w:spacing w:line="600" w:lineRule="exact"/>
        <w:ind w:firstLine="640" w:firstLineChars="200"/>
        <w:rPr>
          <w:rFonts w:hint="eastAsia" w:ascii="仿宋" w:hAnsi="仿宋" w:eastAsia="仿宋_GB2312"/>
          <w:b/>
          <w:sz w:val="32"/>
          <w:szCs w:val="32"/>
          <w:lang w:eastAsia="zh-CN"/>
        </w:rPr>
      </w:pPr>
      <w:r>
        <w:rPr>
          <w:rFonts w:hint="eastAsia" w:ascii="仿宋_GB2312" w:eastAsia="仿宋_GB2312"/>
          <w:sz w:val="32"/>
          <w:szCs w:val="32"/>
        </w:rPr>
        <w:t>2023年度，</w:t>
      </w:r>
      <w:r>
        <w:rPr>
          <w:rFonts w:ascii="仿宋_GB2312" w:eastAsia="仿宋_GB2312"/>
          <w:b/>
          <w:sz w:val="32"/>
          <w:szCs w:val="32"/>
        </w:rPr>
        <w:t>峨边彝族自治县五渡镇中心小学</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lang w:eastAsia="zh-CN"/>
        </w:rPr>
        <w:t>。</w:t>
      </w:r>
    </w:p>
    <w:p w14:paraId="3BE7993F">
      <w:pPr>
        <w:autoSpaceDE w:val="0"/>
        <w:autoSpaceDN w:val="0"/>
        <w:adjustRightInd w:val="0"/>
        <w:spacing w:line="600" w:lineRule="exact"/>
        <w:ind w:firstLine="643" w:firstLineChars="200"/>
        <w:jc w:val="left"/>
        <w:outlineLvl w:val="2"/>
        <w:rPr>
          <w:rFonts w:ascii="仿宋" w:hAnsi="仿宋" w:eastAsia="仿宋"/>
          <w:b/>
          <w:sz w:val="32"/>
          <w:szCs w:val="32"/>
        </w:rPr>
      </w:pPr>
      <w:bookmarkStart w:id="85" w:name="_Toc15377224"/>
      <w:bookmarkStart w:id="86" w:name="_Toc11319"/>
      <w:r>
        <w:rPr>
          <w:rFonts w:hint="eastAsia" w:ascii="仿宋" w:hAnsi="仿宋" w:eastAsia="仿宋"/>
          <w:b/>
          <w:sz w:val="32"/>
          <w:szCs w:val="32"/>
        </w:rPr>
        <w:t>（三）国有资产占有使用情况</w:t>
      </w:r>
      <w:bookmarkEnd w:id="85"/>
      <w:bookmarkEnd w:id="86"/>
    </w:p>
    <w:p w14:paraId="26C0B311">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峨边彝族自治县五渡镇中心小学</w:t>
      </w:r>
      <w:r>
        <w:rPr>
          <w:rFonts w:hint="eastAsia" w:ascii="仿宋_GB2312" w:eastAsia="仿宋_GB2312"/>
          <w:sz w:val="32"/>
          <w:szCs w:val="32"/>
        </w:rPr>
        <w:t>共有车辆</w:t>
      </w:r>
      <w:r>
        <w:rPr>
          <w:rFonts w:hint="eastAsia" w:ascii="仿宋_GB2312" w:eastAsia="仿宋_GB2312"/>
          <w:b/>
          <w:sz w:val="32"/>
          <w:szCs w:val="32"/>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eastAsia="zh-CN"/>
        </w:rPr>
        <w:t>。</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245010BC">
      <w:pPr>
        <w:autoSpaceDE w:val="0"/>
        <w:autoSpaceDN w:val="0"/>
        <w:adjustRightInd w:val="0"/>
        <w:spacing w:line="600" w:lineRule="exact"/>
        <w:ind w:firstLine="643" w:firstLineChars="200"/>
        <w:jc w:val="left"/>
        <w:outlineLvl w:val="2"/>
        <w:rPr>
          <w:rFonts w:ascii="仿宋" w:hAnsi="仿宋" w:eastAsia="仿宋"/>
          <w:b/>
          <w:sz w:val="32"/>
          <w:szCs w:val="32"/>
        </w:rPr>
      </w:pPr>
      <w:bookmarkStart w:id="87" w:name="_Toc17003"/>
      <w:r>
        <w:rPr>
          <w:rFonts w:hint="eastAsia" w:ascii="仿宋" w:hAnsi="仿宋" w:eastAsia="仿宋"/>
          <w:b/>
          <w:sz w:val="32"/>
          <w:szCs w:val="32"/>
        </w:rPr>
        <w:t>（四）预算绩效管理情况</w:t>
      </w:r>
      <w:bookmarkEnd w:id="87"/>
    </w:p>
    <w:p w14:paraId="464FA2E9">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根据预算绩效管理要求，本单位在2023年度预算编制阶段，组织对</w:t>
      </w:r>
      <w:r>
        <w:rPr>
          <w:rFonts w:hint="eastAsia" w:ascii="仿宋_GB2312" w:eastAsia="仿宋_GB2312"/>
          <w:sz w:val="32"/>
          <w:szCs w:val="32"/>
          <w:lang w:val="en-US" w:eastAsia="zh-CN"/>
        </w:rPr>
        <w:t>8</w:t>
      </w:r>
      <w:r>
        <w:rPr>
          <w:rFonts w:hint="eastAsia" w:ascii="仿宋_GB2312" w:eastAsia="仿宋_GB2312"/>
          <w:sz w:val="32"/>
          <w:szCs w:val="32"/>
        </w:rPr>
        <w:t>项目（项目名称）等</w:t>
      </w:r>
      <w:r>
        <w:rPr>
          <w:rFonts w:hint="eastAsia" w:ascii="仿宋_GB2312" w:eastAsia="仿宋_GB2312"/>
          <w:sz w:val="32"/>
          <w:szCs w:val="32"/>
          <w:lang w:val="en-US" w:eastAsia="zh-CN"/>
        </w:rPr>
        <w:t>8</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8</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8</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8</w:t>
      </w:r>
      <w:r>
        <w:rPr>
          <w:rFonts w:hint="eastAsia" w:ascii="仿宋_GB2312" w:eastAsia="仿宋_GB2312"/>
          <w:sz w:val="32"/>
          <w:szCs w:val="32"/>
        </w:rPr>
        <w:t>个项目开展绩效自评，绩效自评表详见第四部分附件。</w:t>
      </w:r>
    </w:p>
    <w:p w14:paraId="2EDF1EE8">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14FD7D7F">
      <w:pPr>
        <w:numPr>
          <w:ilvl w:val="0"/>
          <w:numId w:val="3"/>
        </w:numPr>
        <w:spacing w:line="600" w:lineRule="exact"/>
        <w:ind w:firstLine="660" w:firstLineChars="150"/>
        <w:jc w:val="center"/>
        <w:outlineLvl w:val="0"/>
        <w:rPr>
          <w:rStyle w:val="28"/>
          <w:rFonts w:ascii="黑体" w:hAnsi="黑体" w:eastAsia="黑体"/>
          <w:b w:val="0"/>
        </w:rPr>
      </w:pPr>
      <w:bookmarkStart w:id="88" w:name="_Toc15377225"/>
      <w:bookmarkStart w:id="89" w:name="_Toc15581"/>
      <w:bookmarkStart w:id="90" w:name="_Toc15396613"/>
      <w:r>
        <w:rPr>
          <w:rFonts w:hint="eastAsia" w:ascii="黑体" w:hAnsi="黑体" w:eastAsia="黑体"/>
          <w:sz w:val="44"/>
          <w:szCs w:val="44"/>
        </w:rPr>
        <w:t>名</w:t>
      </w:r>
      <w:r>
        <w:rPr>
          <w:rStyle w:val="28"/>
          <w:rFonts w:hint="eastAsia" w:ascii="黑体" w:hAnsi="黑体" w:eastAsia="黑体"/>
          <w:b w:val="0"/>
        </w:rPr>
        <w:t>词解释</w:t>
      </w:r>
      <w:bookmarkEnd w:id="88"/>
      <w:bookmarkEnd w:id="89"/>
      <w:bookmarkEnd w:id="90"/>
    </w:p>
    <w:p w14:paraId="76C4EEDC">
      <w:pPr>
        <w:spacing w:line="600" w:lineRule="exact"/>
        <w:jc w:val="left"/>
        <w:rPr>
          <w:rFonts w:ascii="宋体"/>
          <w:b/>
          <w:sz w:val="44"/>
          <w:szCs w:val="44"/>
        </w:rPr>
      </w:pPr>
    </w:p>
    <w:p w14:paraId="7F9E1206">
      <w:pPr>
        <w:pStyle w:val="26"/>
        <w:spacing w:line="560" w:lineRule="exact"/>
        <w:ind w:firstLine="640" w:firstLineChars="200"/>
        <w:outlineLvl w:val="1"/>
        <w:rPr>
          <w:rFonts w:ascii="仿宋_GB2312" w:eastAsia="仿宋_GB2312"/>
          <w:color w:val="auto"/>
          <w:sz w:val="32"/>
          <w:szCs w:val="32"/>
        </w:rPr>
      </w:pPr>
      <w:bookmarkStart w:id="91" w:name="_Toc6026"/>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bookmarkEnd w:id="91"/>
    </w:p>
    <w:p w14:paraId="1AB3F724">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3F956A85">
      <w:pPr>
        <w:pStyle w:val="26"/>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3D552BE5">
      <w:pPr>
        <w:pStyle w:val="26"/>
        <w:spacing w:line="560" w:lineRule="exact"/>
        <w:ind w:firstLine="640" w:firstLineChars="200"/>
        <w:outlineLvl w:val="1"/>
        <w:rPr>
          <w:rFonts w:ascii="仿宋_GB2312" w:eastAsia="仿宋_GB2312"/>
          <w:color w:val="auto"/>
          <w:sz w:val="32"/>
          <w:szCs w:val="32"/>
        </w:rPr>
      </w:pPr>
      <w:bookmarkStart w:id="92" w:name="_Toc26087"/>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bookmarkEnd w:id="92"/>
    </w:p>
    <w:p w14:paraId="18E4E290">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14:paraId="1F8F76F6">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4C0BDB7B">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7A38A2DC">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02EC6E3F">
      <w:pPr>
        <w:spacing w:line="600" w:lineRule="exact"/>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教育支出（类）</w:t>
      </w:r>
      <w:r>
        <w:rPr>
          <w:rFonts w:hint="eastAsia" w:ascii="仿宋" w:hAnsi="仿宋" w:eastAsia="仿宋"/>
          <w:sz w:val="32"/>
          <w:szCs w:val="32"/>
        </w:rPr>
        <w:t>普通教育（款）学前教育（项）：指反映各部门举办的学前教育支出。</w:t>
      </w:r>
    </w:p>
    <w:p w14:paraId="617789D8">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0</w:t>
      </w:r>
      <w:r>
        <w:rPr>
          <w:rFonts w:ascii="仿宋" w:hAnsi="仿宋" w:eastAsia="仿宋"/>
          <w:sz w:val="32"/>
          <w:szCs w:val="32"/>
        </w:rPr>
        <w:t>.教育支出（类）</w:t>
      </w:r>
      <w:r>
        <w:rPr>
          <w:rFonts w:hint="eastAsia" w:ascii="仿宋" w:hAnsi="仿宋" w:eastAsia="仿宋"/>
          <w:sz w:val="32"/>
          <w:szCs w:val="32"/>
        </w:rPr>
        <w:t>普通教育（款）小学教育（项）：指反映各部门举办的小学教育支出。</w:t>
      </w:r>
    </w:p>
    <w:p w14:paraId="51058889">
      <w:pPr>
        <w:spacing w:line="600" w:lineRule="exact"/>
        <w:ind w:firstLine="640" w:firstLineChars="200"/>
        <w:rPr>
          <w:rFonts w:ascii="仿宋" w:hAnsi="仿宋" w:eastAsia="仿宋" w:cs="宋体"/>
          <w:color w:val="000000"/>
          <w:kern w:val="0"/>
          <w:sz w:val="32"/>
          <w:szCs w:val="32"/>
        </w:rPr>
      </w:pPr>
      <w:r>
        <w:rPr>
          <w:rFonts w:hint="eastAsia" w:ascii="仿宋" w:hAnsi="仿宋" w:eastAsia="仿宋" w:cs="宋体"/>
          <w:kern w:val="0"/>
          <w:sz w:val="32"/>
          <w:szCs w:val="32"/>
        </w:rPr>
        <w:t>1</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.社会保障和就业（类）行政事业单位离退休</w:t>
      </w:r>
      <w:r>
        <w:rPr>
          <w:rFonts w:hint="eastAsia" w:ascii="仿宋" w:hAnsi="仿宋" w:eastAsia="仿宋" w:cs="宋体"/>
          <w:color w:val="000000"/>
          <w:kern w:val="0"/>
          <w:sz w:val="32"/>
          <w:szCs w:val="32"/>
        </w:rPr>
        <w:t>（款）机关事业单位基本养老保险缴费支出（项）：反映机关事业单位实施养老保险制度由单位缴纳的基本养老保险支出。</w:t>
      </w:r>
    </w:p>
    <w:p w14:paraId="79BA4CFE">
      <w:pPr>
        <w:spacing w:line="600" w:lineRule="exact"/>
        <w:ind w:firstLine="643" w:firstLineChars="200"/>
        <w:rPr>
          <w:rStyle w:val="17"/>
          <w:rFonts w:ascii="仿宋" w:hAnsi="仿宋" w:eastAsia="仿宋"/>
          <w:b w:val="0"/>
          <w:bCs/>
          <w:color w:val="000000"/>
          <w:sz w:val="32"/>
          <w:szCs w:val="32"/>
        </w:rPr>
      </w:pPr>
      <w:r>
        <w:rPr>
          <w:rStyle w:val="17"/>
          <w:rFonts w:hint="eastAsia" w:ascii="仿宋" w:hAnsi="仿宋" w:eastAsia="仿宋"/>
          <w:bCs/>
          <w:color w:val="000000"/>
          <w:sz w:val="32"/>
          <w:szCs w:val="32"/>
        </w:rPr>
        <w:t>1</w:t>
      </w:r>
      <w:r>
        <w:rPr>
          <w:rStyle w:val="17"/>
          <w:rFonts w:hint="eastAsia" w:ascii="仿宋" w:hAnsi="仿宋" w:eastAsia="仿宋"/>
          <w:bCs/>
          <w:color w:val="000000"/>
          <w:sz w:val="32"/>
          <w:szCs w:val="32"/>
          <w:lang w:val="en-US" w:eastAsia="zh-CN"/>
        </w:rPr>
        <w:t>2</w:t>
      </w:r>
      <w:r>
        <w:rPr>
          <w:rStyle w:val="17"/>
          <w:rFonts w:ascii="仿宋" w:hAnsi="仿宋" w:eastAsia="仿宋"/>
          <w:bCs/>
          <w:color w:val="000000"/>
          <w:sz w:val="32"/>
          <w:szCs w:val="32"/>
        </w:rPr>
        <w:t>.</w:t>
      </w:r>
      <w:r>
        <w:rPr>
          <w:rFonts w:hint="eastAsia" w:ascii="仿宋" w:hAnsi="仿宋" w:eastAsia="仿宋" w:cs="宋体"/>
          <w:color w:val="000000"/>
          <w:kern w:val="0"/>
          <w:sz w:val="32"/>
          <w:szCs w:val="32"/>
        </w:rPr>
        <w:t xml:space="preserve"> 社会保障和就业（类）行政事业单位离退休（款）机关事业单位职业年金缴费支出（项）：反映机关事业单位实施养老保险制度由单位缴纳的职业年金支出。</w:t>
      </w:r>
    </w:p>
    <w:p w14:paraId="4DE94F9C">
      <w:pPr>
        <w:spacing w:line="600" w:lineRule="exact"/>
        <w:ind w:firstLine="643" w:firstLineChars="200"/>
        <w:rPr>
          <w:rFonts w:ascii="仿宋" w:hAnsi="仿宋" w:eastAsia="仿宋" w:cs="宋体"/>
          <w:color w:val="000000"/>
          <w:kern w:val="0"/>
          <w:sz w:val="32"/>
          <w:szCs w:val="32"/>
        </w:rPr>
      </w:pPr>
      <w:r>
        <w:rPr>
          <w:rStyle w:val="17"/>
          <w:rFonts w:hint="eastAsia" w:ascii="仿宋" w:hAnsi="仿宋" w:eastAsia="仿宋"/>
          <w:bCs/>
          <w:color w:val="000000"/>
          <w:sz w:val="32"/>
          <w:szCs w:val="32"/>
        </w:rPr>
        <w:t>1</w:t>
      </w:r>
      <w:r>
        <w:rPr>
          <w:rStyle w:val="17"/>
          <w:rFonts w:hint="eastAsia" w:ascii="仿宋" w:hAnsi="仿宋" w:eastAsia="仿宋"/>
          <w:bCs/>
          <w:color w:val="000000"/>
          <w:sz w:val="32"/>
          <w:szCs w:val="32"/>
          <w:lang w:val="en-US" w:eastAsia="zh-CN"/>
        </w:rPr>
        <w:t>3</w:t>
      </w:r>
      <w:r>
        <w:rPr>
          <w:rStyle w:val="17"/>
          <w:rFonts w:ascii="仿宋" w:hAnsi="仿宋" w:eastAsia="仿宋"/>
          <w:bCs/>
          <w:color w:val="000000"/>
          <w:sz w:val="32"/>
          <w:szCs w:val="32"/>
        </w:rPr>
        <w:t>.</w:t>
      </w:r>
      <w:r>
        <w:rPr>
          <w:rFonts w:hint="eastAsia" w:ascii="仿宋" w:hAnsi="仿宋" w:eastAsia="仿宋" w:cs="宋体"/>
          <w:color w:val="000000"/>
          <w:kern w:val="0"/>
          <w:sz w:val="32"/>
          <w:szCs w:val="32"/>
        </w:rPr>
        <w:t xml:space="preserve"> 社会保障和就业（类）其他社会保障和就业（款）其他社会保障和就业支出（项）：反映除上述项目以外其他用于行政事业单位养老方面的支出。</w:t>
      </w:r>
    </w:p>
    <w:p w14:paraId="5080CB3E">
      <w:pPr>
        <w:spacing w:line="600" w:lineRule="exact"/>
        <w:ind w:firstLine="643" w:firstLineChars="200"/>
        <w:rPr>
          <w:rStyle w:val="17"/>
          <w:rFonts w:ascii="仿宋" w:hAnsi="仿宋" w:eastAsia="仿宋"/>
          <w:b w:val="0"/>
          <w:bCs/>
          <w:color w:val="000000"/>
          <w:sz w:val="32"/>
          <w:szCs w:val="32"/>
        </w:rPr>
      </w:pPr>
      <w:r>
        <w:rPr>
          <w:rStyle w:val="17"/>
          <w:rFonts w:hint="eastAsia" w:ascii="仿宋" w:hAnsi="仿宋" w:eastAsia="仿宋"/>
          <w:bCs/>
          <w:color w:val="000000"/>
          <w:sz w:val="32"/>
          <w:szCs w:val="32"/>
        </w:rPr>
        <w:t>1</w:t>
      </w:r>
      <w:r>
        <w:rPr>
          <w:rStyle w:val="17"/>
          <w:rFonts w:hint="eastAsia" w:ascii="仿宋" w:hAnsi="仿宋" w:eastAsia="仿宋"/>
          <w:bCs/>
          <w:color w:val="000000"/>
          <w:sz w:val="32"/>
          <w:szCs w:val="32"/>
          <w:lang w:val="en-US" w:eastAsia="zh-CN"/>
        </w:rPr>
        <w:t>4</w:t>
      </w:r>
      <w:r>
        <w:rPr>
          <w:rStyle w:val="17"/>
          <w:rFonts w:ascii="仿宋" w:hAnsi="仿宋" w:eastAsia="仿宋"/>
          <w:bCs/>
          <w:color w:val="000000"/>
          <w:sz w:val="32"/>
          <w:szCs w:val="32"/>
        </w:rPr>
        <w:t>.</w:t>
      </w:r>
      <w:r>
        <w:rPr>
          <w:rFonts w:hint="eastAsia" w:ascii="仿宋" w:hAnsi="仿宋" w:eastAsia="仿宋" w:cs="宋体"/>
          <w:color w:val="000000"/>
          <w:kern w:val="0"/>
          <w:sz w:val="32"/>
          <w:szCs w:val="32"/>
        </w:rPr>
        <w:t xml:space="preserve"> </w:t>
      </w:r>
      <w:r>
        <w:rPr>
          <w:rFonts w:hint="eastAsia" w:ascii="仿宋" w:hAnsi="仿宋" w:eastAsia="仿宋" w:cs="宋体"/>
          <w:color w:val="000000"/>
          <w:kern w:val="0"/>
          <w:sz w:val="32"/>
          <w:szCs w:val="32"/>
          <w:lang w:eastAsia="zh-CN"/>
        </w:rPr>
        <w:t>卫生健康</w:t>
      </w:r>
      <w:r>
        <w:rPr>
          <w:rFonts w:hint="eastAsia" w:ascii="仿宋" w:hAnsi="仿宋" w:eastAsia="仿宋" w:cs="宋体"/>
          <w:color w:val="000000"/>
          <w:kern w:val="0"/>
          <w:sz w:val="32"/>
          <w:szCs w:val="32"/>
        </w:rPr>
        <w:t>（类）行政事业单位医疗（款）事业单位医疗（项）：反映财政部门安排的事业单位基本医疗保险缴费经费，未参加医疗保险的事业单位的公费医疗经费，按国家规定享受离休人员待遇的医疗经费。</w:t>
      </w:r>
    </w:p>
    <w:p w14:paraId="2EC85E86">
      <w:pPr>
        <w:spacing w:line="600" w:lineRule="exact"/>
        <w:ind w:firstLine="643" w:firstLineChars="200"/>
        <w:rPr>
          <w:rStyle w:val="17"/>
          <w:rFonts w:ascii="仿宋" w:hAnsi="仿宋" w:eastAsia="仿宋"/>
          <w:b w:val="0"/>
          <w:bCs/>
          <w:color w:val="000000"/>
          <w:sz w:val="32"/>
          <w:szCs w:val="32"/>
        </w:rPr>
      </w:pPr>
      <w:r>
        <w:rPr>
          <w:rStyle w:val="17"/>
          <w:rFonts w:hint="eastAsia" w:ascii="仿宋" w:hAnsi="仿宋" w:eastAsia="仿宋"/>
          <w:bCs/>
          <w:color w:val="000000"/>
          <w:sz w:val="32"/>
          <w:szCs w:val="32"/>
        </w:rPr>
        <w:t>1</w:t>
      </w:r>
      <w:r>
        <w:rPr>
          <w:rStyle w:val="17"/>
          <w:rFonts w:hint="eastAsia" w:ascii="仿宋" w:hAnsi="仿宋" w:eastAsia="仿宋"/>
          <w:bCs/>
          <w:color w:val="000000"/>
          <w:sz w:val="32"/>
          <w:szCs w:val="32"/>
          <w:lang w:val="en-US" w:eastAsia="zh-CN"/>
        </w:rPr>
        <w:t>5</w:t>
      </w:r>
      <w:r>
        <w:rPr>
          <w:rStyle w:val="17"/>
          <w:rFonts w:ascii="仿宋" w:hAnsi="仿宋" w:eastAsia="仿宋"/>
          <w:bCs/>
          <w:color w:val="000000"/>
          <w:sz w:val="32"/>
          <w:szCs w:val="32"/>
        </w:rPr>
        <w:t>.</w:t>
      </w:r>
      <w:r>
        <w:rPr>
          <w:rFonts w:hint="eastAsia" w:ascii="仿宋" w:hAnsi="仿宋" w:eastAsia="仿宋" w:cs="宋体"/>
          <w:color w:val="000000"/>
          <w:kern w:val="0"/>
          <w:sz w:val="32"/>
          <w:szCs w:val="32"/>
          <w:lang w:eastAsia="zh-CN"/>
        </w:rPr>
        <w:t>卫生健康</w:t>
      </w:r>
      <w:r>
        <w:rPr>
          <w:rFonts w:hint="eastAsia" w:ascii="仿宋" w:hAnsi="仿宋" w:eastAsia="仿宋" w:cs="宋体"/>
          <w:color w:val="000000"/>
          <w:kern w:val="0"/>
          <w:sz w:val="32"/>
          <w:szCs w:val="32"/>
        </w:rPr>
        <w:t>（类）行政事业单位医疗（款）公务员医疗补助（项）：反映财政部门安排的公务员医疗补助经费。</w:t>
      </w:r>
    </w:p>
    <w:p w14:paraId="7E5A0BA4">
      <w:pPr>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16</w:t>
      </w:r>
      <w:r>
        <w:rPr>
          <w:rFonts w:hint="eastAsia" w:ascii="仿宋" w:hAnsi="仿宋" w:eastAsia="仿宋"/>
          <w:color w:val="000000"/>
          <w:sz w:val="32"/>
          <w:szCs w:val="32"/>
        </w:rPr>
        <w:t>.住房保障支出（类）住房改革支出（款）住房公积金（项）：指反映行政事业单位按人</w:t>
      </w:r>
      <w:r>
        <w:rPr>
          <w:rFonts w:hint="eastAsia" w:ascii="仿宋" w:hAnsi="仿宋" w:eastAsia="仿宋"/>
          <w:color w:val="000000"/>
          <w:sz w:val="32"/>
          <w:szCs w:val="32"/>
          <w:lang w:val="en-US" w:eastAsia="zh-CN"/>
        </w:rPr>
        <w:t>力</w:t>
      </w:r>
      <w:r>
        <w:rPr>
          <w:rFonts w:hint="eastAsia" w:ascii="仿宋" w:hAnsi="仿宋" w:eastAsia="仿宋"/>
          <w:color w:val="000000"/>
          <w:sz w:val="32"/>
          <w:szCs w:val="32"/>
        </w:rPr>
        <w:t>资源和社会保障部、财政部规定的基本工资和津贴补贴以及规定比例为职工缴纳的住房公积金</w:t>
      </w:r>
      <w:r>
        <w:rPr>
          <w:rFonts w:hint="eastAsia" w:ascii="仿宋" w:hAnsi="仿宋" w:eastAsia="仿宋"/>
          <w:color w:val="000000"/>
          <w:sz w:val="32"/>
          <w:szCs w:val="32"/>
          <w:lang w:eastAsia="zh-CN"/>
        </w:rPr>
        <w:t>。</w:t>
      </w:r>
    </w:p>
    <w:p w14:paraId="0CCD762D">
      <w:pPr>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17</w:t>
      </w:r>
      <w:r>
        <w:rPr>
          <w:rFonts w:hint="eastAsia" w:ascii="仿宋" w:hAnsi="仿宋" w:eastAsia="仿宋"/>
          <w:color w:val="000000"/>
          <w:sz w:val="32"/>
          <w:szCs w:val="32"/>
        </w:rPr>
        <w:t>.基本支出：指为保障机构正常运转、完成日常工作任务而发生的人员支出和公用支出。</w:t>
      </w:r>
    </w:p>
    <w:p w14:paraId="1DC129BD">
      <w:pPr>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18</w:t>
      </w:r>
      <w:r>
        <w:rPr>
          <w:rFonts w:hint="eastAsia" w:ascii="仿宋" w:hAnsi="仿宋" w:eastAsia="仿宋"/>
          <w:color w:val="000000"/>
          <w:sz w:val="32"/>
          <w:szCs w:val="32"/>
        </w:rPr>
        <w:t xml:space="preserve">.项目支出：指在基本支出之外为完成特定行政任务和事业发展目标所发生的支出。 </w:t>
      </w:r>
    </w:p>
    <w:p w14:paraId="0781D1B2">
      <w:pPr>
        <w:pStyle w:val="26"/>
        <w:spacing w:line="560" w:lineRule="exact"/>
        <w:ind w:firstLine="640" w:firstLineChars="200"/>
        <w:jc w:val="both"/>
        <w:rPr>
          <w:rFonts w:hAnsi="仿宋" w:cs="Times New Roman"/>
          <w:kern w:val="2"/>
          <w:sz w:val="32"/>
          <w:szCs w:val="32"/>
        </w:rPr>
      </w:pPr>
      <w:r>
        <w:rPr>
          <w:rFonts w:hint="eastAsia" w:hAnsi="仿宋" w:cs="Times New Roman"/>
          <w:kern w:val="2"/>
          <w:sz w:val="32"/>
          <w:szCs w:val="32"/>
          <w:lang w:val="en-US" w:eastAsia="zh-CN"/>
        </w:rPr>
        <w:t>19</w:t>
      </w:r>
      <w:r>
        <w:rPr>
          <w:rFonts w:hint="eastAsia" w:hAnsi="仿宋" w:cs="Times New Roman"/>
          <w:kern w:val="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FA169FE">
      <w:pPr>
        <w:pStyle w:val="26"/>
        <w:spacing w:line="560" w:lineRule="exact"/>
        <w:ind w:firstLine="640" w:firstLineChars="200"/>
        <w:jc w:val="both"/>
        <w:rPr>
          <w:rFonts w:hAnsi="仿宋" w:cs="Times New Roman"/>
          <w:kern w:val="2"/>
          <w:sz w:val="32"/>
          <w:szCs w:val="32"/>
        </w:rPr>
      </w:pPr>
      <w:r>
        <w:rPr>
          <w:rFonts w:hint="eastAsia" w:hAnsi="仿宋" w:cs="Times New Roman"/>
          <w:kern w:val="2"/>
          <w:sz w:val="32"/>
          <w:szCs w:val="32"/>
          <w:lang w:val="en-US" w:eastAsia="zh-CN"/>
        </w:rPr>
        <w:t>20</w:t>
      </w:r>
      <w:r>
        <w:rPr>
          <w:rFonts w:hint="eastAsia" w:hAnsi="仿宋" w:cs="Times New Roman"/>
          <w:kern w:val="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6B3D8C3">
      <w:pPr>
        <w:ind w:firstLine="643" w:firstLineChars="200"/>
        <w:rPr>
          <w:rFonts w:ascii="仿宋" w:hAnsi="仿宋" w:eastAsia="仿宋"/>
          <w:b/>
          <w:sz w:val="32"/>
          <w:szCs w:val="32"/>
        </w:rPr>
      </w:pPr>
    </w:p>
    <w:p w14:paraId="581A1607">
      <w:pPr>
        <w:spacing w:line="600" w:lineRule="exact"/>
        <w:jc w:val="center"/>
        <w:outlineLvl w:val="0"/>
        <w:rPr>
          <w:rStyle w:val="28"/>
          <w:rFonts w:ascii="黑体" w:hAnsi="黑体" w:eastAsia="黑体"/>
          <w:b w:val="0"/>
        </w:rPr>
      </w:pPr>
      <w:bookmarkStart w:id="93" w:name="_Toc15377226"/>
      <w:r>
        <w:rPr>
          <w:rFonts w:ascii="宋体"/>
          <w:b/>
          <w:sz w:val="44"/>
          <w:szCs w:val="44"/>
        </w:rPr>
        <w:br w:type="page"/>
      </w:r>
      <w:bookmarkStart w:id="94" w:name="_Toc15396614"/>
      <w:bookmarkStart w:id="95" w:name="_Toc27222"/>
      <w:r>
        <w:rPr>
          <w:rFonts w:hint="eastAsia" w:ascii="黑体" w:hAnsi="黑体" w:eastAsia="黑体"/>
          <w:sz w:val="44"/>
          <w:szCs w:val="44"/>
        </w:rPr>
        <w:t>第</w:t>
      </w:r>
      <w:r>
        <w:rPr>
          <w:rStyle w:val="28"/>
          <w:rFonts w:hint="eastAsia" w:ascii="黑体" w:hAnsi="黑体" w:eastAsia="黑体"/>
          <w:b w:val="0"/>
        </w:rPr>
        <w:t>四部分 附件</w:t>
      </w:r>
      <w:bookmarkEnd w:id="94"/>
      <w:bookmarkEnd w:id="95"/>
    </w:p>
    <w:p w14:paraId="4A11802D">
      <w:pPr>
        <w:spacing w:line="572" w:lineRule="exact"/>
        <w:jc w:val="left"/>
        <w:outlineLvl w:val="9"/>
        <w:rPr>
          <w:rFonts w:ascii="仿宋_GB2312" w:hAnsi="仿宋_GB2312" w:eastAsia="仿宋_GB2312" w:cs="仿宋_GB2312"/>
          <w:sz w:val="32"/>
          <w:szCs w:val="32"/>
        </w:rPr>
      </w:pPr>
    </w:p>
    <w:p w14:paraId="6DACAD39">
      <w:pPr>
        <w:spacing w:line="600" w:lineRule="exact"/>
        <w:jc w:val="center"/>
        <w:outlineLvl w:val="1"/>
        <w:rPr>
          <w:rFonts w:ascii="黑体" w:hAnsi="黑体" w:eastAsia="黑体"/>
          <w:color w:val="FF0000"/>
          <w:sz w:val="44"/>
          <w:szCs w:val="44"/>
        </w:rPr>
      </w:pPr>
      <w:bookmarkStart w:id="96" w:name="_Toc11875"/>
      <w:bookmarkStart w:id="97" w:name="_Toc15396618"/>
      <w:r>
        <w:rPr>
          <w:rFonts w:hint="eastAsia"/>
          <w:sz w:val="32"/>
          <w:szCs w:val="32"/>
        </w:rPr>
        <w:t>部门预算项目支出绩效自评表（2023年度）</w:t>
      </w:r>
      <w:bookmarkEnd w:id="96"/>
    </w:p>
    <w:p w14:paraId="22A8F188">
      <w:pPr>
        <w:pStyle w:val="5"/>
        <w:spacing w:before="93"/>
        <w:rPr>
          <w:rFonts w:hAnsi="Calibri" w:cs="仿宋"/>
          <w:sz w:val="32"/>
          <w:szCs w:val="32"/>
        </w:rPr>
      </w:pPr>
      <w:r>
        <w:rPr>
          <w:rFonts w:hAnsi="Calibri" w:cs="仿宋"/>
          <w:sz w:val="32"/>
          <w:szCs w:val="32"/>
        </w:rPr>
        <w:drawing>
          <wp:anchor distT="0" distB="0" distL="114300" distR="114300" simplePos="0" relativeHeight="251668480" behindDoc="0" locked="0" layoutInCell="1" allowOverlap="1">
            <wp:simplePos x="0" y="0"/>
            <wp:positionH relativeFrom="column">
              <wp:posOffset>15875</wp:posOffset>
            </wp:positionH>
            <wp:positionV relativeFrom="paragraph">
              <wp:posOffset>379730</wp:posOffset>
            </wp:positionV>
            <wp:extent cx="5271135" cy="5053965"/>
            <wp:effectExtent l="0" t="0" r="5715" b="13335"/>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3"/>
                    <a:stretch>
                      <a:fillRect/>
                    </a:stretch>
                  </pic:blipFill>
                  <pic:spPr>
                    <a:xfrm>
                      <a:off x="0" y="0"/>
                      <a:ext cx="5271135" cy="5053965"/>
                    </a:xfrm>
                    <a:prstGeom prst="rect">
                      <a:avLst/>
                    </a:prstGeom>
                    <a:noFill/>
                    <a:ln>
                      <a:noFill/>
                    </a:ln>
                  </pic:spPr>
                </pic:pic>
              </a:graphicData>
            </a:graphic>
          </wp:anchor>
        </w:drawing>
      </w:r>
    </w:p>
    <w:p w14:paraId="6FA01701">
      <w:pPr>
        <w:spacing w:line="600" w:lineRule="exact"/>
        <w:jc w:val="center"/>
        <w:outlineLvl w:val="9"/>
        <w:rPr>
          <w:rFonts w:hint="eastAsia" w:ascii="黑体" w:hAnsi="黑体" w:eastAsia="黑体"/>
          <w:sz w:val="44"/>
          <w:szCs w:val="44"/>
        </w:rPr>
      </w:pPr>
    </w:p>
    <w:p w14:paraId="312C27FF">
      <w:pPr>
        <w:spacing w:line="600" w:lineRule="exact"/>
        <w:jc w:val="center"/>
        <w:outlineLvl w:val="9"/>
        <w:rPr>
          <w:rFonts w:hint="eastAsia" w:ascii="黑体" w:hAnsi="黑体" w:eastAsia="黑体"/>
          <w:sz w:val="44"/>
          <w:szCs w:val="44"/>
        </w:rPr>
      </w:pPr>
    </w:p>
    <w:p w14:paraId="368A9D1C">
      <w:pPr>
        <w:spacing w:line="600" w:lineRule="exact"/>
        <w:jc w:val="center"/>
        <w:outlineLvl w:val="9"/>
        <w:rPr>
          <w:rFonts w:hint="eastAsia" w:ascii="黑体" w:hAnsi="黑体" w:eastAsia="黑体"/>
          <w:sz w:val="44"/>
          <w:szCs w:val="44"/>
        </w:rPr>
      </w:pPr>
    </w:p>
    <w:p w14:paraId="72822778">
      <w:pPr>
        <w:spacing w:line="600" w:lineRule="exact"/>
        <w:jc w:val="center"/>
        <w:outlineLvl w:val="9"/>
        <w:rPr>
          <w:rFonts w:hint="eastAsia" w:ascii="黑体" w:hAnsi="黑体" w:eastAsia="黑体"/>
          <w:sz w:val="44"/>
          <w:szCs w:val="44"/>
        </w:rPr>
      </w:pPr>
    </w:p>
    <w:p w14:paraId="0A42296F">
      <w:pPr>
        <w:spacing w:line="600" w:lineRule="exact"/>
        <w:jc w:val="both"/>
        <w:outlineLvl w:val="9"/>
        <w:rPr>
          <w:rFonts w:hint="eastAsia" w:ascii="黑体" w:hAnsi="黑体" w:eastAsia="黑体"/>
          <w:sz w:val="44"/>
          <w:szCs w:val="44"/>
        </w:rPr>
      </w:pPr>
      <w:r>
        <w:rPr>
          <w:rFonts w:hint="eastAsia" w:ascii="黑体" w:hAnsi="黑体" w:eastAsia="黑体"/>
          <w:sz w:val="44"/>
          <w:szCs w:val="44"/>
        </w:rPr>
        <w:drawing>
          <wp:anchor distT="0" distB="0" distL="114300" distR="114300" simplePos="0" relativeHeight="251666432" behindDoc="0" locked="0" layoutInCell="1" allowOverlap="1">
            <wp:simplePos x="0" y="0"/>
            <wp:positionH relativeFrom="column">
              <wp:posOffset>118745</wp:posOffset>
            </wp:positionH>
            <wp:positionV relativeFrom="paragraph">
              <wp:posOffset>4668520</wp:posOffset>
            </wp:positionV>
            <wp:extent cx="5273040" cy="9356725"/>
            <wp:effectExtent l="0" t="0" r="3810" b="15875"/>
            <wp:wrapSquare wrapText="bothSides"/>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4"/>
                    <a:stretch>
                      <a:fillRect/>
                    </a:stretch>
                  </pic:blipFill>
                  <pic:spPr>
                    <a:xfrm>
                      <a:off x="0" y="0"/>
                      <a:ext cx="5273040" cy="9356725"/>
                    </a:xfrm>
                    <a:prstGeom prst="rect">
                      <a:avLst/>
                    </a:prstGeom>
                    <a:noFill/>
                    <a:ln>
                      <a:noFill/>
                    </a:ln>
                  </pic:spPr>
                </pic:pic>
              </a:graphicData>
            </a:graphic>
          </wp:anchor>
        </w:drawing>
      </w:r>
    </w:p>
    <w:p w14:paraId="566FDE2C">
      <w:pPr>
        <w:spacing w:line="600" w:lineRule="exact"/>
        <w:jc w:val="center"/>
        <w:outlineLvl w:val="9"/>
        <w:rPr>
          <w:rFonts w:hint="eastAsia" w:ascii="黑体" w:hAnsi="黑体" w:eastAsia="黑体"/>
          <w:sz w:val="44"/>
          <w:szCs w:val="44"/>
        </w:rPr>
      </w:pPr>
    </w:p>
    <w:p w14:paraId="3003811F">
      <w:pPr>
        <w:spacing w:line="600" w:lineRule="exact"/>
        <w:jc w:val="center"/>
        <w:outlineLvl w:val="9"/>
        <w:rPr>
          <w:rFonts w:hint="eastAsia" w:ascii="黑体" w:hAnsi="黑体" w:eastAsia="黑体"/>
          <w:sz w:val="44"/>
          <w:szCs w:val="44"/>
        </w:rPr>
      </w:pPr>
      <w:r>
        <w:rPr>
          <w:rFonts w:hint="eastAsia" w:ascii="黑体" w:hAnsi="黑体" w:eastAsia="黑体"/>
          <w:sz w:val="44"/>
          <w:szCs w:val="44"/>
        </w:rPr>
        <w:drawing>
          <wp:anchor distT="0" distB="0" distL="114300" distR="114300" simplePos="0" relativeHeight="251667456" behindDoc="0" locked="0" layoutInCell="1" allowOverlap="1">
            <wp:simplePos x="0" y="0"/>
            <wp:positionH relativeFrom="column">
              <wp:posOffset>-222250</wp:posOffset>
            </wp:positionH>
            <wp:positionV relativeFrom="paragraph">
              <wp:posOffset>450850</wp:posOffset>
            </wp:positionV>
            <wp:extent cx="5271770" cy="5114290"/>
            <wp:effectExtent l="0" t="0" r="5080" b="10160"/>
            <wp:wrapSquare wrapText="bothSides"/>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15"/>
                    <a:stretch>
                      <a:fillRect/>
                    </a:stretch>
                  </pic:blipFill>
                  <pic:spPr>
                    <a:xfrm>
                      <a:off x="0" y="0"/>
                      <a:ext cx="5271770" cy="5114290"/>
                    </a:xfrm>
                    <a:prstGeom prst="rect">
                      <a:avLst/>
                    </a:prstGeom>
                    <a:noFill/>
                    <a:ln>
                      <a:noFill/>
                    </a:ln>
                  </pic:spPr>
                </pic:pic>
              </a:graphicData>
            </a:graphic>
          </wp:anchor>
        </w:drawing>
      </w:r>
    </w:p>
    <w:p w14:paraId="6C9737EA">
      <w:pPr>
        <w:spacing w:line="600" w:lineRule="exact"/>
        <w:jc w:val="center"/>
        <w:outlineLvl w:val="9"/>
        <w:rPr>
          <w:rFonts w:hint="eastAsia" w:ascii="黑体" w:hAnsi="黑体" w:eastAsia="黑体"/>
          <w:sz w:val="44"/>
          <w:szCs w:val="44"/>
        </w:rPr>
      </w:pPr>
    </w:p>
    <w:p w14:paraId="699012F9">
      <w:pPr>
        <w:spacing w:line="600" w:lineRule="exact"/>
        <w:jc w:val="center"/>
        <w:outlineLvl w:val="9"/>
        <w:rPr>
          <w:rFonts w:hint="eastAsia" w:ascii="黑体" w:hAnsi="黑体" w:eastAsia="黑体"/>
          <w:sz w:val="44"/>
          <w:szCs w:val="44"/>
        </w:rPr>
      </w:pPr>
    </w:p>
    <w:p w14:paraId="5A1BC756">
      <w:pPr>
        <w:spacing w:line="600" w:lineRule="exact"/>
        <w:jc w:val="center"/>
        <w:outlineLvl w:val="9"/>
        <w:rPr>
          <w:rFonts w:hint="eastAsia" w:ascii="黑体" w:hAnsi="黑体" w:eastAsia="黑体"/>
          <w:sz w:val="44"/>
          <w:szCs w:val="44"/>
        </w:rPr>
      </w:pPr>
    </w:p>
    <w:p w14:paraId="49AC8A3A">
      <w:pPr>
        <w:spacing w:line="600" w:lineRule="exact"/>
        <w:jc w:val="center"/>
        <w:outlineLvl w:val="9"/>
        <w:rPr>
          <w:rFonts w:hint="eastAsia" w:ascii="黑体" w:hAnsi="黑体" w:eastAsia="黑体"/>
          <w:sz w:val="44"/>
          <w:szCs w:val="44"/>
        </w:rPr>
      </w:pPr>
    </w:p>
    <w:p w14:paraId="02BBA33C">
      <w:pPr>
        <w:spacing w:line="600" w:lineRule="exact"/>
        <w:jc w:val="center"/>
        <w:outlineLvl w:val="9"/>
        <w:rPr>
          <w:rFonts w:hint="eastAsia" w:ascii="黑体" w:hAnsi="黑体" w:eastAsia="黑体"/>
          <w:sz w:val="44"/>
          <w:szCs w:val="44"/>
        </w:rPr>
      </w:pPr>
    </w:p>
    <w:p w14:paraId="38320A69">
      <w:pPr>
        <w:spacing w:line="600" w:lineRule="exact"/>
        <w:jc w:val="center"/>
        <w:outlineLvl w:val="9"/>
        <w:rPr>
          <w:rFonts w:hint="eastAsia" w:ascii="黑体" w:hAnsi="黑体" w:eastAsia="黑体"/>
          <w:sz w:val="44"/>
          <w:szCs w:val="44"/>
        </w:rPr>
      </w:pPr>
    </w:p>
    <w:p w14:paraId="4DE485B2">
      <w:pPr>
        <w:spacing w:line="600" w:lineRule="exact"/>
        <w:jc w:val="center"/>
        <w:outlineLvl w:val="9"/>
        <w:rPr>
          <w:rFonts w:hint="eastAsia" w:ascii="黑体" w:hAnsi="黑体" w:eastAsia="黑体"/>
          <w:sz w:val="44"/>
          <w:szCs w:val="44"/>
        </w:rPr>
      </w:pPr>
    </w:p>
    <w:p w14:paraId="5630B6B8">
      <w:pPr>
        <w:spacing w:line="600" w:lineRule="exact"/>
        <w:jc w:val="center"/>
        <w:outlineLvl w:val="9"/>
        <w:rPr>
          <w:rFonts w:hint="eastAsia" w:ascii="黑体" w:hAnsi="黑体" w:eastAsia="黑体"/>
          <w:sz w:val="44"/>
          <w:szCs w:val="44"/>
        </w:rPr>
      </w:pPr>
      <w:r>
        <w:rPr>
          <w:rFonts w:hint="eastAsia" w:ascii="黑体" w:hAnsi="黑体" w:eastAsia="黑体"/>
          <w:sz w:val="44"/>
          <w:szCs w:val="44"/>
        </w:rPr>
        <w:drawing>
          <wp:anchor distT="0" distB="0" distL="114300" distR="114300" simplePos="0" relativeHeight="251670528" behindDoc="0" locked="0" layoutInCell="1" allowOverlap="1">
            <wp:simplePos x="0" y="0"/>
            <wp:positionH relativeFrom="column">
              <wp:posOffset>-229870</wp:posOffset>
            </wp:positionH>
            <wp:positionV relativeFrom="paragraph">
              <wp:posOffset>4708525</wp:posOffset>
            </wp:positionV>
            <wp:extent cx="5268595" cy="5111750"/>
            <wp:effectExtent l="0" t="0" r="8255" b="12700"/>
            <wp:wrapSquare wrapText="bothSides"/>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16"/>
                    <a:stretch>
                      <a:fillRect/>
                    </a:stretch>
                  </pic:blipFill>
                  <pic:spPr>
                    <a:xfrm>
                      <a:off x="0" y="0"/>
                      <a:ext cx="5268595" cy="5111750"/>
                    </a:xfrm>
                    <a:prstGeom prst="rect">
                      <a:avLst/>
                    </a:prstGeom>
                    <a:noFill/>
                    <a:ln>
                      <a:noFill/>
                    </a:ln>
                  </pic:spPr>
                </pic:pic>
              </a:graphicData>
            </a:graphic>
          </wp:anchor>
        </w:drawing>
      </w:r>
      <w:r>
        <w:rPr>
          <w:rFonts w:hint="eastAsia" w:ascii="黑体" w:hAnsi="黑体" w:eastAsia="黑体"/>
          <w:sz w:val="44"/>
          <w:szCs w:val="44"/>
        </w:rPr>
        <w:drawing>
          <wp:anchor distT="0" distB="0" distL="114300" distR="114300" simplePos="0" relativeHeight="251669504" behindDoc="0" locked="0" layoutInCell="1" allowOverlap="1">
            <wp:simplePos x="0" y="0"/>
            <wp:positionH relativeFrom="column">
              <wp:posOffset>-222250</wp:posOffset>
            </wp:positionH>
            <wp:positionV relativeFrom="paragraph">
              <wp:posOffset>-295275</wp:posOffset>
            </wp:positionV>
            <wp:extent cx="5271135" cy="4949190"/>
            <wp:effectExtent l="0" t="0" r="5715" b="3810"/>
            <wp:wrapSquare wrapText="bothSides"/>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17"/>
                    <a:stretch>
                      <a:fillRect/>
                    </a:stretch>
                  </pic:blipFill>
                  <pic:spPr>
                    <a:xfrm>
                      <a:off x="0" y="0"/>
                      <a:ext cx="5271135" cy="4949190"/>
                    </a:xfrm>
                    <a:prstGeom prst="rect">
                      <a:avLst/>
                    </a:prstGeom>
                    <a:noFill/>
                    <a:ln>
                      <a:noFill/>
                    </a:ln>
                  </pic:spPr>
                </pic:pic>
              </a:graphicData>
            </a:graphic>
          </wp:anchor>
        </w:drawing>
      </w:r>
    </w:p>
    <w:p w14:paraId="656CE1F6">
      <w:pPr>
        <w:spacing w:line="600" w:lineRule="exact"/>
        <w:jc w:val="center"/>
        <w:outlineLvl w:val="9"/>
        <w:rPr>
          <w:rFonts w:hint="eastAsia" w:ascii="黑体" w:hAnsi="黑体" w:eastAsia="黑体"/>
          <w:sz w:val="44"/>
          <w:szCs w:val="44"/>
        </w:rPr>
      </w:pPr>
      <w:r>
        <w:rPr>
          <w:rFonts w:hint="eastAsia" w:ascii="黑体" w:hAnsi="黑体" w:eastAsia="黑体"/>
          <w:sz w:val="44"/>
          <w:szCs w:val="44"/>
        </w:rPr>
        <w:drawing>
          <wp:anchor distT="0" distB="0" distL="114300" distR="114300" simplePos="0" relativeHeight="251672576" behindDoc="0" locked="0" layoutInCell="1" allowOverlap="1">
            <wp:simplePos x="0" y="0"/>
            <wp:positionH relativeFrom="column">
              <wp:posOffset>111125</wp:posOffset>
            </wp:positionH>
            <wp:positionV relativeFrom="paragraph">
              <wp:posOffset>5483860</wp:posOffset>
            </wp:positionV>
            <wp:extent cx="5271770" cy="4284980"/>
            <wp:effectExtent l="0" t="0" r="5080" b="1270"/>
            <wp:wrapSquare wrapText="bothSides"/>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18"/>
                    <a:stretch>
                      <a:fillRect/>
                    </a:stretch>
                  </pic:blipFill>
                  <pic:spPr>
                    <a:xfrm>
                      <a:off x="0" y="0"/>
                      <a:ext cx="5271770" cy="4284980"/>
                    </a:xfrm>
                    <a:prstGeom prst="rect">
                      <a:avLst/>
                    </a:prstGeom>
                    <a:noFill/>
                    <a:ln>
                      <a:noFill/>
                    </a:ln>
                  </pic:spPr>
                </pic:pic>
              </a:graphicData>
            </a:graphic>
          </wp:anchor>
        </w:drawing>
      </w:r>
      <w:r>
        <w:rPr>
          <w:rFonts w:hint="eastAsia" w:ascii="黑体" w:hAnsi="黑体" w:eastAsia="黑体"/>
          <w:sz w:val="44"/>
          <w:szCs w:val="44"/>
        </w:rPr>
        <w:drawing>
          <wp:anchor distT="0" distB="0" distL="114300" distR="114300" simplePos="0" relativeHeight="251671552" behindDoc="0" locked="0" layoutInCell="1" allowOverlap="1">
            <wp:simplePos x="0" y="0"/>
            <wp:positionH relativeFrom="column">
              <wp:posOffset>63500</wp:posOffset>
            </wp:positionH>
            <wp:positionV relativeFrom="paragraph">
              <wp:posOffset>300355</wp:posOffset>
            </wp:positionV>
            <wp:extent cx="5273040" cy="5134610"/>
            <wp:effectExtent l="0" t="0" r="3810" b="8890"/>
            <wp:wrapSquare wrapText="bothSides"/>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19"/>
                    <a:stretch>
                      <a:fillRect/>
                    </a:stretch>
                  </pic:blipFill>
                  <pic:spPr>
                    <a:xfrm>
                      <a:off x="0" y="0"/>
                      <a:ext cx="5273040" cy="5134610"/>
                    </a:xfrm>
                    <a:prstGeom prst="rect">
                      <a:avLst/>
                    </a:prstGeom>
                    <a:noFill/>
                    <a:ln>
                      <a:noFill/>
                    </a:ln>
                  </pic:spPr>
                </pic:pic>
              </a:graphicData>
            </a:graphic>
          </wp:anchor>
        </w:drawing>
      </w:r>
    </w:p>
    <w:p w14:paraId="44F0F11C">
      <w:pPr>
        <w:spacing w:line="600" w:lineRule="exact"/>
        <w:jc w:val="center"/>
        <w:outlineLvl w:val="9"/>
        <w:rPr>
          <w:rFonts w:hint="eastAsia" w:ascii="黑体" w:hAnsi="黑体" w:eastAsia="黑体"/>
          <w:sz w:val="44"/>
          <w:szCs w:val="44"/>
        </w:rPr>
      </w:pPr>
      <w:r>
        <w:rPr>
          <w:rFonts w:hint="eastAsia" w:ascii="黑体" w:hAnsi="黑体" w:eastAsia="黑体"/>
          <w:sz w:val="44"/>
          <w:szCs w:val="44"/>
        </w:rPr>
        <w:drawing>
          <wp:anchor distT="0" distB="0" distL="114300" distR="114300" simplePos="0" relativeHeight="251673600" behindDoc="0" locked="0" layoutInCell="1" allowOverlap="1">
            <wp:simplePos x="0" y="0"/>
            <wp:positionH relativeFrom="column">
              <wp:posOffset>-135255</wp:posOffset>
            </wp:positionH>
            <wp:positionV relativeFrom="paragraph">
              <wp:posOffset>117475</wp:posOffset>
            </wp:positionV>
            <wp:extent cx="5270500" cy="4408805"/>
            <wp:effectExtent l="0" t="0" r="6350" b="10795"/>
            <wp:wrapSquare wrapText="bothSides"/>
            <wp:docPr id="1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pic:cNvPicPr>
                      <a:picLocks noChangeAspect="1"/>
                    </pic:cNvPicPr>
                  </pic:nvPicPr>
                  <pic:blipFill>
                    <a:blip r:embed="rId20"/>
                    <a:stretch>
                      <a:fillRect/>
                    </a:stretch>
                  </pic:blipFill>
                  <pic:spPr>
                    <a:xfrm>
                      <a:off x="0" y="0"/>
                      <a:ext cx="5270500" cy="4408805"/>
                    </a:xfrm>
                    <a:prstGeom prst="rect">
                      <a:avLst/>
                    </a:prstGeom>
                    <a:noFill/>
                    <a:ln>
                      <a:noFill/>
                    </a:ln>
                  </pic:spPr>
                </pic:pic>
              </a:graphicData>
            </a:graphic>
          </wp:anchor>
        </w:drawing>
      </w:r>
    </w:p>
    <w:p w14:paraId="31C8EE5D">
      <w:pPr>
        <w:spacing w:line="600" w:lineRule="exact"/>
        <w:jc w:val="center"/>
        <w:outlineLvl w:val="9"/>
        <w:rPr>
          <w:rFonts w:hint="eastAsia" w:ascii="黑体" w:hAnsi="黑体" w:eastAsia="黑体"/>
          <w:sz w:val="44"/>
          <w:szCs w:val="44"/>
        </w:rPr>
      </w:pPr>
    </w:p>
    <w:p w14:paraId="2CCDADF8">
      <w:pPr>
        <w:spacing w:line="600" w:lineRule="exact"/>
        <w:jc w:val="center"/>
        <w:outlineLvl w:val="9"/>
        <w:rPr>
          <w:rFonts w:hint="eastAsia" w:ascii="黑体" w:hAnsi="黑体" w:eastAsia="黑体"/>
          <w:sz w:val="44"/>
          <w:szCs w:val="44"/>
        </w:rPr>
      </w:pPr>
    </w:p>
    <w:p w14:paraId="318FD08F">
      <w:pPr>
        <w:spacing w:line="600" w:lineRule="exact"/>
        <w:jc w:val="center"/>
        <w:outlineLvl w:val="9"/>
        <w:rPr>
          <w:rFonts w:hint="eastAsia" w:ascii="黑体" w:hAnsi="黑体" w:eastAsia="黑体"/>
          <w:sz w:val="44"/>
          <w:szCs w:val="44"/>
        </w:rPr>
      </w:pPr>
    </w:p>
    <w:p w14:paraId="7744CE36">
      <w:pPr>
        <w:spacing w:line="600" w:lineRule="exact"/>
        <w:jc w:val="center"/>
        <w:outlineLvl w:val="9"/>
        <w:rPr>
          <w:rFonts w:hint="eastAsia" w:ascii="黑体" w:hAnsi="黑体" w:eastAsia="黑体"/>
          <w:sz w:val="44"/>
          <w:szCs w:val="44"/>
        </w:rPr>
      </w:pPr>
    </w:p>
    <w:p w14:paraId="48800BB9">
      <w:pPr>
        <w:spacing w:line="600" w:lineRule="exact"/>
        <w:jc w:val="center"/>
        <w:outlineLvl w:val="9"/>
        <w:rPr>
          <w:rFonts w:hint="eastAsia" w:ascii="黑体" w:hAnsi="黑体" w:eastAsia="黑体"/>
          <w:sz w:val="44"/>
          <w:szCs w:val="44"/>
        </w:rPr>
      </w:pPr>
    </w:p>
    <w:p w14:paraId="18CF20B4">
      <w:pPr>
        <w:spacing w:line="600" w:lineRule="exact"/>
        <w:jc w:val="center"/>
        <w:outlineLvl w:val="9"/>
        <w:rPr>
          <w:rFonts w:hint="eastAsia" w:ascii="黑体" w:hAnsi="黑体" w:eastAsia="黑体"/>
          <w:sz w:val="44"/>
          <w:szCs w:val="44"/>
        </w:rPr>
      </w:pPr>
    </w:p>
    <w:p w14:paraId="6B9801A1">
      <w:pPr>
        <w:spacing w:line="600" w:lineRule="exact"/>
        <w:jc w:val="center"/>
        <w:outlineLvl w:val="9"/>
        <w:rPr>
          <w:rFonts w:hint="eastAsia" w:ascii="黑体" w:hAnsi="黑体" w:eastAsia="黑体"/>
          <w:sz w:val="44"/>
          <w:szCs w:val="44"/>
        </w:rPr>
      </w:pPr>
    </w:p>
    <w:p w14:paraId="0AA6C946">
      <w:pPr>
        <w:spacing w:line="600" w:lineRule="exact"/>
        <w:jc w:val="center"/>
        <w:outlineLvl w:val="9"/>
        <w:rPr>
          <w:rFonts w:hint="eastAsia" w:ascii="黑体" w:hAnsi="黑体" w:eastAsia="黑体"/>
          <w:sz w:val="44"/>
          <w:szCs w:val="44"/>
        </w:rPr>
      </w:pPr>
    </w:p>
    <w:p w14:paraId="2F7845B3">
      <w:pPr>
        <w:spacing w:line="600" w:lineRule="exact"/>
        <w:jc w:val="center"/>
        <w:outlineLvl w:val="9"/>
        <w:rPr>
          <w:rFonts w:hint="eastAsia" w:ascii="黑体" w:hAnsi="黑体" w:eastAsia="黑体"/>
          <w:sz w:val="44"/>
          <w:szCs w:val="44"/>
        </w:rPr>
      </w:pPr>
    </w:p>
    <w:p w14:paraId="3BD0E1FC">
      <w:pPr>
        <w:spacing w:line="600" w:lineRule="exact"/>
        <w:jc w:val="center"/>
        <w:outlineLvl w:val="9"/>
        <w:rPr>
          <w:rFonts w:hint="eastAsia" w:ascii="黑体" w:hAnsi="黑体" w:eastAsia="黑体"/>
          <w:sz w:val="44"/>
          <w:szCs w:val="44"/>
        </w:rPr>
      </w:pPr>
    </w:p>
    <w:p w14:paraId="6D85787D">
      <w:pPr>
        <w:spacing w:line="600" w:lineRule="exact"/>
        <w:jc w:val="both"/>
        <w:outlineLvl w:val="9"/>
        <w:rPr>
          <w:rFonts w:hint="eastAsia" w:ascii="黑体" w:hAnsi="黑体" w:eastAsia="黑体"/>
          <w:sz w:val="44"/>
          <w:szCs w:val="44"/>
        </w:rPr>
      </w:pPr>
    </w:p>
    <w:p w14:paraId="6C0430B0">
      <w:pPr>
        <w:spacing w:line="600" w:lineRule="exact"/>
        <w:jc w:val="center"/>
        <w:outlineLvl w:val="0"/>
        <w:rPr>
          <w:rFonts w:ascii="仿宋" w:hAnsi="仿宋" w:eastAsia="仿宋"/>
        </w:rPr>
      </w:pPr>
      <w:bookmarkStart w:id="98" w:name="_Toc20061"/>
      <w:r>
        <w:rPr>
          <w:rFonts w:hint="eastAsia" w:ascii="黑体" w:hAnsi="黑体" w:eastAsia="黑体"/>
          <w:sz w:val="44"/>
          <w:szCs w:val="44"/>
        </w:rPr>
        <w:t>第</w:t>
      </w:r>
      <w:r>
        <w:rPr>
          <w:rStyle w:val="28"/>
          <w:rFonts w:hint="eastAsia" w:ascii="黑体" w:hAnsi="黑体" w:eastAsia="黑体"/>
          <w:b w:val="0"/>
        </w:rPr>
        <w:t>五部分 附表</w:t>
      </w:r>
      <w:bookmarkEnd w:id="93"/>
      <w:bookmarkEnd w:id="97"/>
      <w:bookmarkEnd w:id="98"/>
      <w:bookmarkStart w:id="99" w:name="_Toc15396619"/>
    </w:p>
    <w:p w14:paraId="424EC2BF">
      <w:pPr>
        <w:pStyle w:val="3"/>
        <w:rPr>
          <w:rFonts w:ascii="仿宋" w:hAnsi="仿宋" w:eastAsia="仿宋"/>
        </w:rPr>
      </w:pPr>
      <w:bookmarkStart w:id="100" w:name="_Toc18812"/>
      <w:r>
        <w:rPr>
          <w:rFonts w:hint="eastAsia" w:ascii="仿宋" w:hAnsi="仿宋" w:eastAsia="仿宋"/>
          <w:b w:val="0"/>
        </w:rPr>
        <w:t>一、收</w:t>
      </w:r>
      <w:r>
        <w:rPr>
          <w:rStyle w:val="29"/>
          <w:rFonts w:hint="eastAsia" w:ascii="仿宋" w:hAnsi="仿宋" w:eastAsia="仿宋"/>
          <w:b w:val="0"/>
          <w:bCs w:val="0"/>
        </w:rPr>
        <w:t>入支出决算总表</w:t>
      </w:r>
      <w:bookmarkEnd w:id="99"/>
      <w:bookmarkEnd w:id="100"/>
    </w:p>
    <w:p w14:paraId="49F0C00A">
      <w:pPr>
        <w:pStyle w:val="3"/>
        <w:rPr>
          <w:rFonts w:ascii="仿宋" w:hAnsi="仿宋" w:eastAsia="仿宋"/>
        </w:rPr>
      </w:pPr>
      <w:bookmarkStart w:id="101" w:name="_Toc10411"/>
      <w:bookmarkStart w:id="102" w:name="_Toc15396620"/>
      <w:r>
        <w:rPr>
          <w:rFonts w:hint="eastAsia" w:ascii="仿宋" w:hAnsi="仿宋" w:eastAsia="仿宋"/>
          <w:b w:val="0"/>
        </w:rPr>
        <w:t>二、收</w:t>
      </w:r>
      <w:r>
        <w:rPr>
          <w:rStyle w:val="29"/>
          <w:rFonts w:hint="eastAsia" w:ascii="仿宋" w:hAnsi="仿宋" w:eastAsia="仿宋"/>
          <w:b w:val="0"/>
          <w:bCs w:val="0"/>
        </w:rPr>
        <w:t>入决算表</w:t>
      </w:r>
      <w:bookmarkEnd w:id="101"/>
      <w:bookmarkEnd w:id="102"/>
    </w:p>
    <w:p w14:paraId="7DDA0C24">
      <w:pPr>
        <w:pStyle w:val="3"/>
        <w:rPr>
          <w:rFonts w:ascii="仿宋" w:hAnsi="仿宋" w:eastAsia="仿宋"/>
        </w:rPr>
      </w:pPr>
      <w:bookmarkStart w:id="103" w:name="_Toc13423"/>
      <w:bookmarkStart w:id="104"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103"/>
      <w:bookmarkEnd w:id="104"/>
    </w:p>
    <w:p w14:paraId="49669A56">
      <w:pPr>
        <w:pStyle w:val="3"/>
        <w:rPr>
          <w:rFonts w:ascii="仿宋" w:hAnsi="仿宋" w:eastAsia="仿宋"/>
          <w:b w:val="0"/>
        </w:rPr>
      </w:pPr>
      <w:bookmarkStart w:id="105" w:name="_Toc1116"/>
      <w:bookmarkStart w:id="106"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105"/>
      <w:bookmarkEnd w:id="106"/>
    </w:p>
    <w:p w14:paraId="2922171D">
      <w:pPr>
        <w:pStyle w:val="3"/>
        <w:rPr>
          <w:rStyle w:val="29"/>
          <w:rFonts w:ascii="仿宋" w:hAnsi="仿宋" w:eastAsia="仿宋"/>
          <w:b w:val="0"/>
          <w:bCs w:val="0"/>
        </w:rPr>
      </w:pPr>
      <w:bookmarkStart w:id="107" w:name="_Toc11608"/>
      <w:bookmarkStart w:id="108"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107"/>
      <w:bookmarkEnd w:id="108"/>
      <w:bookmarkStart w:id="109" w:name="_Toc15396624"/>
    </w:p>
    <w:p w14:paraId="7F314989">
      <w:pPr>
        <w:pStyle w:val="3"/>
        <w:rPr>
          <w:rFonts w:ascii="仿宋" w:hAnsi="仿宋" w:eastAsia="仿宋"/>
        </w:rPr>
      </w:pPr>
      <w:bookmarkStart w:id="110" w:name="_Toc20683"/>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109"/>
      <w:bookmarkEnd w:id="110"/>
    </w:p>
    <w:p w14:paraId="53FB5E62">
      <w:pPr>
        <w:pStyle w:val="3"/>
        <w:rPr>
          <w:rFonts w:ascii="仿宋" w:hAnsi="仿宋" w:eastAsia="仿宋"/>
        </w:rPr>
      </w:pPr>
      <w:bookmarkStart w:id="111" w:name="_Toc4393"/>
      <w:bookmarkStart w:id="112"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111"/>
      <w:bookmarkEnd w:id="112"/>
    </w:p>
    <w:p w14:paraId="6115A5BD">
      <w:pPr>
        <w:pStyle w:val="3"/>
        <w:rPr>
          <w:rFonts w:ascii="仿宋" w:hAnsi="仿宋" w:eastAsia="仿宋"/>
        </w:rPr>
      </w:pPr>
      <w:bookmarkStart w:id="113" w:name="_Toc32287"/>
      <w:bookmarkStart w:id="114"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113"/>
      <w:bookmarkEnd w:id="114"/>
    </w:p>
    <w:p w14:paraId="7F106CB3">
      <w:pPr>
        <w:pStyle w:val="3"/>
        <w:rPr>
          <w:rFonts w:ascii="仿宋" w:hAnsi="仿宋" w:eastAsia="仿宋"/>
        </w:rPr>
      </w:pPr>
      <w:bookmarkStart w:id="115" w:name="_Toc25217"/>
      <w:bookmarkStart w:id="116"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115"/>
      <w:bookmarkEnd w:id="116"/>
    </w:p>
    <w:p w14:paraId="034847B0">
      <w:pPr>
        <w:pStyle w:val="3"/>
        <w:rPr>
          <w:rFonts w:ascii="仿宋" w:hAnsi="仿宋" w:eastAsia="仿宋"/>
        </w:rPr>
      </w:pPr>
      <w:bookmarkStart w:id="117" w:name="_Toc15396628"/>
      <w:bookmarkStart w:id="118" w:name="_Toc21308"/>
      <w:r>
        <w:rPr>
          <w:rStyle w:val="29"/>
          <w:rFonts w:hint="eastAsia" w:ascii="仿宋" w:hAnsi="仿宋" w:eastAsia="仿宋"/>
          <w:b w:val="0"/>
          <w:bCs w:val="0"/>
        </w:rPr>
        <w:t>十、</w:t>
      </w:r>
      <w:bookmarkEnd w:id="117"/>
      <w:r>
        <w:rPr>
          <w:rFonts w:hint="eastAsia" w:ascii="仿宋" w:hAnsi="仿宋" w:eastAsia="仿宋"/>
          <w:b w:val="0"/>
        </w:rPr>
        <w:t>政</w:t>
      </w:r>
      <w:r>
        <w:rPr>
          <w:rStyle w:val="29"/>
          <w:rFonts w:hint="eastAsia" w:ascii="仿宋" w:hAnsi="仿宋" w:eastAsia="仿宋"/>
          <w:b w:val="0"/>
          <w:bCs w:val="0"/>
        </w:rPr>
        <w:t>府性基金预算财政拨款收入支出决算表</w:t>
      </w:r>
      <w:bookmarkEnd w:id="118"/>
    </w:p>
    <w:p w14:paraId="52626C19">
      <w:pPr>
        <w:pStyle w:val="3"/>
        <w:rPr>
          <w:rFonts w:ascii="仿宋" w:hAnsi="仿宋" w:eastAsia="仿宋"/>
        </w:rPr>
      </w:pPr>
      <w:bookmarkStart w:id="119" w:name="_Toc15396629"/>
      <w:bookmarkStart w:id="120" w:name="_Toc2129"/>
      <w:r>
        <w:rPr>
          <w:rStyle w:val="29"/>
          <w:rFonts w:hint="eastAsia" w:ascii="仿宋" w:hAnsi="仿宋" w:eastAsia="仿宋"/>
          <w:b w:val="0"/>
          <w:bCs w:val="0"/>
        </w:rPr>
        <w:t>十一、</w:t>
      </w:r>
      <w:bookmarkEnd w:id="119"/>
      <w:r>
        <w:rPr>
          <w:rFonts w:hint="eastAsia" w:ascii="仿宋" w:hAnsi="仿宋" w:eastAsia="仿宋"/>
          <w:b w:val="0"/>
        </w:rPr>
        <w:t>国</w:t>
      </w:r>
      <w:r>
        <w:rPr>
          <w:rStyle w:val="29"/>
          <w:rFonts w:hint="eastAsia" w:ascii="仿宋" w:hAnsi="仿宋" w:eastAsia="仿宋"/>
          <w:b w:val="0"/>
          <w:bCs w:val="0"/>
        </w:rPr>
        <w:t>有资本经营预算财政拨款收入支出决算表</w:t>
      </w:r>
      <w:bookmarkEnd w:id="120"/>
    </w:p>
    <w:p w14:paraId="4D0E6C0A">
      <w:pPr>
        <w:pStyle w:val="3"/>
        <w:rPr>
          <w:rFonts w:ascii="仿宋" w:hAnsi="仿宋" w:eastAsia="仿宋"/>
        </w:rPr>
      </w:pPr>
      <w:bookmarkStart w:id="121" w:name="_Toc15396630"/>
      <w:bookmarkStart w:id="122" w:name="_Toc28787"/>
      <w:r>
        <w:rPr>
          <w:rStyle w:val="29"/>
          <w:rFonts w:hint="eastAsia" w:ascii="仿宋" w:hAnsi="仿宋" w:eastAsia="仿宋"/>
          <w:b w:val="0"/>
          <w:bCs w:val="0"/>
        </w:rPr>
        <w:t>十二、</w:t>
      </w:r>
      <w:bookmarkEnd w:id="121"/>
      <w:r>
        <w:rPr>
          <w:rStyle w:val="29"/>
          <w:rFonts w:hint="eastAsia" w:ascii="仿宋" w:hAnsi="仿宋" w:eastAsia="仿宋"/>
          <w:b w:val="0"/>
          <w:bCs w:val="0"/>
        </w:rPr>
        <w:t>国有资本经营预算财政拨款支出决算表</w:t>
      </w:r>
      <w:bookmarkEnd w:id="122"/>
    </w:p>
    <w:p w14:paraId="2F0FAFDA">
      <w:pPr>
        <w:pStyle w:val="3"/>
        <w:rPr>
          <w:rFonts w:eastAsia="仿宋"/>
        </w:rPr>
      </w:pPr>
      <w:bookmarkStart w:id="123" w:name="_Toc15396631"/>
      <w:bookmarkStart w:id="124" w:name="_Toc2653"/>
      <w:r>
        <w:rPr>
          <w:rStyle w:val="29"/>
          <w:rFonts w:hint="eastAsia" w:ascii="仿宋" w:hAnsi="仿宋" w:eastAsia="仿宋"/>
          <w:b w:val="0"/>
          <w:bCs w:val="0"/>
        </w:rPr>
        <w:t>十三、</w:t>
      </w:r>
      <w:bookmarkEnd w:id="123"/>
      <w:r>
        <w:rPr>
          <w:rStyle w:val="29"/>
          <w:rFonts w:hint="eastAsia" w:ascii="仿宋" w:hAnsi="仿宋" w:eastAsia="仿宋"/>
          <w:b w:val="0"/>
          <w:bCs w:val="0"/>
        </w:rPr>
        <w:t>财政拨款“三公”经费支出决算表</w:t>
      </w:r>
      <w:bookmarkEnd w:id="12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BF72C1-117F-4506-82DD-F3B190BC2F7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7B96552-EC3F-4F6F-BCDA-BE7FAA0D14F0}"/>
  </w:font>
  <w:font w:name="仿宋">
    <w:panose1 w:val="02010609060101010101"/>
    <w:charset w:val="86"/>
    <w:family w:val="modern"/>
    <w:pitch w:val="default"/>
    <w:sig w:usb0="800002BF" w:usb1="38CF7CFA" w:usb2="00000016" w:usb3="00000000" w:csb0="00040001" w:csb1="00000000"/>
    <w:embedRegular r:id="rId3" w:fontKey="{4D19B5B0-B066-4875-B8EC-C659836C66C3}"/>
  </w:font>
  <w:font w:name="Cambria">
    <w:panose1 w:val="02040503050406030204"/>
    <w:charset w:val="00"/>
    <w:family w:val="roman"/>
    <w:pitch w:val="default"/>
    <w:sig w:usb0="E00002FF" w:usb1="400004FF" w:usb2="00000000" w:usb3="00000000" w:csb0="2000019F" w:csb1="00000000"/>
    <w:embedRegular r:id="rId4" w:fontKey="{0DABB8A5-EA42-49A8-AF2F-3F32F6576E96}"/>
  </w:font>
  <w:font w:name="仿宋_GB2312">
    <w:panose1 w:val="02010609030101010101"/>
    <w:charset w:val="86"/>
    <w:family w:val="auto"/>
    <w:pitch w:val="default"/>
    <w:sig w:usb0="00000001" w:usb1="080E0000" w:usb2="00000000" w:usb3="00000000" w:csb0="00040000" w:csb1="00000000"/>
    <w:embedRegular r:id="rId5" w:fontKey="{16120218-1C7C-4C53-B535-8C3ACFAFF007}"/>
  </w:font>
  <w:font w:name="方正小标宋简体">
    <w:panose1 w:val="02000000000000000000"/>
    <w:charset w:val="86"/>
    <w:family w:val="script"/>
    <w:pitch w:val="default"/>
    <w:sig w:usb0="00000001" w:usb1="080E0000" w:usb2="00000000" w:usb3="00000000" w:csb0="00040000" w:csb1="00000000"/>
    <w:embedRegular r:id="rId6" w:fontKey="{814FE2CA-BB40-401A-9425-70629F372E33}"/>
  </w:font>
  <w:font w:name="华文中宋">
    <w:altName w:val="宋体"/>
    <w:panose1 w:val="02010600040101010101"/>
    <w:charset w:val="86"/>
    <w:family w:val="auto"/>
    <w:pitch w:val="default"/>
    <w:sig w:usb0="00000000" w:usb1="00000000" w:usb2="00000000" w:usb3="00000000" w:csb0="0004009F" w:csb1="DFD70000"/>
    <w:embedRegular r:id="rId7" w:fontKey="{35C52CBF-FD21-44EA-85F1-9D76FA6DA8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2800248A">
        <w:pPr>
          <w:pStyle w:val="9"/>
          <w:jc w:val="center"/>
        </w:pPr>
        <w:r>
          <w:fldChar w:fldCharType="begin"/>
        </w:r>
        <w:r>
          <w:instrText xml:space="preserve">PAGE   \* MERGEFORMAT</w:instrText>
        </w:r>
        <w:r>
          <w:fldChar w:fldCharType="separate"/>
        </w:r>
        <w:r>
          <w:rPr>
            <w:lang w:val="zh-CN"/>
          </w:rPr>
          <w:t>15</w:t>
        </w:r>
        <w:r>
          <w:fldChar w:fldCharType="end"/>
        </w:r>
      </w:p>
    </w:sdtContent>
  </w:sdt>
  <w:p w14:paraId="2D6D7C27">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F5CCD">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81B5E94"/>
    <w:rsid w:val="0A2032A3"/>
    <w:rsid w:val="0B6E7FCF"/>
    <w:rsid w:val="0B8A37D8"/>
    <w:rsid w:val="0C177D5B"/>
    <w:rsid w:val="0D3E42B5"/>
    <w:rsid w:val="0DD17198"/>
    <w:rsid w:val="0F5FFB2F"/>
    <w:rsid w:val="0FFFCF60"/>
    <w:rsid w:val="10C055FF"/>
    <w:rsid w:val="118107EC"/>
    <w:rsid w:val="11DD6519"/>
    <w:rsid w:val="16BB723D"/>
    <w:rsid w:val="18015F3F"/>
    <w:rsid w:val="1B2D5C7B"/>
    <w:rsid w:val="1BE8440E"/>
    <w:rsid w:val="1D155CEE"/>
    <w:rsid w:val="1FDBBF84"/>
    <w:rsid w:val="20F57F95"/>
    <w:rsid w:val="240371BF"/>
    <w:rsid w:val="240B0AD6"/>
    <w:rsid w:val="24B00325"/>
    <w:rsid w:val="25711CC6"/>
    <w:rsid w:val="25C741E6"/>
    <w:rsid w:val="276F80C0"/>
    <w:rsid w:val="27842671"/>
    <w:rsid w:val="29FD04D3"/>
    <w:rsid w:val="2ABE7A3E"/>
    <w:rsid w:val="2AFF09B6"/>
    <w:rsid w:val="2CA234A8"/>
    <w:rsid w:val="2EFA178C"/>
    <w:rsid w:val="2EFDF86C"/>
    <w:rsid w:val="2F9D17E1"/>
    <w:rsid w:val="30B46D73"/>
    <w:rsid w:val="319F7F4E"/>
    <w:rsid w:val="356A28F1"/>
    <w:rsid w:val="357C035A"/>
    <w:rsid w:val="368E000D"/>
    <w:rsid w:val="36FB1C2B"/>
    <w:rsid w:val="383D272C"/>
    <w:rsid w:val="39677CC5"/>
    <w:rsid w:val="39AE70AB"/>
    <w:rsid w:val="3A4DCE41"/>
    <w:rsid w:val="3B4414C7"/>
    <w:rsid w:val="3BCB56FA"/>
    <w:rsid w:val="3C0C0783"/>
    <w:rsid w:val="3EE7C2F4"/>
    <w:rsid w:val="3F371B56"/>
    <w:rsid w:val="3F792ED8"/>
    <w:rsid w:val="3F9F3A96"/>
    <w:rsid w:val="3FECA4B2"/>
    <w:rsid w:val="3FF58C48"/>
    <w:rsid w:val="42FF6694"/>
    <w:rsid w:val="451727F8"/>
    <w:rsid w:val="48BF60AB"/>
    <w:rsid w:val="493C27E9"/>
    <w:rsid w:val="496F39ED"/>
    <w:rsid w:val="49FF41D3"/>
    <w:rsid w:val="4A183041"/>
    <w:rsid w:val="4A585020"/>
    <w:rsid w:val="4A781342"/>
    <w:rsid w:val="4BE068DB"/>
    <w:rsid w:val="4BF6002B"/>
    <w:rsid w:val="4BFFC6BE"/>
    <w:rsid w:val="4ECE2238"/>
    <w:rsid w:val="51DB4B86"/>
    <w:rsid w:val="51F64DB0"/>
    <w:rsid w:val="52B251F4"/>
    <w:rsid w:val="55333C3E"/>
    <w:rsid w:val="58464129"/>
    <w:rsid w:val="5A4435B3"/>
    <w:rsid w:val="5F67802D"/>
    <w:rsid w:val="5F7DC4F2"/>
    <w:rsid w:val="5FB36814"/>
    <w:rsid w:val="5FBB8E56"/>
    <w:rsid w:val="5FFB5535"/>
    <w:rsid w:val="649F7A56"/>
    <w:rsid w:val="64CA39A1"/>
    <w:rsid w:val="68440AFB"/>
    <w:rsid w:val="69630ADE"/>
    <w:rsid w:val="69BD5F13"/>
    <w:rsid w:val="69FB0B4B"/>
    <w:rsid w:val="6A2A4F03"/>
    <w:rsid w:val="6AC61B64"/>
    <w:rsid w:val="6BFFE1FB"/>
    <w:rsid w:val="6C4A05C8"/>
    <w:rsid w:val="6C4B0B24"/>
    <w:rsid w:val="6D3B1A89"/>
    <w:rsid w:val="6DB7D8A3"/>
    <w:rsid w:val="6E0E7878"/>
    <w:rsid w:val="6EA461BE"/>
    <w:rsid w:val="6EC78701"/>
    <w:rsid w:val="6F7A5481"/>
    <w:rsid w:val="6FFE07A9"/>
    <w:rsid w:val="71BF4EC2"/>
    <w:rsid w:val="71E8671B"/>
    <w:rsid w:val="72734D90"/>
    <w:rsid w:val="73E75B71"/>
    <w:rsid w:val="7412278C"/>
    <w:rsid w:val="750C4B31"/>
    <w:rsid w:val="75DDCDA9"/>
    <w:rsid w:val="75FF44B1"/>
    <w:rsid w:val="77670518"/>
    <w:rsid w:val="777FA627"/>
    <w:rsid w:val="779C5820"/>
    <w:rsid w:val="77DF1B5F"/>
    <w:rsid w:val="77EF2D9D"/>
    <w:rsid w:val="79E7B28D"/>
    <w:rsid w:val="7ACFF0C2"/>
    <w:rsid w:val="7AFB9108"/>
    <w:rsid w:val="7BD5340C"/>
    <w:rsid w:val="7BFB19D2"/>
    <w:rsid w:val="7BFD1750"/>
    <w:rsid w:val="7BFDAA1B"/>
    <w:rsid w:val="7CDF9A82"/>
    <w:rsid w:val="7CFFA1BD"/>
    <w:rsid w:val="7D2E3F7A"/>
    <w:rsid w:val="7DC72141"/>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Title"/>
    <w:basedOn w:val="1"/>
    <w:next w:val="1"/>
    <w:qFormat/>
    <w:uiPriority w:val="0"/>
    <w:pPr>
      <w:spacing w:before="240" w:after="60"/>
      <w:jc w:val="center"/>
      <w:outlineLvl w:val="0"/>
    </w:pPr>
    <w:rPr>
      <w:rFonts w:ascii="Arial" w:hAnsi="Arial" w:cs="Arial"/>
      <w:b/>
      <w:bCs/>
      <w:sz w:val="32"/>
      <w:szCs w:val="32"/>
    </w:rPr>
  </w:style>
  <w:style w:type="paragraph" w:styleId="14">
    <w:name w:val="Body Text First Indent 2"/>
    <w:basedOn w:val="6"/>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0"/>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9"/>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2"/>
    <w:qFormat/>
    <w:uiPriority w:val="9"/>
    <w:rPr>
      <w:rFonts w:ascii="Times New Roman" w:hAnsi="Times New Roman"/>
      <w:b/>
      <w:bCs/>
      <w:kern w:val="44"/>
      <w:sz w:val="44"/>
      <w:szCs w:val="44"/>
    </w:rPr>
  </w:style>
  <w:style w:type="character" w:customStyle="1" w:styleId="29">
    <w:name w:val="标题 2 字符"/>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8"/>
    <w:semiHidden/>
    <w:qFormat/>
    <w:uiPriority w:val="99"/>
    <w:rPr>
      <w:rFonts w:ascii="Times New Roman" w:hAnsi="Times New Roman"/>
      <w:kern w:val="2"/>
      <w:sz w:val="18"/>
      <w:szCs w:val="18"/>
    </w:rPr>
  </w:style>
  <w:style w:type="character" w:customStyle="1" w:styleId="32">
    <w:name w:val="标题 3 字符"/>
    <w:basedOn w:val="16"/>
    <w:link w:val="4"/>
    <w:qFormat/>
    <w:uiPriority w:val="9"/>
    <w:rPr>
      <w:rFonts w:ascii="Times New Roman" w:hAnsi="Times New Roman"/>
      <w:b/>
      <w:bCs/>
      <w:kern w:val="2"/>
      <w:sz w:val="32"/>
      <w:szCs w:val="32"/>
    </w:rPr>
  </w:style>
  <w:style w:type="paragraph" w:customStyle="1" w:styleId="33">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themeOverride" Target="../theme/themeOverrid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ysClr val="windowText" lastClr="000000">
                    <a:lumMod val="65000"/>
                    <a:lumOff val="35000"/>
                  </a:sysClr>
                </a:solidFill>
                <a:latin typeface="+mn-lt"/>
                <a:ea typeface="+mn-ea"/>
                <a:cs typeface="+mn-cs"/>
              </a:defRPr>
            </a:pPr>
            <a:r>
              <a:rPr altLang="en-US"/>
              <a:t>收入支出决算总体情况</a:t>
            </a:r>
            <a:endParaRPr lang="en-US" altLang="zh-CN"/>
          </a:p>
        </c:rich>
      </c:tx>
      <c:layout/>
      <c:overlay val="0"/>
      <c:spPr>
        <a:noFill/>
        <a:ln>
          <a:noFill/>
        </a:ln>
        <a:effectLst/>
      </c:spPr>
    </c:title>
    <c:autoTitleDeleted val="0"/>
    <c:plotArea>
      <c:layout>
        <c:manualLayout>
          <c:layoutTarget val="inner"/>
          <c:xMode val="edge"/>
          <c:yMode val="edge"/>
          <c:x val="0.0787"/>
          <c:y val="0.129166666666667"/>
          <c:w val="0.8938"/>
          <c:h val="0.7605"/>
        </c:manualLayout>
      </c:layout>
      <c:barChart>
        <c:barDir val="col"/>
        <c:grouping val="clustered"/>
        <c:varyColors val="0"/>
        <c:ser>
          <c:idx val="0"/>
          <c:order val="0"/>
          <c:tx>
            <c:strRef>
              <c:f>Sheet1!$B$1</c:f>
              <c:strCache>
                <c:ptCount val="1"/>
                <c:pt idx="0">
                  <c:v>2022年收、支总计</c:v>
                </c:pt>
              </c:strCache>
            </c:strRef>
          </c:tx>
          <c:spPr>
            <a:solidFill>
              <a:srgbClr val="5B9BD5"/>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ysClr val="windowText" lastClr="000000">
                            <a:lumMod val="75000"/>
                            <a:lumOff val="25000"/>
                          </a:sysClr>
                        </a:solidFill>
                        <a:latin typeface="+mn-lt"/>
                        <a:ea typeface="+mn-ea"/>
                        <a:cs typeface="+mn-cs"/>
                      </a:defRPr>
                    </a:pPr>
                    <a:r>
                      <a:rPr lang="en-US" altLang="zh-CN"/>
                      <a:t>879.7</a:t>
                    </a:r>
                    <a:r>
                      <a:t>万元</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c:f>
              <c:strCache>
                <c:ptCount val="1"/>
                <c:pt idx="0">
                  <c:v>类别 1</c:v>
                </c:pt>
              </c:strCache>
            </c:strRef>
          </c:cat>
          <c:val>
            <c:numRef>
              <c:f>Sheet1!$B$2</c:f>
              <c:numCache>
                <c:formatCode>General</c:formatCode>
                <c:ptCount val="1"/>
                <c:pt idx="0">
                  <c:v>879.7</c:v>
                </c:pt>
              </c:numCache>
            </c:numRef>
          </c:val>
        </c:ser>
        <c:ser>
          <c:idx val="1"/>
          <c:order val="1"/>
          <c:tx>
            <c:strRef>
              <c:f>Sheet1!$C$1</c:f>
              <c:strCache>
                <c:ptCount val="1"/>
                <c:pt idx="0">
                  <c:v>2023年收、支总计</c:v>
                </c:pt>
              </c:strCache>
            </c:strRef>
          </c:tx>
          <c:spPr>
            <a:solidFill>
              <a:srgbClr val="ED7D31"/>
            </a:solidFill>
            <a:ln>
              <a:noFill/>
            </a:ln>
            <a:effectLst/>
          </c:spPr>
          <c:invertIfNegative val="0"/>
          <c:dLbls>
            <c:dLbl>
              <c:idx val="0"/>
              <c:layout>
                <c:manualLayout>
                  <c:x val="0.00375"/>
                  <c:y val="-0.002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ysClr val="windowText" lastClr="000000">
                            <a:lumMod val="75000"/>
                            <a:lumOff val="25000"/>
                          </a:sysClr>
                        </a:solidFill>
                        <a:latin typeface="+mn-lt"/>
                        <a:ea typeface="+mn-ea"/>
                        <a:cs typeface="+mn-cs"/>
                      </a:defRPr>
                    </a:pPr>
                    <a:r>
                      <a:rPr lang="en-US" altLang="zh-CN"/>
                      <a:t>993.06</a:t>
                    </a:r>
                    <a:r>
                      <a:t>万元</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c:f>
              <c:strCache>
                <c:ptCount val="1"/>
                <c:pt idx="0">
                  <c:v>类别 1</c:v>
                </c:pt>
              </c:strCache>
            </c:strRef>
          </c:cat>
          <c:val>
            <c:numRef>
              <c:f>Sheet1!$C$2</c:f>
              <c:numCache>
                <c:formatCode>General</c:formatCode>
                <c:ptCount val="1"/>
                <c:pt idx="0">
                  <c:v>993.06</c:v>
                </c:pt>
              </c:numCache>
            </c:numRef>
          </c:val>
        </c:ser>
        <c:dLbls>
          <c:showLegendKey val="0"/>
          <c:showVal val="0"/>
          <c:showCatName val="0"/>
          <c:showSerName val="0"/>
          <c:showPercent val="0"/>
          <c:showBubbleSize val="0"/>
        </c:dLbls>
        <c:gapWidth val="219"/>
        <c:overlap val="-27"/>
        <c:axId val="261286412"/>
        <c:axId val="538049818"/>
      </c:barChart>
      <c:catAx>
        <c:axId val="261286412"/>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538049818"/>
        <c:crosses val="autoZero"/>
        <c:auto val="1"/>
        <c:lblAlgn val="ctr"/>
        <c:lblOffset val="100"/>
        <c:noMultiLvlLbl val="0"/>
      </c:catAx>
      <c:valAx>
        <c:axId val="538049818"/>
        <c:scaling>
          <c:orientation val="minMax"/>
        </c:scaling>
        <c:delete val="0"/>
        <c:axPos val="l"/>
        <c:majorGridlines>
          <c:spPr>
            <a:ln w="9525" cap="flat" cmpd="sng" algn="ctr">
              <a:solidFill>
                <a:sysClr val="windowText" lastClr="000000">
                  <a:lumMod val="15000"/>
                  <a:lumOff val="85000"/>
                </a:sys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26128641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extLst>
      <c:ext uri="{0b15fc19-7d7d-44ad-8c2d-2c3a37ce22c3}">
        <chartProps xmlns="https://web.wps.cn/et/2018/main" chartId="{85463b49-38cd-4ca3-baa3-0990d5e122f8}"/>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ysClr val="windowText" lastClr="000000">
                  <a:lumMod val="75000"/>
                  <a:lumOff val="25000"/>
                </a:sys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rgbClr val="5B9BD5"/>
              </a:solidFill>
              <a:ln>
                <a:noFill/>
              </a:ln>
              <a:effectLst>
                <a:outerShdw blurRad="254000" sx="102000" sy="102000" algn="ctr" rotWithShape="0">
                  <a:prstClr val="black">
                    <a:alpha val="20000"/>
                  </a:prstClr>
                </a:outerShdw>
              </a:effectLst>
            </c:spPr>
          </c:dPt>
          <c:dPt>
            <c:idx val="1"/>
            <c:bubble3D val="0"/>
            <c:spPr>
              <a:solidFill>
                <a:srgbClr val="ED7D31"/>
              </a:solidFill>
              <a:ln>
                <a:noFill/>
              </a:ln>
              <a:effectLst>
                <a:outerShdw blurRad="254000" sx="102000" sy="102000" algn="ctr" rotWithShape="0">
                  <a:prstClr val="black">
                    <a:alpha val="20000"/>
                  </a:prstClr>
                </a:outerShdw>
              </a:effectLst>
            </c:spPr>
          </c:dPt>
          <c:dLbls>
            <c:numFmt formatCode="0.00%" sourceLinked="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ysClr val="window" lastClr="FFFFFF"/>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ysClr val="windowText" lastClr="000000">
                          <a:lumMod val="50000"/>
                          <a:lumOff val="50000"/>
                        </a:sysClr>
                      </a:solidFill>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822.62</c:v>
                </c:pt>
                <c:pt idx="1">
                  <c:v>42.81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ysClr val="window" lastClr="FFFFFF">
            <a:lumMod val="95000"/>
            <a:alpha val="39000"/>
          </a:sysClr>
        </a:solid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legend>
    <c:plotVisOnly val="1"/>
    <c:dispBlanksAs val="gap"/>
    <c:showDLblsOverMax val="0"/>
    <c:extLst>
      <c:ext uri="{0b15fc19-7d7d-44ad-8c2d-2c3a37ce22c3}">
        <chartProps xmlns="https://web.wps.cn/et/2018/main" chartId="{a7642da9-2981-48f6-8a09-e43410dde394}"/>
      </c:ext>
    </c:extLst>
  </c:chart>
  <c:spPr>
    <a:gradFill flip="none" rotWithShape="1">
      <a:gsLst>
        <a:gs pos="0">
          <a:sysClr val="window" lastClr="FFFFFF"/>
        </a:gs>
        <a:gs pos="39000">
          <a:sysClr val="window" lastClr="FFFFFF"/>
        </a:gs>
        <a:gs pos="100000">
          <a:sysClr val="window" lastClr="FFFFFF">
            <a:lumMod val="75000"/>
          </a:sysClr>
        </a:gs>
      </a:gsLst>
      <a:path path="circle">
        <a:fillToRect l="50000" t="-80000" r="50000" b="180000"/>
      </a:path>
    </a:gradFill>
    <a:ln w="9525" cap="flat" cmpd="sng" algn="ctr">
      <a:solidFill>
        <a:sysClr val="windowText" lastClr="000000">
          <a:lumMod val="25000"/>
          <a:lumOff val="75000"/>
        </a:sys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ysClr val="windowText" lastClr="000000">
                  <a:lumMod val="75000"/>
                  <a:lumOff val="25000"/>
                </a:sysClr>
              </a:solidFill>
              <a:latin typeface="+mn-lt"/>
              <a:ea typeface="+mn-ea"/>
              <a:cs typeface="+mn-cs"/>
            </a:defRPr>
          </a:pPr>
        </a:p>
      </c:txPr>
    </c:title>
    <c:autoTitleDeleted val="0"/>
    <c:plotArea>
      <c:layout>
        <c:manualLayout>
          <c:layoutTarget val="inner"/>
          <c:xMode val="edge"/>
          <c:yMode val="edge"/>
          <c:x val="0.177837474815312"/>
          <c:y val="0.178654292343387"/>
          <c:w val="0.492008059100067"/>
          <c:h val="0.77262180974478"/>
        </c:manualLayout>
      </c:layout>
      <c:pieChart>
        <c:varyColors val="1"/>
        <c:ser>
          <c:idx val="0"/>
          <c:order val="0"/>
          <c:tx>
            <c:strRef>
              <c:f>Sheet1!$B$1</c:f>
              <c:strCache>
                <c:ptCount val="1"/>
                <c:pt idx="0">
                  <c:v>支出决算情况说明</c:v>
                </c:pt>
              </c:strCache>
            </c:strRef>
          </c:tx>
          <c:spPr/>
          <c:explosion val="0"/>
          <c:dPt>
            <c:idx val="0"/>
            <c:bubble3D val="0"/>
            <c:spPr>
              <a:solidFill>
                <a:srgbClr val="5B9BD5"/>
              </a:solidFill>
              <a:ln>
                <a:noFill/>
              </a:ln>
              <a:effectLst>
                <a:outerShdw blurRad="254000" sx="102000" sy="102000" algn="ctr" rotWithShape="0">
                  <a:prstClr val="black">
                    <a:alpha val="20000"/>
                  </a:prstClr>
                </a:outerShdw>
              </a:effectLst>
            </c:spPr>
          </c:dPt>
          <c:dPt>
            <c:idx val="1"/>
            <c:bubble3D val="0"/>
            <c:spPr>
              <a:solidFill>
                <a:srgbClr val="ED7D31"/>
              </a:solidFill>
              <a:ln>
                <a:noFill/>
              </a:ln>
              <a:effectLst>
                <a:outerShdw blurRad="254000" sx="102000" sy="102000" algn="ctr" rotWithShape="0">
                  <a:prstClr val="black">
                    <a:alpha val="20000"/>
                  </a:prstClr>
                </a:outerShdw>
              </a:effectLst>
            </c:spPr>
          </c:dPt>
          <c:dLbls>
            <c:numFmt formatCode="0.00%" sourceLinked="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ysClr val="window" lastClr="FFFFFF"/>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ysClr val="windowText" lastClr="000000">
                          <a:lumMod val="50000"/>
                          <a:lumOff val="50000"/>
                        </a:sysClr>
                      </a:solidFill>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603.58</c:v>
                </c:pt>
                <c:pt idx="1">
                  <c:v>261.85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ysClr val="window" lastClr="FFFFFF">
            <a:lumMod val="95000"/>
            <a:alpha val="39000"/>
          </a:sysClr>
        </a:solid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legend>
    <c:plotVisOnly val="1"/>
    <c:dispBlanksAs val="gap"/>
    <c:showDLblsOverMax val="0"/>
    <c:extLst>
      <c:ext uri="{0b15fc19-7d7d-44ad-8c2d-2c3a37ce22c3}">
        <chartProps xmlns="https://web.wps.cn/et/2018/main" chartId="{f8d796ce-0715-4e37-a8af-42f709c5dc38}"/>
      </c:ext>
    </c:extLst>
  </c:chart>
  <c:spPr>
    <a:gradFill flip="none" rotWithShape="1">
      <a:gsLst>
        <a:gs pos="0">
          <a:sysClr val="window" lastClr="FFFFFF"/>
        </a:gs>
        <a:gs pos="39000">
          <a:sysClr val="window" lastClr="FFFFFF"/>
        </a:gs>
        <a:gs pos="100000">
          <a:sysClr val="window" lastClr="FFFFFF">
            <a:lumMod val="75000"/>
          </a:sysClr>
        </a:gs>
      </a:gsLst>
      <a:path path="circle">
        <a:fillToRect l="50000" t="-80000" r="50000" b="180000"/>
      </a:path>
    </a:gradFill>
    <a:ln w="9525" cap="flat" cmpd="sng" algn="ctr">
      <a:solidFill>
        <a:sysClr val="windowText" lastClr="000000">
          <a:lumMod val="25000"/>
          <a:lumOff val="75000"/>
        </a:sys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ysClr val="windowText" lastClr="000000">
                    <a:lumMod val="65000"/>
                    <a:lumOff val="35000"/>
                  </a:sysClr>
                </a:solidFill>
                <a:latin typeface="+mn-lt"/>
                <a:ea typeface="+mn-ea"/>
                <a:cs typeface="+mn-cs"/>
              </a:defRPr>
            </a:pPr>
            <a:r>
              <a:rPr altLang="en-US"/>
              <a:t>财政拨款收入支出决算总体情况</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2022年财政拨款收、支总计</c:v>
                </c:pt>
              </c:strCache>
            </c:strRef>
          </c:tx>
          <c:spPr>
            <a:solidFill>
              <a:srgbClr val="5B9BD5"/>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c:f>
              <c:strCache>
                <c:ptCount val="1"/>
                <c:pt idx="0">
                  <c:v>类别 1</c:v>
                </c:pt>
              </c:strCache>
            </c:strRef>
          </c:cat>
          <c:val>
            <c:numRef>
              <c:f>Sheet1!$B$2</c:f>
              <c:numCache>
                <c:formatCode>General</c:formatCode>
                <c:ptCount val="1"/>
                <c:pt idx="0">
                  <c:v>858.7</c:v>
                </c:pt>
              </c:numCache>
            </c:numRef>
          </c:val>
        </c:ser>
        <c:ser>
          <c:idx val="1"/>
          <c:order val="1"/>
          <c:tx>
            <c:strRef>
              <c:f>Sheet1!$C$1</c:f>
              <c:strCache>
                <c:ptCount val="1"/>
                <c:pt idx="0">
                  <c:v>2023年财政拨款收、支总计</c:v>
                </c:pt>
              </c:strCache>
            </c:strRef>
          </c:tx>
          <c:spPr>
            <a:solidFill>
              <a:srgbClr val="ED7D3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c:f>
              <c:strCache>
                <c:ptCount val="1"/>
                <c:pt idx="0">
                  <c:v>类别 1</c:v>
                </c:pt>
              </c:strCache>
            </c:strRef>
          </c:cat>
          <c:val>
            <c:numRef>
              <c:f>Sheet1!$C$2</c:f>
              <c:numCache>
                <c:formatCode>General</c:formatCode>
                <c:ptCount val="1"/>
                <c:pt idx="0">
                  <c:v>950.25</c:v>
                </c:pt>
              </c:numCache>
            </c:numRef>
          </c:val>
        </c:ser>
        <c:dLbls>
          <c:showLegendKey val="0"/>
          <c:showVal val="1"/>
          <c:showCatName val="0"/>
          <c:showSerName val="0"/>
          <c:showPercent val="0"/>
          <c:showBubbleSize val="0"/>
        </c:dLbls>
        <c:gapWidth val="219"/>
        <c:overlap val="-27"/>
        <c:axId val="261286412"/>
        <c:axId val="538049818"/>
      </c:barChart>
      <c:catAx>
        <c:axId val="261286412"/>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538049818"/>
        <c:crosses val="autoZero"/>
        <c:auto val="1"/>
        <c:lblAlgn val="ctr"/>
        <c:lblOffset val="100"/>
        <c:noMultiLvlLbl val="0"/>
      </c:catAx>
      <c:valAx>
        <c:axId val="538049818"/>
        <c:scaling>
          <c:orientation val="minMax"/>
        </c:scaling>
        <c:delete val="0"/>
        <c:axPos val="l"/>
        <c:majorGridlines>
          <c:spPr>
            <a:ln w="9525" cap="flat" cmpd="sng" algn="ctr">
              <a:solidFill>
                <a:sysClr val="windowText" lastClr="000000">
                  <a:lumMod val="15000"/>
                  <a:lumOff val="85000"/>
                </a:sys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26128641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extLst>
      <c:ext uri="{0b15fc19-7d7d-44ad-8c2d-2c3a37ce22c3}">
        <chartProps xmlns="https://web.wps.cn/et/2018/main" chartId="{2c78a800-7770-469a-b958-d9014d6f0120}"/>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ysClr val="windowText" lastClr="000000">
                  <a:lumMod val="65000"/>
                  <a:lumOff val="35000"/>
                </a:sysClr>
              </a:solidFill>
              <a:latin typeface="+mn-lt"/>
              <a:ea typeface="+mn-ea"/>
              <a:cs typeface="+mn-cs"/>
            </a:defRPr>
          </a:pPr>
        </a:p>
      </c:txPr>
    </c:title>
    <c:autoTitleDeleted val="0"/>
    <c:plotArea>
      <c:layout>
        <c:manualLayout>
          <c:layoutTarget val="inner"/>
          <c:xMode val="edge"/>
          <c:yMode val="edge"/>
          <c:x val="0.0949934810951762"/>
          <c:y val="0.187142967402406"/>
          <c:w val="0.90109517601043"/>
          <c:h val="0.633527508090615"/>
        </c:manualLayout>
      </c:layout>
      <c:barChart>
        <c:barDir val="col"/>
        <c:grouping val="clustered"/>
        <c:varyColors val="0"/>
        <c:ser>
          <c:idx val="0"/>
          <c:order val="0"/>
          <c:tx>
            <c:strRef>
              <c:f>Sheet1!$B$1</c:f>
              <c:strCache>
                <c:ptCount val="1"/>
                <c:pt idx="0">
                  <c:v>一般公共预算财政拨款支出决算变动情况</c:v>
                </c:pt>
              </c:strCache>
            </c:strRef>
          </c:tx>
          <c:spPr>
            <a:solidFill>
              <a:srgbClr val="5B9BD5"/>
            </a:solidFill>
            <a:ln>
              <a:noFill/>
            </a:ln>
            <a:effectLst/>
          </c:spPr>
          <c:invertIfNegative val="0"/>
          <c:dLbls>
            <c:delete val="1"/>
          </c:dLbls>
          <c:cat>
            <c:strRef>
              <c:f>Sheet1!$A$2:$A$3</c:f>
              <c:strCache>
                <c:ptCount val="2"/>
                <c:pt idx="0">
                  <c:v>2022年</c:v>
                </c:pt>
                <c:pt idx="1">
                  <c:v>2023年</c:v>
                </c:pt>
              </c:strCache>
            </c:strRef>
          </c:cat>
          <c:val>
            <c:numRef>
              <c:f>Sheet1!$B$2:$B$3</c:f>
              <c:numCache>
                <c:formatCode>General</c:formatCode>
                <c:ptCount val="2"/>
                <c:pt idx="0">
                  <c:v>731.74</c:v>
                </c:pt>
                <c:pt idx="1">
                  <c:v>822.62</c:v>
                </c:pt>
              </c:numCache>
            </c:numRef>
          </c:val>
        </c:ser>
        <c:ser>
          <c:idx val="1"/>
          <c:order val="1"/>
          <c:tx>
            <c:strRef>
              <c:f>Sheet1!$C$1</c:f>
              <c:strCache>
                <c:ptCount val="1"/>
                <c:pt idx="0">
                  <c:v/>
                </c:pt>
              </c:strCache>
            </c:strRef>
          </c:tx>
          <c:spPr>
            <a:solidFill>
              <a:srgbClr val="ED7D31"/>
            </a:solidFill>
            <a:ln>
              <a:noFill/>
            </a:ln>
            <a:effectLst/>
          </c:spPr>
          <c:invertIfNegative val="0"/>
          <c:dLbls>
            <c:delete val="1"/>
          </c:dLbls>
          <c:cat>
            <c:strRef>
              <c:f>Sheet1!$A$2:$A$3</c:f>
              <c:strCache>
                <c:ptCount val="2"/>
                <c:pt idx="0">
                  <c:v>2022年</c:v>
                </c:pt>
                <c:pt idx="1">
                  <c:v>2023年</c:v>
                </c:pt>
              </c:strCache>
            </c:strRef>
          </c:cat>
          <c:val>
            <c:numRef>
              <c:f>Sheet1!$C$2:$C$3</c:f>
              <c:numCache>
                <c:formatCode>General</c:formatCode>
                <c:ptCount val="2"/>
              </c:numCache>
            </c:numRef>
          </c:val>
        </c:ser>
        <c:ser>
          <c:idx val="2"/>
          <c:order val="2"/>
          <c:tx>
            <c:strRef>
              <c:f>Sheet1!$D$1</c:f>
              <c:strCache>
                <c:ptCount val="1"/>
                <c:pt idx="0">
                  <c:v/>
                </c:pt>
              </c:strCache>
            </c:strRef>
          </c:tx>
          <c:spPr>
            <a:solidFill>
              <a:srgbClr val="A5A5A5"/>
            </a:solidFill>
            <a:ln>
              <a:noFill/>
            </a:ln>
            <a:effectLst/>
          </c:spPr>
          <c:invertIfNegative val="0"/>
          <c:dLbls>
            <c:delete val="1"/>
          </c:dLbls>
          <c:cat>
            <c:strRef>
              <c:f>Sheet1!$A$2:$A$3</c:f>
              <c:strCache>
                <c:ptCount val="2"/>
                <c:pt idx="0">
                  <c:v>2022年</c:v>
                </c:pt>
                <c:pt idx="1">
                  <c:v>2023年</c:v>
                </c:pt>
              </c:strCache>
            </c:strRef>
          </c:cat>
          <c:val>
            <c:numRef>
              <c:f>Sheet1!$D$2:$D$3</c:f>
              <c:numCache>
                <c:formatCode>General</c:formatCode>
                <c:ptCount val="2"/>
              </c:numCache>
            </c:numRef>
          </c:val>
        </c:ser>
        <c:dLbls>
          <c:showLegendKey val="0"/>
          <c:showVal val="0"/>
          <c:showCatName val="0"/>
          <c:showSerName val="0"/>
          <c:showPercent val="0"/>
          <c:showBubbleSize val="0"/>
        </c:dLbls>
        <c:gapWidth val="219"/>
        <c:overlap val="-27"/>
        <c:axId val="776149864"/>
        <c:axId val="353209121"/>
      </c:barChart>
      <c:catAx>
        <c:axId val="776149864"/>
        <c:scaling>
          <c:orientation val="minMax"/>
        </c:scaling>
        <c:delete val="0"/>
        <c:axPos val="b"/>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353209121"/>
        <c:crosses val="autoZero"/>
        <c:auto val="1"/>
        <c:lblAlgn val="ctr"/>
        <c:lblOffset val="100"/>
        <c:noMultiLvlLbl val="0"/>
      </c:catAx>
      <c:valAx>
        <c:axId val="353209121"/>
        <c:scaling>
          <c:orientation val="minMax"/>
        </c:scaling>
        <c:delete val="0"/>
        <c:axPos val="l"/>
        <c:majorGridlines>
          <c:spPr>
            <a:ln w="9525" cap="flat" cmpd="sng" algn="ctr">
              <a:solidFill>
                <a:sysClr val="windowText" lastClr="000000">
                  <a:lumMod val="15000"/>
                  <a:lumOff val="85000"/>
                </a:sys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77614986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extLst>
      <c:ext uri="{0b15fc19-7d7d-44ad-8c2d-2c3a37ce22c3}">
        <chartProps xmlns="https://web.wps.cn/et/2018/main" chartId="{1f2fbb83-bdfc-42be-a89e-f4cd9bbdb82a}"/>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ysClr val="windowText" lastClr="000000">
                    <a:lumMod val="65000"/>
                    <a:lumOff val="35000"/>
                  </a:sysClr>
                </a:solidFill>
                <a:latin typeface="+mn-lt"/>
                <a:ea typeface="+mn-ea"/>
                <a:cs typeface="+mn-cs"/>
              </a:defRPr>
            </a:pPr>
            <a:r>
              <a:t>一般公共预算财政拨款支出决算结构情况</a:t>
            </a:r>
          </a:p>
        </c:rich>
      </c:tx>
      <c:layout>
        <c:manualLayout>
          <c:xMode val="edge"/>
          <c:yMode val="edge"/>
          <c:x val="0.114554794520548"/>
          <c:y val="0.0242375277721672"/>
        </c:manualLayout>
      </c:layout>
      <c:overlay val="0"/>
      <c:spPr>
        <a:noFill/>
        <a:ln>
          <a:noFill/>
        </a:ln>
        <a:effectLst/>
      </c:spPr>
    </c:title>
    <c:autoTitleDeleted val="0"/>
    <c:plotArea>
      <c:layout/>
      <c:pieChart>
        <c:varyColors val="1"/>
        <c:ser>
          <c:idx val="0"/>
          <c:order val="0"/>
          <c:tx>
            <c:strRef>
              <c:f>Sheet1!$B$1</c:f>
              <c:strCache>
                <c:ptCount val="1"/>
                <c:pt idx="0">
                  <c:v>一般公共预算财政拨款支出决算结构情况</c:v>
                </c:pt>
              </c:strCache>
            </c:strRef>
          </c:tx>
          <c:spPr/>
          <c:explosion val="0"/>
          <c:dPt>
            <c:idx val="0"/>
            <c:bubble3D val="0"/>
            <c:spPr>
              <a:solidFill>
                <a:srgbClr val="5B9BD5"/>
              </a:solidFill>
              <a:ln w="19050">
                <a:solidFill>
                  <a:sysClr val="window" lastClr="FFFFFF"/>
                </a:solidFill>
              </a:ln>
              <a:effectLst/>
            </c:spPr>
          </c:dPt>
          <c:dPt>
            <c:idx val="1"/>
            <c:bubble3D val="0"/>
            <c:spPr>
              <a:solidFill>
                <a:srgbClr val="ED7D31"/>
              </a:solidFill>
              <a:ln w="19050">
                <a:solidFill>
                  <a:sysClr val="window" lastClr="FFFFFF"/>
                </a:solidFill>
              </a:ln>
              <a:effectLst/>
            </c:spPr>
          </c:dPt>
          <c:dPt>
            <c:idx val="2"/>
            <c:bubble3D val="0"/>
            <c:spPr>
              <a:solidFill>
                <a:srgbClr val="A5A5A5"/>
              </a:solidFill>
              <a:ln w="19050">
                <a:solidFill>
                  <a:sysClr val="window" lastClr="FFFFFF"/>
                </a:solidFill>
              </a:ln>
              <a:effectLst/>
            </c:spPr>
          </c:dPt>
          <c:dPt>
            <c:idx val="3"/>
            <c:bubble3D val="0"/>
            <c:spPr>
              <a:solidFill>
                <a:srgbClr val="FFC000"/>
              </a:solidFill>
              <a:ln w="19050">
                <a:solidFill>
                  <a:sysClr val="window" lastClr="FFFFFF"/>
                </a:solidFill>
              </a:ln>
              <a:effectLst/>
            </c:spPr>
          </c:dPt>
          <c:dLbls>
            <c:dLbl>
              <c:idx val="3"/>
              <c:layout/>
              <c:tx>
                <c:rich>
                  <a:bodyPr rot="0" spcFirstLastPara="0" vertOverflow="ellipsis" vert="horz" wrap="square" lIns="38100" tIns="19050" rIns="38100" bIns="19050" anchor="ctr" anchorCtr="1"/>
                  <a:lstStyle/>
                  <a:p>
                    <a:pPr defTabSz="914400">
                      <a:defRPr lang="zh-CN" sz="900" b="0" i="0" u="none" strike="noStrike" kern="1200" baseline="0">
                        <a:solidFill>
                          <a:sysClr val="windowText" lastClr="000000">
                            <a:lumMod val="75000"/>
                            <a:lumOff val="25000"/>
                          </a:sysClr>
                        </a:solidFill>
                        <a:latin typeface="+mn-lt"/>
                        <a:ea typeface="+mn-ea"/>
                        <a:cs typeface="+mn-cs"/>
                      </a:defRPr>
                    </a:pPr>
                    <a:r>
                      <a:rPr lang="en-US" altLang="zh-CN"/>
                      <a:t>6.4</a:t>
                    </a:r>
                    <a:r>
                      <a:t>%</a:t>
                    </a:r>
                  </a:p>
                </c:rich>
              </c:tx>
              <c:dLblPos val="bestFit"/>
              <c:showLegendKey val="0"/>
              <c:showVal val="1"/>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Sheet1!$A$2:$A$5</c:f>
              <c:strCache>
                <c:ptCount val="4"/>
                <c:pt idx="0">
                  <c:v>教育支出</c:v>
                </c:pt>
                <c:pt idx="1">
                  <c:v>社会保障和就业</c:v>
                </c:pt>
                <c:pt idx="2">
                  <c:v>卫生健康支出</c:v>
                </c:pt>
                <c:pt idx="3">
                  <c:v>住房保障支出</c:v>
                </c:pt>
              </c:strCache>
            </c:strRef>
          </c:cat>
          <c:val>
            <c:numRef>
              <c:f>Sheet1!$B$2:$B$5</c:f>
              <c:numCache>
                <c:formatCode>General</c:formatCode>
                <c:ptCount val="4"/>
                <c:pt idx="0">
                  <c:v>682.09</c:v>
                </c:pt>
                <c:pt idx="1">
                  <c:v>80.55</c:v>
                </c:pt>
                <c:pt idx="2">
                  <c:v>19.38</c:v>
                </c:pt>
                <c:pt idx="3">
                  <c:v>40.59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extLst>
      <c:ext uri="{0b15fc19-7d7d-44ad-8c2d-2c3a37ce22c3}">
        <chartProps xmlns="https://web.wps.cn/et/2018/main" chartId="{5e33d780-8d96-4d02-87bf-917e6976b4cb}"/>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ysClr val="windowText" lastClr="000000">
                  <a:lumMod val="75000"/>
                  <a:lumOff val="25000"/>
                </a:sys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rgbClr val="ED7D31"/>
              </a:solidFill>
              <a:ln>
                <a:noFill/>
              </a:ln>
              <a:effectLst>
                <a:outerShdw blurRad="254000" sx="102000" sy="102000" algn="ctr" rotWithShape="0">
                  <a:prstClr val="black">
                    <a:alpha val="20000"/>
                  </a:prstClr>
                </a:outerShdw>
              </a:effectLst>
            </c:spPr>
          </c:dPt>
          <c:dPt>
            <c:idx val="1"/>
            <c:bubble3D val="0"/>
            <c:spPr>
              <a:solidFill>
                <a:srgbClr val="FFC000"/>
              </a:solidFill>
              <a:ln>
                <a:noFill/>
              </a:ln>
              <a:effectLst>
                <a:outerShdw blurRad="254000" sx="102000" sy="102000" algn="ctr" rotWithShape="0">
                  <a:prstClr val="black">
                    <a:alpha val="20000"/>
                  </a:prstClr>
                </a:outerShdw>
              </a:effectLst>
            </c:spPr>
          </c:dPt>
          <c:dPt>
            <c:idx val="2"/>
            <c:bubble3D val="0"/>
            <c:spPr>
              <a:solidFill>
                <a:srgbClr val="70AD47"/>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ysClr val="window" lastClr="FFFFFF"/>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ysClr val="windowText" lastClr="000000">
                          <a:lumMod val="50000"/>
                          <a:lumOff val="50000"/>
                        </a:sysClr>
                      </a:solidFill>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v>0.15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ysClr val="window" lastClr="FFFFFF">
            <a:lumMod val="95000"/>
            <a:alpha val="39000"/>
          </a:sysClr>
        </a:solid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legend>
    <c:plotVisOnly val="1"/>
    <c:dispBlanksAs val="gap"/>
    <c:showDLblsOverMax val="0"/>
    <c:extLst>
      <c:ext uri="{0b15fc19-7d7d-44ad-8c2d-2c3a37ce22c3}">
        <chartProps xmlns="https://web.wps.cn/et/2018/main" chartId="{682eb861-5788-48ae-9c4d-5a99370369c2}"/>
      </c:ext>
    </c:extLst>
  </c:chart>
  <c:spPr>
    <a:gradFill flip="none" rotWithShape="1">
      <a:gsLst>
        <a:gs pos="0">
          <a:sysClr val="window" lastClr="FFFFFF"/>
        </a:gs>
        <a:gs pos="39000">
          <a:sysClr val="window" lastClr="FFFFFF"/>
        </a:gs>
        <a:gs pos="100000">
          <a:sysClr val="window" lastClr="FFFFFF">
            <a:lumMod val="75000"/>
          </a:sysClr>
        </a:gs>
      </a:gsLst>
      <a:path path="circle">
        <a:fillToRect l="50000" t="-80000" r="50000" b="180000"/>
      </a:path>
    </a:gradFill>
    <a:ln w="9525" cap="flat" cmpd="sng" algn="ctr">
      <a:solidFill>
        <a:sysClr val="windowText" lastClr="000000">
          <a:lumMod val="25000"/>
          <a:lumOff val="75000"/>
        </a:sys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ysClr val="windowText" lastClr="000000">
        <a:lumMod val="75000"/>
        <a:lumOff val="25000"/>
      </a:sysClr>
    </cs:fontRef>
    <cs:defRPr sz="900" b="1" kern="1200"/>
  </cs:axisTitle>
  <cs:categoryAxis>
    <cs:lnRef idx="0"/>
    <cs:fillRef idx="0"/>
    <cs:effectRef idx="0"/>
    <cs:fontRef idx="minor">
      <a:sysClr val="windowText" lastClr="000000">
        <a:lumMod val="75000"/>
        <a:lumOff val="25000"/>
      </a:sysClr>
    </cs:fontRef>
    <cs:spPr>
      <a:ln w="19050" cap="flat" cmpd="sng" algn="ctr">
        <a:solidFill>
          <a:sysClr val="windowText" lastClr="000000">
            <a:lumMod val="75000"/>
            <a:lumOff val="25000"/>
          </a:sysClr>
        </a:solidFill>
        <a:round/>
      </a:ln>
    </cs:spPr>
    <cs:defRPr sz="900" kern="1200" cap="all" baseline="0"/>
  </cs:categoryAxis>
  <cs:chartArea>
    <cs:lnRef idx="0"/>
    <cs:fillRef idx="0"/>
    <cs:effectRef idx="0"/>
    <cs:fontRef idx="minor">
      <a:sysClr val="windowText" lastClr="000000"/>
    </cs:fontRef>
    <cs:spPr>
      <a:gradFill flip="none" rotWithShape="1">
        <a:gsLst>
          <a:gs pos="0">
            <a:sysClr val="window" lastClr="FFFFFF"/>
          </a:gs>
          <a:gs pos="39000">
            <a:sysClr val="window" lastClr="FFFFFF"/>
          </a:gs>
          <a:gs pos="100000">
            <a:sysClr val="window" lastClr="FFFFFF">
              <a:lumMod val="75000"/>
            </a:sysClr>
          </a:gs>
        </a:gsLst>
        <a:path path="circle">
          <a:fillToRect l="50000" t="-80000" r="50000" b="180000"/>
        </a:path>
      </a:gradFill>
      <a:ln w="9525" cap="flat" cmpd="sng" algn="ctr">
        <a:solidFill>
          <a:sysClr val="windowText" lastClr="000000">
            <a:lumMod val="25000"/>
            <a:lumOff val="75000"/>
          </a:sysClr>
        </a:solidFill>
        <a:round/>
      </a:ln>
    </cs:spPr>
    <cs:defRPr sz="900" kern="1200"/>
  </cs:chartArea>
  <cs:dataLabel>
    <cs:lnRef idx="0"/>
    <cs:fillRef idx="0"/>
    <cs:effectRef idx="0"/>
    <cs:fontRef idx="minor">
      <a:sysClr val="window" lastClr="FFFFFF"/>
    </cs:fontRef>
    <cs:spPr>
      <a:pattFill prst="pct75">
        <a:fgClr>
          <a:sysClr val="windowText" lastClr="000000">
            <a:lumMod val="75000"/>
            <a:lumOff val="25000"/>
          </a:sysClr>
        </a:fgClr>
        <a:bgClr>
          <a:sysClr val="windowText" lastClr="000000">
            <a:lumMod val="65000"/>
            <a:lumOff val="35000"/>
          </a:sys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ysClr val="window" lastClr="FFFFFF"/>
    </cs:fontRef>
    <cs:spPr>
      <a:pattFill prst="pct75">
        <a:fgClr>
          <a:sysClr val="windowText" lastClr="000000">
            <a:lumMod val="75000"/>
            <a:lumOff val="25000"/>
          </a:sysClr>
        </a:fgClr>
        <a:bgClr>
          <a:sysClr val="windowText" lastClr="000000">
            <a:lumMod val="65000"/>
            <a:lumOff val="35000"/>
          </a:sys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ysClr val="windowText" lastClr="000000"/>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ysClr val="windowText" lastClr="000000"/>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ysClr val="windowText" lastClr="000000"/>
    </cs:fontRef>
    <cs:spPr>
      <a:ln w="31750" cap="rnd">
        <a:solidFill>
          <a:schemeClr val="phClr">
            <a:alpha val="85000"/>
          </a:schemeClr>
        </a:solidFill>
        <a:round/>
      </a:ln>
    </cs:spPr>
  </cs:dataPointLine>
  <cs:dataPointMarker>
    <cs:lnRef idx="0"/>
    <cs:fillRef idx="0">
      <cs:styleClr val="auto"/>
    </cs:fillRef>
    <cs:effectRef idx="0"/>
    <cs:fontRef idx="minor">
      <a:sysClr val="windowText" lastClr="000000"/>
    </cs:fontRef>
    <cs:spPr>
      <a:solidFill>
        <a:schemeClr val="phClr">
          <a:alpha val="85000"/>
        </a:schemeClr>
      </a:solidFill>
    </cs:spPr>
  </cs:dataPointMarker>
  <cs:dataPointMarkerLayout symbol="circle" size="6"/>
  <cs:dataPointWireframe>
    <cs:lnRef idx="0">
      <cs:styleClr val="auto"/>
    </cs:lnRef>
    <cs:fillRef idx="0"/>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75000"/>
        <a:lumOff val="25000"/>
      </a:sysClr>
    </cs:fontRef>
    <cs:spPr>
      <a:ln w="9525">
        <a:solidFill>
          <a:sysClr val="windowText" lastClr="000000">
            <a:lumMod val="35000"/>
            <a:lumOff val="65000"/>
          </a:sysClr>
        </a:solidFill>
      </a:ln>
    </cs:spPr>
    <cs:defRPr sz="900" kern="1200"/>
  </cs:dataTable>
  <cs:downBar>
    <cs:lnRef idx="0"/>
    <cs:fillRef idx="0"/>
    <cs:effectRef idx="0"/>
    <cs:fontRef idx="minor">
      <a:sysClr val="windowText" lastClr="000000"/>
    </cs:fontRef>
    <cs:spPr>
      <a:solidFill>
        <a:sysClr val="windowText" lastClr="000000">
          <a:lumMod val="50000"/>
          <a:lumOff val="50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a:solidFill>
          <a:sysClr val="windowText" lastClr="000000">
            <a:lumMod val="35000"/>
            <a:lumOff val="65000"/>
          </a:sysClr>
        </a:solidFill>
        <a:prstDash val="dash"/>
      </a:ln>
    </cs:spPr>
  </cs:dropLine>
  <cs:errorBar>
    <cs:lnRef idx="0"/>
    <cs:fillRef idx="0"/>
    <cs:effectRef idx="0"/>
    <cs:fontRef idx="minor">
      <a:sysClr val="windowText" lastClr="000000"/>
    </cs:fontRef>
    <cs:spPr>
      <a:ln w="9525">
        <a:solidFill>
          <a:sysClr val="windowText" lastClr="000000">
            <a:lumMod val="65000"/>
            <a:lumOff val="35000"/>
          </a:sysClr>
        </a:solidFill>
        <a:round/>
      </a:ln>
    </cs:spPr>
  </cs:errorBar>
  <cs:floor>
    <cs:lnRef idx="0"/>
    <cs:fillRef idx="0"/>
    <cs:effectRef idx="0"/>
    <cs:fontRef idx="minor">
      <a:sysClr val="windowText" lastClr="000000"/>
    </cs:fontRef>
  </cs:floor>
  <cs:gridlineMajor>
    <cs:lnRef idx="0"/>
    <cs:fillRef idx="0"/>
    <cs:effectRef idx="0"/>
    <cs:fontRef idx="minor">
      <a:sysClr val="windowText" lastClr="000000"/>
    </cs:fontRef>
    <cs:spPr>
      <a:ln w="9525" cap="flat" cmpd="sng" algn="ctr">
        <a:gradFill>
          <a:gsLst>
            <a:gs pos="100000">
              <a:sysClr val="windowText" lastClr="000000">
                <a:lumMod val="95000"/>
                <a:lumOff val="5000"/>
                <a:alpha val="42000"/>
              </a:sysClr>
            </a:gs>
            <a:gs pos="0">
              <a:sysClr val="window" lastClr="FFFFFF">
                <a:lumMod val="75000"/>
                <a:alpha val="36000"/>
              </a:sysClr>
            </a:gs>
          </a:gsLst>
          <a:lin ang="5400000" scaled="0"/>
        </a:gradFill>
        <a:round/>
      </a:ln>
    </cs:spPr>
  </cs:gridlineMajor>
  <cs:gridlineMinor>
    <cs:lnRef idx="0"/>
    <cs:fillRef idx="0"/>
    <cs:effectRef idx="0"/>
    <cs:fontRef idx="minor">
      <a:sysClr val="windowText" lastClr="000000"/>
    </cs:fontRef>
    <cs:spPr>
      <a:ln>
        <a:gradFill>
          <a:gsLst>
            <a:gs pos="100000">
              <a:sysClr val="windowText" lastClr="000000">
                <a:lumMod val="95000"/>
                <a:lumOff val="5000"/>
                <a:alpha val="42000"/>
              </a:sysClr>
            </a:gs>
            <a:gs pos="0">
              <a:sysClr val="window" lastClr="FFFFFF">
                <a:lumMod val="75000"/>
                <a:alpha val="36000"/>
              </a:sysClr>
            </a:gs>
          </a:gsLst>
          <a:lin ang="5400000" scaled="0"/>
        </a:gradFill>
      </a:ln>
    </cs:spPr>
  </cs:gridlineMinor>
  <cs:hiLoLine>
    <cs:lnRef idx="0"/>
    <cs:fillRef idx="0"/>
    <cs:effectRef idx="0"/>
    <cs:fontRef idx="minor">
      <a:sysClr val="windowText" lastClr="000000"/>
    </cs:fontRef>
    <cs:spPr>
      <a:ln w="9525">
        <a:solidFill>
          <a:sysClr val="windowText" lastClr="000000">
            <a:lumMod val="35000"/>
            <a:lumOff val="65000"/>
          </a:sysClr>
        </a:solidFill>
        <a:prstDash val="dash"/>
      </a:ln>
    </cs:spPr>
  </cs:hiLoLine>
  <cs:leaderLine>
    <cs:lnRef idx="0"/>
    <cs:fillRef idx="0"/>
    <cs:effectRef idx="0"/>
    <cs:fontRef idx="minor">
      <a:sysClr val="windowText" lastClr="000000"/>
    </cs:fontRef>
    <cs:spPr>
      <a:ln w="9525">
        <a:solidFill>
          <a:sysClr val="windowText" lastClr="000000">
            <a:lumMod val="50000"/>
            <a:lumOff val="50000"/>
          </a:sysClr>
        </a:solidFill>
      </a:ln>
    </cs:spPr>
  </cs:leaderLine>
  <cs:legend>
    <cs:lnRef idx="0"/>
    <cs:fillRef idx="0"/>
    <cs:effectRef idx="0"/>
    <cs:fontRef idx="minor">
      <a:sysClr val="windowText" lastClr="000000">
        <a:lumMod val="75000"/>
        <a:lumOff val="25000"/>
      </a:sysClr>
    </cs:fontRef>
    <cs:spPr>
      <a:solidFill>
        <a:sysClr val="window" lastClr="FFFFFF">
          <a:lumMod val="95000"/>
          <a:alpha val="39000"/>
        </a:sysClr>
      </a:solidFill>
    </cs:spPr>
    <cs:defRPr sz="900" kern="1200"/>
  </cs:legend>
  <cs:plotArea>
    <cs:lnRef idx="0"/>
    <cs:fillRef idx="0"/>
    <cs:effectRef idx="0"/>
    <cs:fontRef idx="minor">
      <a:sysClr val="windowText" lastClr="000000"/>
    </cs:fontRef>
  </cs:plotArea>
  <cs:plotArea3D>
    <cs:lnRef idx="0"/>
    <cs:fillRef idx="0"/>
    <cs:effectRef idx="0"/>
    <cs:fontRef idx="minor">
      <a:sysClr val="windowText" lastClr="000000"/>
    </cs:fontRef>
  </cs:plotArea3D>
  <cs:seriesAxis>
    <cs:lnRef idx="0"/>
    <cs:fillRef idx="0"/>
    <cs:effectRef idx="0"/>
    <cs:fontRef idx="minor">
      <a:sysClr val="windowText" lastClr="000000">
        <a:lumMod val="75000"/>
        <a:lumOff val="25000"/>
      </a:sysClr>
    </cs:fontRef>
    <cs:spPr>
      <a:ln w="31750" cap="flat" cmpd="sng" algn="ctr">
        <a:solidFill>
          <a:sysClr val="windowText" lastClr="000000">
            <a:lumMod val="75000"/>
            <a:lumOff val="25000"/>
          </a:sysClr>
        </a:solidFill>
        <a:round/>
      </a:ln>
    </cs:spPr>
    <cs:defRPr sz="900" kern="1200"/>
  </cs:seriesAxis>
  <cs:seriesLine>
    <cs:lnRef idx="0"/>
    <cs:fillRef idx="0"/>
    <cs:effectRef idx="0"/>
    <cs:fontRef idx="minor">
      <a:sysClr val="windowText" lastClr="000000"/>
    </cs:fontRef>
    <cs:spPr>
      <a:ln w="9525">
        <a:solidFill>
          <a:sysClr val="windowText" lastClr="000000">
            <a:lumMod val="50000"/>
            <a:lumOff val="50000"/>
          </a:sysClr>
        </a:solidFill>
        <a:round/>
      </a:ln>
    </cs:spPr>
  </cs:seriesLine>
  <cs:title>
    <cs:lnRef idx="0"/>
    <cs:fillRef idx="0"/>
    <cs:effectRef idx="0"/>
    <cs:fontRef idx="minor">
      <a:sysClr val="windowText" lastClr="000000">
        <a:lumMod val="75000"/>
        <a:lumOff val="25000"/>
      </a:sysClr>
    </cs:fontRef>
    <cs:defRPr sz="1800" b="1" kern="1200" baseline="0"/>
  </cs:title>
  <cs:trendline>
    <cs:lnRef idx="0">
      <cs:styleClr val="auto"/>
    </cs:lnRef>
    <cs:fillRef idx="0"/>
    <cs:effectRef idx="0"/>
    <cs:fontRef idx="minor">
      <a:sysClr val="windowText" lastClr="000000"/>
    </cs:fontRef>
    <cs:spPr>
      <a:ln w="19050" cap="rnd">
        <a:solidFill>
          <a:schemeClr val="phClr"/>
        </a:solidFill>
      </a:ln>
    </cs:spPr>
  </cs:trendline>
  <cs:trendlineLabel>
    <cs:lnRef idx="0"/>
    <cs:fillRef idx="0"/>
    <cs:effectRef idx="0"/>
    <cs:fontRef idx="minor">
      <a:sysClr val="windowText" lastClr="000000">
        <a:lumMod val="75000"/>
        <a:lumOff val="2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65000"/>
            <a:lumOff val="35000"/>
          </a:sysClr>
        </a:solidFill>
      </a:ln>
    </cs:spPr>
  </cs:upBar>
  <cs:valueAxis>
    <cs:lnRef idx="0"/>
    <cs:fillRef idx="0"/>
    <cs:effectRef idx="0"/>
    <cs:fontRef idx="minor">
      <a:sysClr val="windowText" lastClr="000000">
        <a:lumMod val="75000"/>
        <a:lumOff val="25000"/>
      </a:sysClr>
    </cs:fontRef>
    <cs:spPr>
      <a:ln>
        <a:noFill/>
      </a:ln>
    </cs:spPr>
    <cs:defRPr sz="900" kern="1200"/>
  </cs:valueAxis>
  <cs:wall>
    <cs:lnRef idx="0"/>
    <cs:fillRef idx="0"/>
    <cs:effectRef idx="0"/>
    <cs:fontRef idx="minor">
      <a:sysClr val="windowText" lastClr="000000"/>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ysClr val="windowText" lastClr="000000">
        <a:lumMod val="75000"/>
        <a:lumOff val="25000"/>
      </a:sysClr>
    </cs:fontRef>
    <cs:defRPr sz="900" b="1" kern="1200"/>
  </cs:axisTitle>
  <cs:categoryAxis>
    <cs:lnRef idx="0"/>
    <cs:fillRef idx="0"/>
    <cs:effectRef idx="0"/>
    <cs:fontRef idx="minor">
      <a:sysClr val="windowText" lastClr="000000">
        <a:lumMod val="75000"/>
        <a:lumOff val="25000"/>
      </a:sysClr>
    </cs:fontRef>
    <cs:spPr>
      <a:ln w="19050" cap="flat" cmpd="sng" algn="ctr">
        <a:solidFill>
          <a:sysClr val="windowText" lastClr="000000">
            <a:lumMod val="75000"/>
            <a:lumOff val="25000"/>
          </a:sysClr>
        </a:solidFill>
        <a:round/>
      </a:ln>
    </cs:spPr>
    <cs:defRPr sz="900" kern="1200" cap="all" baseline="0"/>
  </cs:categoryAxis>
  <cs:chartArea>
    <cs:lnRef idx="0"/>
    <cs:fillRef idx="0"/>
    <cs:effectRef idx="0"/>
    <cs:fontRef idx="minor">
      <a:sysClr val="windowText" lastClr="000000"/>
    </cs:fontRef>
    <cs:spPr>
      <a:gradFill flip="none" rotWithShape="1">
        <a:gsLst>
          <a:gs pos="0">
            <a:sysClr val="window" lastClr="FFFFFF"/>
          </a:gs>
          <a:gs pos="39000">
            <a:sysClr val="window" lastClr="FFFFFF"/>
          </a:gs>
          <a:gs pos="100000">
            <a:sysClr val="window" lastClr="FFFFFF">
              <a:lumMod val="75000"/>
            </a:sysClr>
          </a:gs>
        </a:gsLst>
        <a:path path="circle">
          <a:fillToRect l="50000" t="-80000" r="50000" b="180000"/>
        </a:path>
      </a:gradFill>
      <a:ln w="9525" cap="flat" cmpd="sng" algn="ctr">
        <a:solidFill>
          <a:sysClr val="windowText" lastClr="000000">
            <a:lumMod val="25000"/>
            <a:lumOff val="75000"/>
          </a:sysClr>
        </a:solidFill>
        <a:round/>
      </a:ln>
    </cs:spPr>
    <cs:defRPr sz="900" kern="1200"/>
  </cs:chartArea>
  <cs:dataLabel>
    <cs:lnRef idx="0"/>
    <cs:fillRef idx="0"/>
    <cs:effectRef idx="0"/>
    <cs:fontRef idx="minor">
      <a:sysClr val="window" lastClr="FFFFFF"/>
    </cs:fontRef>
    <cs:spPr>
      <a:pattFill prst="pct75">
        <a:fgClr>
          <a:sysClr val="windowText" lastClr="000000">
            <a:lumMod val="75000"/>
            <a:lumOff val="25000"/>
          </a:sysClr>
        </a:fgClr>
        <a:bgClr>
          <a:sysClr val="windowText" lastClr="000000">
            <a:lumMod val="65000"/>
            <a:lumOff val="35000"/>
          </a:sys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ysClr val="window" lastClr="FFFFFF"/>
    </cs:fontRef>
    <cs:spPr>
      <a:pattFill prst="pct75">
        <a:fgClr>
          <a:sysClr val="windowText" lastClr="000000">
            <a:lumMod val="75000"/>
            <a:lumOff val="25000"/>
          </a:sysClr>
        </a:fgClr>
        <a:bgClr>
          <a:sysClr val="windowText" lastClr="000000">
            <a:lumMod val="65000"/>
            <a:lumOff val="35000"/>
          </a:sys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ysClr val="windowText" lastClr="000000"/>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ysClr val="windowText" lastClr="000000"/>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ysClr val="windowText" lastClr="000000"/>
    </cs:fontRef>
    <cs:spPr>
      <a:ln w="31750" cap="rnd">
        <a:solidFill>
          <a:schemeClr val="phClr">
            <a:alpha val="85000"/>
          </a:schemeClr>
        </a:solidFill>
        <a:round/>
      </a:ln>
    </cs:spPr>
  </cs:dataPointLine>
  <cs:dataPointMarker>
    <cs:lnRef idx="0"/>
    <cs:fillRef idx="0">
      <cs:styleClr val="auto"/>
    </cs:fillRef>
    <cs:effectRef idx="0"/>
    <cs:fontRef idx="minor">
      <a:sysClr val="windowText" lastClr="000000"/>
    </cs:fontRef>
    <cs:spPr>
      <a:solidFill>
        <a:schemeClr val="phClr">
          <a:alpha val="85000"/>
        </a:schemeClr>
      </a:solidFill>
    </cs:spPr>
  </cs:dataPointMarker>
  <cs:dataPointMarkerLayout symbol="circle" size="6"/>
  <cs:dataPointWireframe>
    <cs:lnRef idx="0">
      <cs:styleClr val="auto"/>
    </cs:lnRef>
    <cs:fillRef idx="0"/>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75000"/>
        <a:lumOff val="25000"/>
      </a:sysClr>
    </cs:fontRef>
    <cs:spPr>
      <a:ln w="9525">
        <a:solidFill>
          <a:sysClr val="windowText" lastClr="000000">
            <a:lumMod val="35000"/>
            <a:lumOff val="65000"/>
          </a:sysClr>
        </a:solidFill>
      </a:ln>
    </cs:spPr>
    <cs:defRPr sz="900" kern="1200"/>
  </cs:dataTable>
  <cs:downBar>
    <cs:lnRef idx="0"/>
    <cs:fillRef idx="0"/>
    <cs:effectRef idx="0"/>
    <cs:fontRef idx="minor">
      <a:sysClr val="windowText" lastClr="000000"/>
    </cs:fontRef>
    <cs:spPr>
      <a:solidFill>
        <a:sysClr val="windowText" lastClr="000000">
          <a:lumMod val="50000"/>
          <a:lumOff val="50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a:solidFill>
          <a:sysClr val="windowText" lastClr="000000">
            <a:lumMod val="35000"/>
            <a:lumOff val="65000"/>
          </a:sysClr>
        </a:solidFill>
        <a:prstDash val="dash"/>
      </a:ln>
    </cs:spPr>
  </cs:dropLine>
  <cs:errorBar>
    <cs:lnRef idx="0"/>
    <cs:fillRef idx="0"/>
    <cs:effectRef idx="0"/>
    <cs:fontRef idx="minor">
      <a:sysClr val="windowText" lastClr="000000"/>
    </cs:fontRef>
    <cs:spPr>
      <a:ln w="9525">
        <a:solidFill>
          <a:sysClr val="windowText" lastClr="000000">
            <a:lumMod val="65000"/>
            <a:lumOff val="35000"/>
          </a:sysClr>
        </a:solidFill>
        <a:round/>
      </a:ln>
    </cs:spPr>
  </cs:errorBar>
  <cs:floor>
    <cs:lnRef idx="0"/>
    <cs:fillRef idx="0"/>
    <cs:effectRef idx="0"/>
    <cs:fontRef idx="minor">
      <a:sysClr val="windowText" lastClr="000000"/>
    </cs:fontRef>
  </cs:floor>
  <cs:gridlineMajor>
    <cs:lnRef idx="0"/>
    <cs:fillRef idx="0"/>
    <cs:effectRef idx="0"/>
    <cs:fontRef idx="minor">
      <a:sysClr val="windowText" lastClr="000000"/>
    </cs:fontRef>
    <cs:spPr>
      <a:ln w="9525" cap="flat" cmpd="sng" algn="ctr">
        <a:gradFill>
          <a:gsLst>
            <a:gs pos="100000">
              <a:sysClr val="windowText" lastClr="000000">
                <a:lumMod val="95000"/>
                <a:lumOff val="5000"/>
                <a:alpha val="42000"/>
              </a:sysClr>
            </a:gs>
            <a:gs pos="0">
              <a:sysClr val="window" lastClr="FFFFFF">
                <a:lumMod val="75000"/>
                <a:alpha val="36000"/>
              </a:sysClr>
            </a:gs>
          </a:gsLst>
          <a:lin ang="5400000" scaled="0"/>
        </a:gradFill>
        <a:round/>
      </a:ln>
    </cs:spPr>
  </cs:gridlineMajor>
  <cs:gridlineMinor>
    <cs:lnRef idx="0"/>
    <cs:fillRef idx="0"/>
    <cs:effectRef idx="0"/>
    <cs:fontRef idx="minor">
      <a:sysClr val="windowText" lastClr="000000"/>
    </cs:fontRef>
    <cs:spPr>
      <a:ln>
        <a:gradFill>
          <a:gsLst>
            <a:gs pos="100000">
              <a:sysClr val="windowText" lastClr="000000">
                <a:lumMod val="95000"/>
                <a:lumOff val="5000"/>
                <a:alpha val="42000"/>
              </a:sysClr>
            </a:gs>
            <a:gs pos="0">
              <a:sysClr val="window" lastClr="FFFFFF">
                <a:lumMod val="75000"/>
                <a:alpha val="36000"/>
              </a:sysClr>
            </a:gs>
          </a:gsLst>
          <a:lin ang="5400000" scaled="0"/>
        </a:gradFill>
      </a:ln>
    </cs:spPr>
  </cs:gridlineMinor>
  <cs:hiLoLine>
    <cs:lnRef idx="0"/>
    <cs:fillRef idx="0"/>
    <cs:effectRef idx="0"/>
    <cs:fontRef idx="minor">
      <a:sysClr val="windowText" lastClr="000000"/>
    </cs:fontRef>
    <cs:spPr>
      <a:ln w="9525">
        <a:solidFill>
          <a:sysClr val="windowText" lastClr="000000">
            <a:lumMod val="35000"/>
            <a:lumOff val="65000"/>
          </a:sysClr>
        </a:solidFill>
        <a:prstDash val="dash"/>
      </a:ln>
    </cs:spPr>
  </cs:hiLoLine>
  <cs:leaderLine>
    <cs:lnRef idx="0"/>
    <cs:fillRef idx="0"/>
    <cs:effectRef idx="0"/>
    <cs:fontRef idx="minor">
      <a:sysClr val="windowText" lastClr="000000"/>
    </cs:fontRef>
    <cs:spPr>
      <a:ln w="9525">
        <a:solidFill>
          <a:sysClr val="windowText" lastClr="000000">
            <a:lumMod val="50000"/>
            <a:lumOff val="50000"/>
          </a:sysClr>
        </a:solidFill>
      </a:ln>
    </cs:spPr>
  </cs:leaderLine>
  <cs:legend>
    <cs:lnRef idx="0"/>
    <cs:fillRef idx="0"/>
    <cs:effectRef idx="0"/>
    <cs:fontRef idx="minor">
      <a:sysClr val="windowText" lastClr="000000">
        <a:lumMod val="75000"/>
        <a:lumOff val="25000"/>
      </a:sysClr>
    </cs:fontRef>
    <cs:spPr>
      <a:solidFill>
        <a:sysClr val="window" lastClr="FFFFFF">
          <a:lumMod val="95000"/>
          <a:alpha val="39000"/>
        </a:sysClr>
      </a:solidFill>
    </cs:spPr>
    <cs:defRPr sz="900" kern="1200"/>
  </cs:legend>
  <cs:plotArea>
    <cs:lnRef idx="0"/>
    <cs:fillRef idx="0"/>
    <cs:effectRef idx="0"/>
    <cs:fontRef idx="minor">
      <a:sysClr val="windowText" lastClr="000000"/>
    </cs:fontRef>
  </cs:plotArea>
  <cs:plotArea3D>
    <cs:lnRef idx="0"/>
    <cs:fillRef idx="0"/>
    <cs:effectRef idx="0"/>
    <cs:fontRef idx="minor">
      <a:sysClr val="windowText" lastClr="000000"/>
    </cs:fontRef>
  </cs:plotArea3D>
  <cs:seriesAxis>
    <cs:lnRef idx="0"/>
    <cs:fillRef idx="0"/>
    <cs:effectRef idx="0"/>
    <cs:fontRef idx="minor">
      <a:sysClr val="windowText" lastClr="000000">
        <a:lumMod val="75000"/>
        <a:lumOff val="25000"/>
      </a:sysClr>
    </cs:fontRef>
    <cs:spPr>
      <a:ln w="31750" cap="flat" cmpd="sng" algn="ctr">
        <a:solidFill>
          <a:sysClr val="windowText" lastClr="000000">
            <a:lumMod val="75000"/>
            <a:lumOff val="25000"/>
          </a:sysClr>
        </a:solidFill>
        <a:round/>
      </a:ln>
    </cs:spPr>
    <cs:defRPr sz="900" kern="1200"/>
  </cs:seriesAxis>
  <cs:seriesLine>
    <cs:lnRef idx="0"/>
    <cs:fillRef idx="0"/>
    <cs:effectRef idx="0"/>
    <cs:fontRef idx="minor">
      <a:sysClr val="windowText" lastClr="000000"/>
    </cs:fontRef>
    <cs:spPr>
      <a:ln w="9525">
        <a:solidFill>
          <a:sysClr val="windowText" lastClr="000000">
            <a:lumMod val="50000"/>
            <a:lumOff val="50000"/>
          </a:sysClr>
        </a:solidFill>
        <a:round/>
      </a:ln>
    </cs:spPr>
  </cs:seriesLine>
  <cs:title>
    <cs:lnRef idx="0"/>
    <cs:fillRef idx="0"/>
    <cs:effectRef idx="0"/>
    <cs:fontRef idx="minor">
      <a:sysClr val="windowText" lastClr="000000">
        <a:lumMod val="75000"/>
        <a:lumOff val="25000"/>
      </a:sysClr>
    </cs:fontRef>
    <cs:defRPr sz="1800" b="1" kern="1200" baseline="0"/>
  </cs:title>
  <cs:trendline>
    <cs:lnRef idx="0">
      <cs:styleClr val="auto"/>
    </cs:lnRef>
    <cs:fillRef idx="0"/>
    <cs:effectRef idx="0"/>
    <cs:fontRef idx="minor">
      <a:sysClr val="windowText" lastClr="000000"/>
    </cs:fontRef>
    <cs:spPr>
      <a:ln w="19050" cap="rnd">
        <a:solidFill>
          <a:schemeClr val="phClr"/>
        </a:solidFill>
      </a:ln>
    </cs:spPr>
  </cs:trendline>
  <cs:trendlineLabel>
    <cs:lnRef idx="0"/>
    <cs:fillRef idx="0"/>
    <cs:effectRef idx="0"/>
    <cs:fontRef idx="minor">
      <a:sysClr val="windowText" lastClr="000000">
        <a:lumMod val="75000"/>
        <a:lumOff val="2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65000"/>
            <a:lumOff val="35000"/>
          </a:sysClr>
        </a:solidFill>
      </a:ln>
    </cs:spPr>
  </cs:upBar>
  <cs:valueAxis>
    <cs:lnRef idx="0"/>
    <cs:fillRef idx="0"/>
    <cs:effectRef idx="0"/>
    <cs:fontRef idx="minor">
      <a:sysClr val="windowText" lastClr="000000">
        <a:lumMod val="75000"/>
        <a:lumOff val="25000"/>
      </a:sysClr>
    </cs:fontRef>
    <cs:spPr>
      <a:ln>
        <a:noFill/>
      </a:ln>
    </cs:spPr>
    <cs:defRPr sz="900" kern="1200"/>
  </cs:valueAxis>
  <cs:wall>
    <cs:lnRef idx="0"/>
    <cs:fillRef idx="0"/>
    <cs:effectRef idx="0"/>
    <cs:fontRef idx="minor">
      <a:sysClr val="windowText" lastClr="000000"/>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9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spPr>
      <a:ln w="19050">
        <a:solidFill>
          <a:sysClr val="window" lastClr="FFFFFF"/>
        </a:solidFill>
      </a:ln>
    </cs:spPr>
  </cs:dataPoint>
  <cs:dataPoint3D>
    <cs:lnRef idx="0"/>
    <cs:fillRef idx="1">
      <cs:styleClr val="auto"/>
    </cs:fillRef>
    <cs:effectRef idx="0"/>
    <cs:fontRef idx="minor">
      <a:sysClr val="windowText" lastClr="000000"/>
    </cs:fontRef>
    <cs:spPr>
      <a:ln w="25400">
        <a:solidFill>
          <a:sysClr val="window" lastClr="FFFFFF"/>
        </a:solidFill>
      </a:ln>
    </cs:spPr>
  </cs:dataPoint3D>
  <cs:dataPointLine>
    <cs:lnRef idx="0">
      <cs:styleClr val="auto"/>
    </cs:lnRef>
    <cs:fillRef idx="0"/>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0"/>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ysClr val="windowText" lastClr="000000">
        <a:lumMod val="75000"/>
        <a:lumOff val="25000"/>
      </a:sysClr>
    </cs:fontRef>
    <cs:defRPr sz="900" b="1" kern="1200"/>
  </cs:axisTitle>
  <cs:categoryAxis>
    <cs:lnRef idx="0"/>
    <cs:fillRef idx="0"/>
    <cs:effectRef idx="0"/>
    <cs:fontRef idx="minor">
      <a:sysClr val="windowText" lastClr="000000">
        <a:lumMod val="75000"/>
        <a:lumOff val="25000"/>
      </a:sysClr>
    </cs:fontRef>
    <cs:spPr>
      <a:ln w="19050" cap="flat" cmpd="sng" algn="ctr">
        <a:solidFill>
          <a:sysClr val="windowText" lastClr="000000">
            <a:lumMod val="75000"/>
            <a:lumOff val="25000"/>
          </a:sysClr>
        </a:solidFill>
        <a:round/>
      </a:ln>
    </cs:spPr>
    <cs:defRPr sz="900" kern="1200" cap="all" baseline="0"/>
  </cs:categoryAxis>
  <cs:chartArea>
    <cs:lnRef idx="0"/>
    <cs:fillRef idx="0"/>
    <cs:effectRef idx="0"/>
    <cs:fontRef idx="minor">
      <a:sysClr val="windowText" lastClr="000000"/>
    </cs:fontRef>
    <cs:spPr>
      <a:gradFill flip="none" rotWithShape="1">
        <a:gsLst>
          <a:gs pos="0">
            <a:sysClr val="window" lastClr="FFFFFF"/>
          </a:gs>
          <a:gs pos="39000">
            <a:sysClr val="window" lastClr="FFFFFF"/>
          </a:gs>
          <a:gs pos="100000">
            <a:sysClr val="window" lastClr="FFFFFF">
              <a:lumMod val="75000"/>
            </a:sysClr>
          </a:gs>
        </a:gsLst>
        <a:path path="circle">
          <a:fillToRect l="50000" t="-80000" r="50000" b="180000"/>
        </a:path>
      </a:gradFill>
      <a:ln w="9525" cap="flat" cmpd="sng" algn="ctr">
        <a:solidFill>
          <a:sysClr val="windowText" lastClr="000000">
            <a:lumMod val="25000"/>
            <a:lumOff val="75000"/>
          </a:sysClr>
        </a:solidFill>
        <a:round/>
      </a:ln>
    </cs:spPr>
    <cs:defRPr sz="900" kern="1200"/>
  </cs:chartArea>
  <cs:dataLabel>
    <cs:lnRef idx="0"/>
    <cs:fillRef idx="0"/>
    <cs:effectRef idx="0"/>
    <cs:fontRef idx="minor">
      <a:sysClr val="window" lastClr="FFFFFF"/>
    </cs:fontRef>
    <cs:spPr>
      <a:pattFill prst="pct75">
        <a:fgClr>
          <a:sysClr val="windowText" lastClr="000000">
            <a:lumMod val="75000"/>
            <a:lumOff val="25000"/>
          </a:sysClr>
        </a:fgClr>
        <a:bgClr>
          <a:sysClr val="windowText" lastClr="000000">
            <a:lumMod val="65000"/>
            <a:lumOff val="35000"/>
          </a:sys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ysClr val="window" lastClr="FFFFFF"/>
    </cs:fontRef>
    <cs:spPr>
      <a:pattFill prst="pct75">
        <a:fgClr>
          <a:sysClr val="windowText" lastClr="000000">
            <a:lumMod val="75000"/>
            <a:lumOff val="25000"/>
          </a:sysClr>
        </a:fgClr>
        <a:bgClr>
          <a:sysClr val="windowText" lastClr="000000">
            <a:lumMod val="65000"/>
            <a:lumOff val="35000"/>
          </a:sys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ysClr val="windowText" lastClr="000000"/>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ysClr val="windowText" lastClr="000000"/>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ysClr val="windowText" lastClr="000000"/>
    </cs:fontRef>
    <cs:spPr>
      <a:ln w="31750" cap="rnd">
        <a:solidFill>
          <a:schemeClr val="phClr">
            <a:alpha val="85000"/>
          </a:schemeClr>
        </a:solidFill>
        <a:round/>
      </a:ln>
    </cs:spPr>
  </cs:dataPointLine>
  <cs:dataPointMarker>
    <cs:lnRef idx="0"/>
    <cs:fillRef idx="0">
      <cs:styleClr val="auto"/>
    </cs:fillRef>
    <cs:effectRef idx="0"/>
    <cs:fontRef idx="minor">
      <a:sysClr val="windowText" lastClr="000000"/>
    </cs:fontRef>
    <cs:spPr>
      <a:solidFill>
        <a:schemeClr val="phClr">
          <a:alpha val="85000"/>
        </a:schemeClr>
      </a:solidFill>
    </cs:spPr>
  </cs:dataPointMarker>
  <cs:dataPointMarkerLayout symbol="circle" size="6"/>
  <cs:dataPointWireframe>
    <cs:lnRef idx="0">
      <cs:styleClr val="auto"/>
    </cs:lnRef>
    <cs:fillRef idx="0"/>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75000"/>
        <a:lumOff val="25000"/>
      </a:sysClr>
    </cs:fontRef>
    <cs:spPr>
      <a:ln w="9525">
        <a:solidFill>
          <a:sysClr val="windowText" lastClr="000000">
            <a:lumMod val="35000"/>
            <a:lumOff val="65000"/>
          </a:sysClr>
        </a:solidFill>
      </a:ln>
    </cs:spPr>
    <cs:defRPr sz="900" kern="1200"/>
  </cs:dataTable>
  <cs:downBar>
    <cs:lnRef idx="0"/>
    <cs:fillRef idx="0"/>
    <cs:effectRef idx="0"/>
    <cs:fontRef idx="minor">
      <a:sysClr val="windowText" lastClr="000000"/>
    </cs:fontRef>
    <cs:spPr>
      <a:solidFill>
        <a:sysClr val="windowText" lastClr="000000">
          <a:lumMod val="50000"/>
          <a:lumOff val="50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a:solidFill>
          <a:sysClr val="windowText" lastClr="000000">
            <a:lumMod val="35000"/>
            <a:lumOff val="65000"/>
          </a:sysClr>
        </a:solidFill>
        <a:prstDash val="dash"/>
      </a:ln>
    </cs:spPr>
  </cs:dropLine>
  <cs:errorBar>
    <cs:lnRef idx="0"/>
    <cs:fillRef idx="0"/>
    <cs:effectRef idx="0"/>
    <cs:fontRef idx="minor">
      <a:sysClr val="windowText" lastClr="000000"/>
    </cs:fontRef>
    <cs:spPr>
      <a:ln w="9525">
        <a:solidFill>
          <a:sysClr val="windowText" lastClr="000000">
            <a:lumMod val="65000"/>
            <a:lumOff val="35000"/>
          </a:sysClr>
        </a:solidFill>
        <a:round/>
      </a:ln>
    </cs:spPr>
  </cs:errorBar>
  <cs:floor>
    <cs:lnRef idx="0"/>
    <cs:fillRef idx="0"/>
    <cs:effectRef idx="0"/>
    <cs:fontRef idx="minor">
      <a:sysClr val="windowText" lastClr="000000"/>
    </cs:fontRef>
  </cs:floor>
  <cs:gridlineMajor>
    <cs:lnRef idx="0"/>
    <cs:fillRef idx="0"/>
    <cs:effectRef idx="0"/>
    <cs:fontRef idx="minor">
      <a:sysClr val="windowText" lastClr="000000"/>
    </cs:fontRef>
    <cs:spPr>
      <a:ln w="9525" cap="flat" cmpd="sng" algn="ctr">
        <a:gradFill>
          <a:gsLst>
            <a:gs pos="100000">
              <a:sysClr val="windowText" lastClr="000000">
                <a:lumMod val="95000"/>
                <a:lumOff val="5000"/>
                <a:alpha val="42000"/>
              </a:sysClr>
            </a:gs>
            <a:gs pos="0">
              <a:sysClr val="window" lastClr="FFFFFF">
                <a:lumMod val="75000"/>
                <a:alpha val="36000"/>
              </a:sysClr>
            </a:gs>
          </a:gsLst>
          <a:lin ang="5400000" scaled="0"/>
        </a:gradFill>
        <a:round/>
      </a:ln>
    </cs:spPr>
  </cs:gridlineMajor>
  <cs:gridlineMinor>
    <cs:lnRef idx="0"/>
    <cs:fillRef idx="0"/>
    <cs:effectRef idx="0"/>
    <cs:fontRef idx="minor">
      <a:sysClr val="windowText" lastClr="000000"/>
    </cs:fontRef>
    <cs:spPr>
      <a:ln>
        <a:gradFill>
          <a:gsLst>
            <a:gs pos="100000">
              <a:sysClr val="windowText" lastClr="000000">
                <a:lumMod val="95000"/>
                <a:lumOff val="5000"/>
                <a:alpha val="42000"/>
              </a:sysClr>
            </a:gs>
            <a:gs pos="0">
              <a:sysClr val="window" lastClr="FFFFFF">
                <a:lumMod val="75000"/>
                <a:alpha val="36000"/>
              </a:sysClr>
            </a:gs>
          </a:gsLst>
          <a:lin ang="5400000" scaled="0"/>
        </a:gradFill>
      </a:ln>
    </cs:spPr>
  </cs:gridlineMinor>
  <cs:hiLoLine>
    <cs:lnRef idx="0"/>
    <cs:fillRef idx="0"/>
    <cs:effectRef idx="0"/>
    <cs:fontRef idx="minor">
      <a:sysClr val="windowText" lastClr="000000"/>
    </cs:fontRef>
    <cs:spPr>
      <a:ln w="9525">
        <a:solidFill>
          <a:sysClr val="windowText" lastClr="000000">
            <a:lumMod val="35000"/>
            <a:lumOff val="65000"/>
          </a:sysClr>
        </a:solidFill>
        <a:prstDash val="dash"/>
      </a:ln>
    </cs:spPr>
  </cs:hiLoLine>
  <cs:leaderLine>
    <cs:lnRef idx="0"/>
    <cs:fillRef idx="0"/>
    <cs:effectRef idx="0"/>
    <cs:fontRef idx="minor">
      <a:sysClr val="windowText" lastClr="000000"/>
    </cs:fontRef>
    <cs:spPr>
      <a:ln w="9525">
        <a:solidFill>
          <a:sysClr val="windowText" lastClr="000000">
            <a:lumMod val="50000"/>
            <a:lumOff val="50000"/>
          </a:sysClr>
        </a:solidFill>
      </a:ln>
    </cs:spPr>
  </cs:leaderLine>
  <cs:legend>
    <cs:lnRef idx="0"/>
    <cs:fillRef idx="0"/>
    <cs:effectRef idx="0"/>
    <cs:fontRef idx="minor">
      <a:sysClr val="windowText" lastClr="000000">
        <a:lumMod val="75000"/>
        <a:lumOff val="25000"/>
      </a:sysClr>
    </cs:fontRef>
    <cs:spPr>
      <a:solidFill>
        <a:sysClr val="window" lastClr="FFFFFF">
          <a:lumMod val="95000"/>
          <a:alpha val="39000"/>
        </a:sysClr>
      </a:solidFill>
    </cs:spPr>
    <cs:defRPr sz="900" kern="1200"/>
  </cs:legend>
  <cs:plotArea>
    <cs:lnRef idx="0"/>
    <cs:fillRef idx="0"/>
    <cs:effectRef idx="0"/>
    <cs:fontRef idx="minor">
      <a:sysClr val="windowText" lastClr="000000"/>
    </cs:fontRef>
  </cs:plotArea>
  <cs:plotArea3D>
    <cs:lnRef idx="0"/>
    <cs:fillRef idx="0"/>
    <cs:effectRef idx="0"/>
    <cs:fontRef idx="minor">
      <a:sysClr val="windowText" lastClr="000000"/>
    </cs:fontRef>
  </cs:plotArea3D>
  <cs:seriesAxis>
    <cs:lnRef idx="0"/>
    <cs:fillRef idx="0"/>
    <cs:effectRef idx="0"/>
    <cs:fontRef idx="minor">
      <a:sysClr val="windowText" lastClr="000000">
        <a:lumMod val="75000"/>
        <a:lumOff val="25000"/>
      </a:sysClr>
    </cs:fontRef>
    <cs:spPr>
      <a:ln w="31750" cap="flat" cmpd="sng" algn="ctr">
        <a:solidFill>
          <a:sysClr val="windowText" lastClr="000000">
            <a:lumMod val="75000"/>
            <a:lumOff val="25000"/>
          </a:sysClr>
        </a:solidFill>
        <a:round/>
      </a:ln>
    </cs:spPr>
    <cs:defRPr sz="900" kern="1200"/>
  </cs:seriesAxis>
  <cs:seriesLine>
    <cs:lnRef idx="0"/>
    <cs:fillRef idx="0"/>
    <cs:effectRef idx="0"/>
    <cs:fontRef idx="minor">
      <a:sysClr val="windowText" lastClr="000000"/>
    </cs:fontRef>
    <cs:spPr>
      <a:ln w="9525">
        <a:solidFill>
          <a:sysClr val="windowText" lastClr="000000">
            <a:lumMod val="50000"/>
            <a:lumOff val="50000"/>
          </a:sysClr>
        </a:solidFill>
        <a:round/>
      </a:ln>
    </cs:spPr>
  </cs:seriesLine>
  <cs:title>
    <cs:lnRef idx="0"/>
    <cs:fillRef idx="0"/>
    <cs:effectRef idx="0"/>
    <cs:fontRef idx="minor">
      <a:sysClr val="windowText" lastClr="000000">
        <a:lumMod val="75000"/>
        <a:lumOff val="25000"/>
      </a:sysClr>
    </cs:fontRef>
    <cs:defRPr sz="1800" b="1" kern="1200" baseline="0"/>
  </cs:title>
  <cs:trendline>
    <cs:lnRef idx="0">
      <cs:styleClr val="auto"/>
    </cs:lnRef>
    <cs:fillRef idx="0"/>
    <cs:effectRef idx="0"/>
    <cs:fontRef idx="minor">
      <a:sysClr val="windowText" lastClr="000000"/>
    </cs:fontRef>
    <cs:spPr>
      <a:ln w="19050" cap="rnd">
        <a:solidFill>
          <a:schemeClr val="phClr"/>
        </a:solidFill>
      </a:ln>
    </cs:spPr>
  </cs:trendline>
  <cs:trendlineLabel>
    <cs:lnRef idx="0"/>
    <cs:fillRef idx="0"/>
    <cs:effectRef idx="0"/>
    <cs:fontRef idx="minor">
      <a:sysClr val="windowText" lastClr="000000">
        <a:lumMod val="75000"/>
        <a:lumOff val="2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65000"/>
            <a:lumOff val="35000"/>
          </a:sysClr>
        </a:solidFill>
      </a:ln>
    </cs:spPr>
  </cs:upBar>
  <cs:valueAxis>
    <cs:lnRef idx="0"/>
    <cs:fillRef idx="0"/>
    <cs:effectRef idx="0"/>
    <cs:fontRef idx="minor">
      <a:sysClr val="windowText" lastClr="000000">
        <a:lumMod val="75000"/>
        <a:lumOff val="25000"/>
      </a:sysClr>
    </cs:fontRef>
    <cs:spPr>
      <a:ln>
        <a:noFill/>
      </a:ln>
    </cs:spPr>
    <cs:defRPr sz="900" kern="1200"/>
  </cs:valueAxis>
  <cs:wall>
    <cs:lnRef idx="0"/>
    <cs:fillRef idx="0"/>
    <cs:effectRef idx="0"/>
    <cs:fontRef idx="minor">
      <a:sysClr val="windowText" lastClr="000000"/>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4763</Words>
  <Characters>5230</Characters>
  <Lines>54</Lines>
  <Paragraphs>15</Paragraphs>
  <TotalTime>11</TotalTime>
  <ScaleCrop>false</ScaleCrop>
  <LinksUpToDate>false</LinksUpToDate>
  <CharactersWithSpaces>5294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碧云天</cp:lastModifiedBy>
  <cp:lastPrinted>2023-08-03T02:35:00Z</cp:lastPrinted>
  <dcterms:modified xsi:type="dcterms:W3CDTF">2024-11-01T02:02:47Z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C1A62D9517FF4F1583251A2861FA4D33_12</vt:lpwstr>
  </property>
</Properties>
</file>