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C6CAC">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77425"/>
      <w:bookmarkStart w:id="3" w:name="_Toc15378441"/>
      <w:bookmarkStart w:id="4" w:name="_Toc15377193"/>
      <w:bookmarkStart w:id="5" w:name="_Toc15396597"/>
    </w:p>
    <w:p w14:paraId="30AC2D37">
      <w:pPr>
        <w:pStyle w:val="8"/>
        <w:rPr>
          <w:rFonts w:hint="eastAsia" w:ascii="Times New Roman" w:hAnsi="Times New Roman" w:eastAsia="方正小标宋简体" w:cs="Times New Roman"/>
          <w:color w:val="auto"/>
          <w:kern w:val="2"/>
          <w:sz w:val="72"/>
          <w:szCs w:val="72"/>
          <w:highlight w:val="none"/>
          <w:lang w:val="en-US" w:eastAsia="zh-CN" w:bidi="ar-SA"/>
        </w:rPr>
      </w:pPr>
    </w:p>
    <w:p w14:paraId="0EA61D29">
      <w:pPr>
        <w:pStyle w:val="8"/>
        <w:rPr>
          <w:rFonts w:hint="eastAsia" w:ascii="Times New Roman" w:hAnsi="Times New Roman" w:eastAsia="方正小标宋简体" w:cs="Times New Roman"/>
          <w:color w:val="auto"/>
          <w:kern w:val="2"/>
          <w:sz w:val="72"/>
          <w:szCs w:val="72"/>
          <w:highlight w:val="none"/>
          <w:lang w:val="en-US" w:eastAsia="zh-CN" w:bidi="ar-SA"/>
        </w:rPr>
      </w:pPr>
    </w:p>
    <w:p w14:paraId="2E4B9B98">
      <w:pPr>
        <w:pStyle w:val="8"/>
        <w:rPr>
          <w:rFonts w:hint="eastAsia" w:ascii="Times New Roman" w:hAnsi="Times New Roman" w:eastAsia="方正小标宋简体" w:cs="Times New Roman"/>
          <w:color w:val="auto"/>
          <w:kern w:val="2"/>
          <w:sz w:val="72"/>
          <w:szCs w:val="72"/>
          <w:highlight w:val="none"/>
          <w:lang w:val="en-US" w:eastAsia="zh-CN" w:bidi="ar-SA"/>
        </w:rPr>
      </w:pPr>
    </w:p>
    <w:p w14:paraId="613AD4F1">
      <w:pPr>
        <w:pStyle w:val="8"/>
        <w:jc w:val="center"/>
        <w:rPr>
          <w:rFonts w:hint="eastAsia" w:ascii="方正公文小标宋" w:hAnsi="方正公文小标宋" w:eastAsia="方正公文小标宋" w:cs="方正公文小标宋"/>
          <w:color w:val="auto"/>
          <w:kern w:val="2"/>
          <w:sz w:val="44"/>
          <w:szCs w:val="44"/>
          <w:highlight w:val="none"/>
          <w:lang w:val="en-US" w:eastAsia="zh-CN" w:bidi="ar-SA"/>
        </w:rPr>
      </w:pPr>
      <w:r>
        <w:rPr>
          <w:rFonts w:hint="eastAsia" w:ascii="方正公文小标宋" w:hAnsi="方正公文小标宋" w:eastAsia="方正公文小标宋" w:cs="方正公文小标宋"/>
          <w:color w:val="auto"/>
          <w:kern w:val="2"/>
          <w:sz w:val="44"/>
          <w:szCs w:val="44"/>
          <w:highlight w:val="none"/>
          <w:lang w:val="en-US" w:eastAsia="zh-CN" w:bidi="ar-SA"/>
        </w:rPr>
        <w:t>2024年度</w:t>
      </w:r>
    </w:p>
    <w:p w14:paraId="583ED1C9">
      <w:pPr>
        <w:pStyle w:val="8"/>
        <w:jc w:val="center"/>
        <w:rPr>
          <w:rFonts w:hint="eastAsia" w:ascii="方正公文小标宋" w:hAnsi="方正公文小标宋" w:eastAsia="方正公文小标宋" w:cs="方正公文小标宋"/>
          <w:color w:val="auto"/>
          <w:kern w:val="2"/>
          <w:sz w:val="44"/>
          <w:szCs w:val="44"/>
          <w:highlight w:val="none"/>
          <w:lang w:val="en-US" w:eastAsia="zh-CN" w:bidi="ar-SA"/>
        </w:rPr>
      </w:pPr>
      <w:r>
        <w:rPr>
          <w:rFonts w:hint="eastAsia" w:ascii="方正公文小标宋" w:hAnsi="方正公文小标宋" w:eastAsia="方正公文小标宋" w:cs="方正公文小标宋"/>
          <w:color w:val="auto"/>
          <w:kern w:val="2"/>
          <w:sz w:val="44"/>
          <w:szCs w:val="44"/>
          <w:highlight w:val="none"/>
          <w:lang w:val="en-US" w:eastAsia="zh-CN" w:bidi="ar-SA"/>
        </w:rPr>
        <w:t>峨边彝族自治县沙坪镇中心小学</w:t>
      </w:r>
    </w:p>
    <w:p w14:paraId="2C3E0B61">
      <w:pPr>
        <w:pStyle w:val="8"/>
        <w:jc w:val="center"/>
        <w:outlineLvl w:val="1"/>
        <w:rPr>
          <w:rFonts w:hint="eastAsia" w:ascii="方正公文小标宋" w:hAnsi="方正公文小标宋" w:eastAsia="方正公文小标宋" w:cs="方正公文小标宋"/>
          <w:color w:val="auto"/>
          <w:kern w:val="2"/>
          <w:sz w:val="44"/>
          <w:szCs w:val="44"/>
          <w:highlight w:val="none"/>
          <w:lang w:val="en-US" w:eastAsia="zh-CN" w:bidi="ar-SA"/>
        </w:rPr>
        <w:sectPr>
          <w:footerReference r:id="rId7" w:type="first"/>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pPr>
      <w:bookmarkStart w:id="6" w:name="_Toc2256"/>
      <w:r>
        <w:rPr>
          <w:rFonts w:hint="eastAsia" w:ascii="方正公文小标宋" w:hAnsi="方正公文小标宋" w:eastAsia="方正公文小标宋" w:cs="方正公文小标宋"/>
          <w:color w:val="auto"/>
          <w:kern w:val="2"/>
          <w:sz w:val="44"/>
          <w:szCs w:val="44"/>
          <w:highlight w:val="none"/>
          <w:lang w:val="en-US" w:eastAsia="zh-CN" w:bidi="ar-SA"/>
        </w:rPr>
        <w:t>单位决</w:t>
      </w:r>
      <w:bookmarkEnd w:id="6"/>
      <w:r>
        <w:rPr>
          <w:rFonts w:hint="eastAsia" w:ascii="方正公文小标宋" w:hAnsi="方正公文小标宋" w:eastAsia="方正公文小标宋" w:cs="方正公文小标宋"/>
          <w:color w:val="auto"/>
          <w:kern w:val="2"/>
          <w:sz w:val="44"/>
          <w:szCs w:val="44"/>
          <w:highlight w:val="none"/>
          <w:lang w:val="en-US" w:eastAsia="zh-CN" w:bidi="ar-SA"/>
        </w:rPr>
        <w:t>算</w:t>
      </w:r>
    </w:p>
    <w:bookmarkEnd w:id="0"/>
    <w:bookmarkEnd w:id="1"/>
    <w:bookmarkEnd w:id="2"/>
    <w:bookmarkEnd w:id="3"/>
    <w:bookmarkEnd w:id="4"/>
    <w:bookmarkEnd w:id="5"/>
    <w:p w14:paraId="5B5B1E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目录</w:t>
      </w:r>
    </w:p>
    <w:p w14:paraId="06E7EA6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cs="仿宋"/>
          <w:color w:val="auto"/>
          <w:sz w:val="32"/>
          <w:szCs w:val="32"/>
          <w:highlight w:val="none"/>
          <w:lang w:val="en-US" w:eastAsia="zh-CN"/>
        </w:rPr>
        <w:t>2</w:t>
      </w:r>
      <w:r>
        <w:rPr>
          <w:rFonts w:hint="eastAsia" w:ascii="仿宋" w:hAnsi="仿宋" w:eastAsia="仿宋" w:cs="仿宋"/>
          <w:color w:val="auto"/>
          <w:sz w:val="32"/>
          <w:szCs w:val="32"/>
          <w:highlight w:val="none"/>
          <w:lang w:val="en-US" w:eastAsia="zh-CN"/>
        </w:rPr>
        <w:t xml:space="preserve">7 </w:t>
      </w:r>
      <w:r>
        <w:rPr>
          <w:rFonts w:hint="eastAsia" w:ascii="仿宋" w:hAnsi="仿宋" w:eastAsia="仿宋" w:cs="仿宋"/>
          <w:color w:val="auto"/>
          <w:sz w:val="32"/>
          <w:szCs w:val="32"/>
          <w:highlight w:val="none"/>
        </w:rPr>
        <w:t>日</w:t>
      </w:r>
      <w:bookmarkStart w:id="7" w:name="_Toc15377196"/>
      <w:bookmarkStart w:id="8" w:name="_Toc15396599"/>
    </w:p>
    <w:p w14:paraId="445EE35B">
      <w:pPr>
        <w:pStyle w:val="39"/>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TOC \o "1-2" \h \u </w:instrText>
      </w:r>
      <w:r>
        <w:rPr>
          <w:rFonts w:hint="eastAsia" w:ascii="仿宋" w:hAnsi="仿宋" w:eastAsia="仿宋" w:cs="仿宋"/>
          <w:b/>
          <w:sz w:val="32"/>
          <w:szCs w:val="32"/>
        </w:rPr>
        <w:fldChar w:fldCharType="separate"/>
      </w:r>
    </w:p>
    <w:p w14:paraId="2B504076">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_Toc25296 </w:instrText>
      </w:r>
      <w:r>
        <w:rPr>
          <w:rFonts w:hint="eastAsia" w:ascii="仿宋" w:hAnsi="仿宋" w:eastAsia="仿宋" w:cs="仿宋"/>
          <w:b/>
          <w:sz w:val="32"/>
          <w:szCs w:val="32"/>
        </w:rPr>
        <w:fldChar w:fldCharType="separate"/>
      </w:r>
      <w:r>
        <w:rPr>
          <w:rFonts w:hint="eastAsia" w:ascii="仿宋" w:hAnsi="仿宋" w:eastAsia="仿宋" w:cs="仿宋"/>
          <w:b w:val="0"/>
          <w:bCs/>
          <w:sz w:val="24"/>
          <w:szCs w:val="24"/>
        </w:rPr>
        <w:t>第一部分 单位概况</w:t>
      </w:r>
      <w:r>
        <w:rPr>
          <w:rFonts w:hint="eastAsia" w:ascii="仿宋" w:hAnsi="仿宋" w:eastAsia="仿宋" w:cs="仿宋"/>
          <w:b/>
          <w:sz w:val="32"/>
          <w:szCs w:val="32"/>
        </w:rPr>
        <w:tab/>
      </w:r>
      <w:r>
        <w:rPr>
          <w:rFonts w:hint="eastAsia" w:ascii="仿宋" w:hAnsi="仿宋" w:eastAsia="仿宋" w:cs="仿宋"/>
          <w:b/>
          <w:sz w:val="32"/>
          <w:szCs w:val="32"/>
          <w:lang w:val="en-US" w:eastAsia="zh-CN"/>
        </w:rPr>
        <w:t>4</w:t>
      </w:r>
      <w:r>
        <w:rPr>
          <w:rFonts w:hint="eastAsia" w:ascii="仿宋" w:hAnsi="仿宋" w:eastAsia="仿宋" w:cs="仿宋"/>
          <w:b/>
          <w:sz w:val="32"/>
          <w:szCs w:val="32"/>
        </w:rPr>
        <w:fldChar w:fldCharType="end"/>
      </w:r>
    </w:p>
    <w:p w14:paraId="79799582">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_Toc28280 </w:instrText>
      </w:r>
      <w:r>
        <w:rPr>
          <w:rFonts w:hint="eastAsia" w:ascii="仿宋" w:hAnsi="仿宋" w:eastAsia="仿宋" w:cs="仿宋"/>
          <w:sz w:val="24"/>
          <w:szCs w:val="24"/>
        </w:rPr>
        <w:fldChar w:fldCharType="separate"/>
      </w:r>
      <w:r>
        <w:rPr>
          <w:rFonts w:hint="eastAsia" w:ascii="仿宋" w:hAnsi="仿宋" w:eastAsia="仿宋" w:cs="仿宋"/>
          <w:bCs w:val="0"/>
          <w:kern w:val="2"/>
          <w:sz w:val="24"/>
          <w:szCs w:val="24"/>
        </w:rPr>
        <w:t xml:space="preserve">一、 </w:t>
      </w:r>
      <w:r>
        <w:rPr>
          <w:rFonts w:hint="eastAsia" w:ascii="仿宋" w:hAnsi="仿宋" w:eastAsia="仿宋" w:cs="仿宋"/>
          <w:bCs w:val="0"/>
          <w:sz w:val="24"/>
          <w:szCs w:val="24"/>
        </w:rPr>
        <w:t>主要职责</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14:paraId="71B0FB71">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_Toc29631 </w:instrText>
      </w:r>
      <w:r>
        <w:rPr>
          <w:rFonts w:hint="eastAsia" w:ascii="仿宋" w:hAnsi="仿宋" w:eastAsia="仿宋" w:cs="仿宋"/>
          <w:sz w:val="24"/>
          <w:szCs w:val="24"/>
        </w:rPr>
        <w:fldChar w:fldCharType="separate"/>
      </w:r>
      <w:r>
        <w:rPr>
          <w:rFonts w:hint="eastAsia" w:ascii="仿宋" w:hAnsi="仿宋" w:eastAsia="仿宋" w:cs="仿宋"/>
          <w:sz w:val="24"/>
          <w:szCs w:val="24"/>
        </w:rPr>
        <w:t>二、 机构设置</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14:paraId="6DA5EE00">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_Toc36 </w:instrText>
      </w:r>
      <w:r>
        <w:rPr>
          <w:rFonts w:hint="eastAsia" w:ascii="仿宋" w:hAnsi="仿宋" w:eastAsia="仿宋" w:cs="仿宋"/>
          <w:b/>
          <w:sz w:val="32"/>
          <w:szCs w:val="32"/>
        </w:rPr>
        <w:fldChar w:fldCharType="separate"/>
      </w:r>
      <w:r>
        <w:rPr>
          <w:rFonts w:hint="eastAsia" w:ascii="仿宋" w:hAnsi="仿宋" w:eastAsia="仿宋" w:cs="仿宋"/>
          <w:b w:val="0"/>
          <w:bCs/>
          <w:sz w:val="24"/>
          <w:szCs w:val="24"/>
        </w:rPr>
        <w:t>第二部分 202</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年度单位决算情况说明</w:t>
      </w:r>
      <w:r>
        <w:rPr>
          <w:rFonts w:hint="eastAsia" w:ascii="仿宋" w:hAnsi="仿宋" w:eastAsia="仿宋" w:cs="仿宋"/>
          <w:b/>
          <w:sz w:val="32"/>
          <w:szCs w:val="32"/>
        </w:rPr>
        <w:tab/>
      </w:r>
      <w:r>
        <w:rPr>
          <w:rFonts w:hint="eastAsia" w:ascii="仿宋" w:hAnsi="仿宋" w:eastAsia="仿宋" w:cs="仿宋"/>
          <w:b/>
          <w:sz w:val="32"/>
          <w:szCs w:val="32"/>
          <w:lang w:val="en-US" w:eastAsia="zh-CN"/>
        </w:rPr>
        <w:t>6</w:t>
      </w:r>
      <w:r>
        <w:rPr>
          <w:rFonts w:hint="eastAsia" w:ascii="仿宋" w:hAnsi="仿宋" w:eastAsia="仿宋" w:cs="仿宋"/>
          <w:b/>
          <w:sz w:val="32"/>
          <w:szCs w:val="32"/>
        </w:rPr>
        <w:fldChar w:fldCharType="end"/>
      </w:r>
    </w:p>
    <w:p w14:paraId="7FADDC11">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_Toc10141 </w:instrText>
      </w:r>
      <w:r>
        <w:rPr>
          <w:rFonts w:hint="eastAsia" w:ascii="仿宋" w:hAnsi="仿宋" w:eastAsia="仿宋" w:cs="仿宋"/>
          <w:sz w:val="24"/>
          <w:szCs w:val="24"/>
        </w:rPr>
        <w:fldChar w:fldCharType="separate"/>
      </w:r>
      <w:r>
        <w:rPr>
          <w:rFonts w:hint="eastAsia" w:ascii="仿宋" w:hAnsi="仿宋" w:eastAsia="仿宋" w:cs="仿宋"/>
          <w:sz w:val="24"/>
          <w:szCs w:val="24"/>
        </w:rPr>
        <w:t>一、 收入支出决算总体情况说明</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14:paraId="4628C872">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_Toc13747 </w:instrText>
      </w:r>
      <w:r>
        <w:rPr>
          <w:rFonts w:hint="eastAsia" w:ascii="仿宋" w:hAnsi="仿宋" w:eastAsia="仿宋" w:cs="仿宋"/>
          <w:sz w:val="24"/>
          <w:szCs w:val="24"/>
        </w:rPr>
        <w:fldChar w:fldCharType="separate"/>
      </w:r>
      <w:r>
        <w:rPr>
          <w:rFonts w:hint="eastAsia" w:ascii="仿宋" w:hAnsi="仿宋" w:eastAsia="仿宋" w:cs="仿宋"/>
          <w:sz w:val="24"/>
          <w:szCs w:val="24"/>
        </w:rPr>
        <w:t>二、 收入决算情况说明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14:paraId="329BA1D8">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_Toc28747 </w:instrText>
      </w:r>
      <w:r>
        <w:rPr>
          <w:rFonts w:hint="eastAsia" w:ascii="仿宋" w:hAnsi="仿宋" w:eastAsia="仿宋" w:cs="仿宋"/>
          <w:sz w:val="24"/>
          <w:szCs w:val="24"/>
        </w:rPr>
        <w:fldChar w:fldCharType="separate"/>
      </w:r>
      <w:r>
        <w:rPr>
          <w:rFonts w:hint="eastAsia" w:ascii="仿宋" w:hAnsi="仿宋" w:eastAsia="仿宋" w:cs="仿宋"/>
          <w:sz w:val="24"/>
          <w:szCs w:val="24"/>
        </w:rPr>
        <w:t>三、 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2C9B1DC9">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_Toc4891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lang w:val="en-US" w:eastAsia="zh-CN"/>
        </w:rPr>
        <w:t>8</w:t>
      </w:r>
      <w:r>
        <w:rPr>
          <w:rFonts w:hint="eastAsia" w:ascii="仿宋" w:hAnsi="仿宋" w:eastAsia="仿宋" w:cs="仿宋"/>
          <w:sz w:val="24"/>
          <w:szCs w:val="24"/>
        </w:rPr>
        <w:fldChar w:fldCharType="end"/>
      </w:r>
    </w:p>
    <w:p w14:paraId="58E1C1FA">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_Toc820 </w:instrText>
      </w:r>
      <w:r>
        <w:rPr>
          <w:rFonts w:hint="eastAsia" w:ascii="仿宋" w:hAnsi="仿宋" w:eastAsia="仿宋" w:cs="仿宋"/>
          <w:sz w:val="24"/>
          <w:szCs w:val="24"/>
        </w:rPr>
        <w:fldChar w:fldCharType="separate"/>
      </w:r>
      <w:r>
        <w:rPr>
          <w:rFonts w:hint="eastAsia" w:ascii="仿宋" w:hAnsi="仿宋" w:eastAsia="仿宋" w:cs="仿宋"/>
          <w:sz w:val="24"/>
          <w:szCs w:val="24"/>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7E0B2A1D">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_Toc12970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14:paraId="7E6985B5">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_Toc31699 </w:instrText>
      </w:r>
      <w:r>
        <w:rPr>
          <w:rFonts w:hint="eastAsia" w:ascii="仿宋" w:hAnsi="仿宋" w:eastAsia="仿宋" w:cs="仿宋"/>
          <w:sz w:val="24"/>
          <w:szCs w:val="24"/>
        </w:rPr>
        <w:fldChar w:fldCharType="separate"/>
      </w:r>
      <w:r>
        <w:rPr>
          <w:rFonts w:hint="eastAsia" w:ascii="仿宋" w:hAnsi="仿宋" w:eastAsia="仿宋" w:cs="仿宋"/>
          <w:sz w:val="24"/>
          <w:szCs w:val="24"/>
        </w:rPr>
        <w:t>七、财政拨款“三公”经费支出决算情况说明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14:paraId="22AC8EEC">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_Toc10223 </w:instrText>
      </w:r>
      <w:r>
        <w:rPr>
          <w:rFonts w:hint="eastAsia" w:ascii="仿宋" w:hAnsi="仿宋" w:eastAsia="仿宋" w:cs="仿宋"/>
          <w:sz w:val="24"/>
          <w:szCs w:val="24"/>
        </w:rPr>
        <w:fldChar w:fldCharType="separate"/>
      </w:r>
      <w:r>
        <w:rPr>
          <w:rFonts w:hint="eastAsia" w:ascii="仿宋" w:hAnsi="仿宋" w:eastAsia="仿宋" w:cs="仿宋"/>
          <w:sz w:val="24"/>
          <w:szCs w:val="24"/>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1BE4E5BE">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_Toc22472 </w:instrText>
      </w:r>
      <w:r>
        <w:rPr>
          <w:rFonts w:hint="eastAsia" w:ascii="仿宋" w:hAnsi="仿宋" w:eastAsia="仿宋" w:cs="仿宋"/>
          <w:sz w:val="24"/>
          <w:szCs w:val="24"/>
        </w:rPr>
        <w:fldChar w:fldCharType="separate"/>
      </w:r>
      <w:r>
        <w:rPr>
          <w:rFonts w:hint="eastAsia" w:ascii="仿宋" w:hAnsi="仿宋" w:eastAsia="仿宋" w:cs="仿宋"/>
          <w:sz w:val="24"/>
          <w:szCs w:val="24"/>
        </w:rPr>
        <w:t>九、 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2C776685">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_Toc2786 </w:instrText>
      </w:r>
      <w:r>
        <w:rPr>
          <w:rFonts w:hint="eastAsia" w:ascii="仿宋" w:hAnsi="仿宋" w:eastAsia="仿宋" w:cs="仿宋"/>
          <w:sz w:val="24"/>
          <w:szCs w:val="24"/>
        </w:rPr>
        <w:fldChar w:fldCharType="separate"/>
      </w:r>
      <w:r>
        <w:rPr>
          <w:rFonts w:hint="eastAsia" w:ascii="仿宋" w:hAnsi="仿宋" w:eastAsia="仿宋" w:cs="仿宋"/>
          <w:sz w:val="24"/>
          <w:szCs w:val="24"/>
        </w:rPr>
        <w:t>十、 其他重要事项的情况说明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47EF99BC">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_Toc19475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第三部分 名词解释</w:t>
      </w:r>
      <w:r>
        <w:rPr>
          <w:rFonts w:hint="eastAsia" w:ascii="仿宋" w:hAnsi="仿宋" w:eastAsia="仿宋" w:cs="仿宋"/>
          <w:b w:val="0"/>
          <w:bCs/>
          <w:sz w:val="24"/>
          <w:szCs w:val="24"/>
        </w:rPr>
        <w:tab/>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lang w:val="en-US" w:eastAsia="zh-CN"/>
        </w:rPr>
        <w:t>4</w:t>
      </w:r>
    </w:p>
    <w:p w14:paraId="649F5A16">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_Toc19991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第四部分 附件</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_Toc19991 \h </w:instrText>
      </w:r>
      <w:r>
        <w:rPr>
          <w:rFonts w:hint="eastAsia" w:ascii="仿宋" w:hAnsi="仿宋" w:eastAsia="仿宋" w:cs="仿宋"/>
          <w:b w:val="0"/>
          <w:bCs/>
          <w:sz w:val="24"/>
          <w:szCs w:val="24"/>
        </w:rPr>
        <w:fldChar w:fldCharType="separate"/>
      </w:r>
      <w:r>
        <w:rPr>
          <w:b/>
        </w:rPr>
        <w:t>错误！未定义书签。</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fldChar w:fldCharType="end"/>
      </w:r>
    </w:p>
    <w:p w14:paraId="58EA653E">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_Toc30927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第五部分 附表</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_Toc30927 \h </w:instrText>
      </w:r>
      <w:r>
        <w:rPr>
          <w:rFonts w:hint="eastAsia" w:ascii="仿宋" w:hAnsi="仿宋" w:eastAsia="仿宋" w:cs="仿宋"/>
          <w:b w:val="0"/>
          <w:bCs/>
          <w:sz w:val="24"/>
          <w:szCs w:val="24"/>
        </w:rPr>
        <w:fldChar w:fldCharType="separate"/>
      </w:r>
      <w:r>
        <w:rPr>
          <w:b/>
        </w:rPr>
        <w:t>错误！未定义书签。</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fldChar w:fldCharType="end"/>
      </w:r>
    </w:p>
    <w:p w14:paraId="60F8E5E0">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_Toc11486 </w:instrText>
      </w:r>
      <w:r>
        <w:rPr>
          <w:rFonts w:hint="eastAsia" w:ascii="仿宋" w:hAnsi="仿宋" w:eastAsia="仿宋" w:cs="仿宋"/>
          <w:sz w:val="24"/>
          <w:szCs w:val="24"/>
        </w:rPr>
        <w:fldChar w:fldCharType="separate"/>
      </w:r>
      <w:r>
        <w:rPr>
          <w:rFonts w:hint="eastAsia" w:ascii="仿宋" w:hAnsi="仿宋" w:eastAsia="仿宋" w:cs="仿宋"/>
          <w:sz w:val="24"/>
          <w:szCs w:val="24"/>
        </w:rPr>
        <w:t>一、收入支出决算总表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_Toc11486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65D93F">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_Toc5884 </w:instrText>
      </w:r>
      <w:r>
        <w:rPr>
          <w:rFonts w:hint="eastAsia" w:ascii="仿宋" w:hAnsi="仿宋" w:eastAsia="仿宋" w:cs="仿宋"/>
          <w:sz w:val="24"/>
          <w:szCs w:val="24"/>
        </w:rPr>
        <w:fldChar w:fldCharType="separate"/>
      </w:r>
      <w:r>
        <w:rPr>
          <w:rFonts w:hint="eastAsia" w:ascii="仿宋" w:hAnsi="仿宋" w:eastAsia="仿宋" w:cs="仿宋"/>
          <w:sz w:val="24"/>
          <w:szCs w:val="24"/>
        </w:rPr>
        <w:t>二、收入决算表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_Toc5884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C455B0">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_Toc24111 </w:instrText>
      </w:r>
      <w:r>
        <w:rPr>
          <w:rFonts w:hint="eastAsia" w:ascii="仿宋" w:hAnsi="仿宋" w:eastAsia="仿宋" w:cs="仿宋"/>
          <w:sz w:val="24"/>
          <w:szCs w:val="24"/>
        </w:rPr>
        <w:fldChar w:fldCharType="separate"/>
      </w:r>
      <w:r>
        <w:rPr>
          <w:rFonts w:hint="eastAsia" w:ascii="仿宋" w:hAnsi="仿宋" w:eastAsia="仿宋" w:cs="仿宋"/>
          <w:sz w:val="24"/>
          <w:szCs w:val="24"/>
        </w:rPr>
        <w:t>三、支出决算表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_Toc24111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4BA5B1">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_Toc28317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_Toc28317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ED1B927">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_Toc26418 </w:instrText>
      </w:r>
      <w:r>
        <w:rPr>
          <w:rFonts w:hint="eastAsia" w:ascii="仿宋" w:hAnsi="仿宋" w:eastAsia="仿宋" w:cs="仿宋"/>
          <w:sz w:val="24"/>
          <w:szCs w:val="24"/>
        </w:rPr>
        <w:fldChar w:fldCharType="separate"/>
      </w:r>
      <w:r>
        <w:rPr>
          <w:rFonts w:hint="eastAsia" w:ascii="仿宋" w:hAnsi="仿宋" w:eastAsia="仿宋" w:cs="仿宋"/>
          <w:sz w:val="24"/>
          <w:szCs w:val="24"/>
        </w:rPr>
        <w:t>五、财政拨款支出决算明细表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_Toc26418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8B68007">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_Toc11274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_Toc11274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B95E7E">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_Toc3368 </w:instrText>
      </w:r>
      <w:r>
        <w:rPr>
          <w:rFonts w:hint="eastAsia" w:ascii="仿宋" w:hAnsi="仿宋" w:eastAsia="仿宋" w:cs="仿宋"/>
          <w:sz w:val="24"/>
          <w:szCs w:val="24"/>
        </w:rPr>
        <w:fldChar w:fldCharType="separate"/>
      </w:r>
      <w:r>
        <w:rPr>
          <w:rFonts w:hint="eastAsia" w:ascii="仿宋" w:hAnsi="仿宋" w:eastAsia="仿宋" w:cs="仿宋"/>
          <w:sz w:val="24"/>
          <w:szCs w:val="24"/>
        </w:rPr>
        <w:t>七、一般公共预算财政拨款支出决算明细表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_Toc3368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2C3265">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_Toc26759 </w:instrText>
      </w:r>
      <w:r>
        <w:rPr>
          <w:rFonts w:hint="eastAsia" w:ascii="仿宋" w:hAnsi="仿宋" w:eastAsia="仿宋" w:cs="仿宋"/>
          <w:sz w:val="24"/>
          <w:szCs w:val="24"/>
        </w:rPr>
        <w:fldChar w:fldCharType="separate"/>
      </w:r>
      <w:r>
        <w:rPr>
          <w:rFonts w:hint="eastAsia" w:ascii="仿宋" w:hAnsi="仿宋" w:eastAsia="仿宋" w:cs="仿宋"/>
          <w:sz w:val="24"/>
          <w:szCs w:val="24"/>
        </w:rPr>
        <w:t>八、一般公共预算财政拨款基本支出决算表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_Toc26759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6C18BDE">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_Toc28976 </w:instrText>
      </w:r>
      <w:r>
        <w:rPr>
          <w:rFonts w:hint="eastAsia" w:ascii="仿宋" w:hAnsi="仿宋" w:eastAsia="仿宋" w:cs="仿宋"/>
          <w:sz w:val="24"/>
          <w:szCs w:val="24"/>
        </w:rPr>
        <w:fldChar w:fldCharType="separate"/>
      </w:r>
      <w:r>
        <w:rPr>
          <w:rFonts w:hint="eastAsia" w:ascii="仿宋" w:hAnsi="仿宋" w:eastAsia="仿宋" w:cs="仿宋"/>
          <w:sz w:val="24"/>
          <w:szCs w:val="24"/>
        </w:rPr>
        <w:t>九、一般公共预算财政拨款项目支出决算表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_Toc28976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C4286B1">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_Toc536 </w:instrText>
      </w:r>
      <w:r>
        <w:rPr>
          <w:rFonts w:hint="eastAsia" w:ascii="仿宋" w:hAnsi="仿宋" w:eastAsia="仿宋" w:cs="仿宋"/>
          <w:sz w:val="24"/>
          <w:szCs w:val="24"/>
        </w:rPr>
        <w:fldChar w:fldCharType="separate"/>
      </w:r>
      <w:r>
        <w:rPr>
          <w:rFonts w:hint="eastAsia" w:ascii="仿宋" w:hAnsi="仿宋" w:eastAsia="仿宋" w:cs="仿宋"/>
          <w:sz w:val="24"/>
          <w:szCs w:val="24"/>
        </w:rPr>
        <w:t>十、政府性基金预算财政拨款收入支出决算表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_Toc536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2381C3">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_Toc7468 </w:instrText>
      </w:r>
      <w:r>
        <w:rPr>
          <w:rFonts w:hint="eastAsia" w:ascii="仿宋" w:hAnsi="仿宋" w:eastAsia="仿宋" w:cs="仿宋"/>
          <w:sz w:val="24"/>
          <w:szCs w:val="24"/>
        </w:rPr>
        <w:fldChar w:fldCharType="separate"/>
      </w:r>
      <w:r>
        <w:rPr>
          <w:rFonts w:hint="eastAsia" w:ascii="仿宋" w:hAnsi="仿宋" w:eastAsia="仿宋" w:cs="仿宋"/>
          <w:sz w:val="24"/>
          <w:szCs w:val="24"/>
        </w:rPr>
        <w:t>十一、国有资本经营预算财政拨款收入支出决算表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_Toc7468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ECCA101">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_Toc14135 </w:instrText>
      </w:r>
      <w:r>
        <w:rPr>
          <w:rFonts w:hint="eastAsia" w:ascii="仿宋" w:hAnsi="仿宋" w:eastAsia="仿宋" w:cs="仿宋"/>
          <w:sz w:val="24"/>
          <w:szCs w:val="24"/>
        </w:rPr>
        <w:fldChar w:fldCharType="separate"/>
      </w:r>
      <w:r>
        <w:rPr>
          <w:rFonts w:hint="eastAsia" w:ascii="仿宋" w:hAnsi="仿宋" w:eastAsia="仿宋" w:cs="仿宋"/>
          <w:sz w:val="24"/>
          <w:szCs w:val="24"/>
        </w:rPr>
        <w:t>十二、国有资本经营预算财政拨款支出决算表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_Toc14135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7221E4">
      <w:pPr>
        <w:pStyle w:val="38"/>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_Toc26928 </w:instrText>
      </w:r>
      <w:r>
        <w:rPr>
          <w:rFonts w:hint="eastAsia" w:ascii="仿宋" w:hAnsi="仿宋" w:eastAsia="仿宋" w:cs="仿宋"/>
          <w:sz w:val="24"/>
          <w:szCs w:val="24"/>
        </w:rPr>
        <w:fldChar w:fldCharType="separate"/>
      </w:r>
      <w:r>
        <w:rPr>
          <w:rFonts w:hint="eastAsia" w:ascii="仿宋" w:hAnsi="仿宋" w:eastAsia="仿宋" w:cs="仿宋"/>
          <w:sz w:val="24"/>
          <w:szCs w:val="24"/>
        </w:rPr>
        <w:t>十三、财政拨款“三公”经费支出决算表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_Toc26928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DC5420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sz w:val="32"/>
          <w:szCs w:val="32"/>
        </w:rPr>
      </w:pPr>
      <w:r>
        <w:rPr>
          <w:rFonts w:hint="eastAsia" w:ascii="仿宋" w:hAnsi="仿宋" w:eastAsia="仿宋" w:cs="仿宋"/>
          <w:b/>
          <w:sz w:val="32"/>
          <w:szCs w:val="32"/>
        </w:rPr>
        <w:fldChar w:fldCharType="end"/>
      </w:r>
    </w:p>
    <w:p w14:paraId="79261710">
      <w:pPr>
        <w:rPr>
          <w:rFonts w:hint="eastAsia" w:ascii="仿宋" w:hAnsi="仿宋" w:eastAsia="仿宋" w:cs="仿宋"/>
          <w:b/>
          <w:sz w:val="32"/>
          <w:szCs w:val="32"/>
        </w:rPr>
      </w:pPr>
    </w:p>
    <w:p w14:paraId="43DD1099">
      <w:pPr>
        <w:pStyle w:val="5"/>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br w:type="page"/>
      </w:r>
      <w:r>
        <w:rPr>
          <w:rFonts w:hint="eastAsia" w:eastAsia="方正小标宋简体" w:cs="方正小标宋简体"/>
          <w:b w:val="0"/>
          <w:lang w:val="en-US" w:eastAsia="zh-CN"/>
        </w:rPr>
        <w:t>第一部分  单位概况</w:t>
      </w:r>
      <w:bookmarkEnd w:id="7"/>
      <w:bookmarkEnd w:id="8"/>
    </w:p>
    <w:p w14:paraId="5BA30EB9">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lang w:val="en-US" w:eastAsia="zh-CN"/>
        </w:rPr>
      </w:pPr>
      <w:bookmarkStart w:id="9" w:name="_Toc32339"/>
      <w:bookmarkStart w:id="10" w:name="_Toc25891"/>
      <w:r>
        <w:rPr>
          <w:rFonts w:hint="eastAsia" w:ascii="Times New Roman" w:hAnsi="Times New Roman" w:eastAsia="黑体"/>
          <w:b w:val="0"/>
          <w:lang w:val="en-US" w:eastAsia="zh-CN"/>
        </w:rPr>
        <w:t>一、主要职责</w:t>
      </w:r>
      <w:bookmarkEnd w:id="9"/>
      <w:bookmarkEnd w:id="10"/>
    </w:p>
    <w:p w14:paraId="24016BC8">
      <w:pPr>
        <w:pStyle w:val="6"/>
        <w:pageBreakBefore w:val="0"/>
        <w:widowControl w:val="0"/>
        <w:numPr>
          <w:ilvl w:val="0"/>
          <w:numId w:val="0"/>
        </w:numPr>
        <w:kinsoku/>
        <w:wordWrap/>
        <w:overflowPunct/>
        <w:topLinePunct w:val="0"/>
        <w:autoSpaceDE/>
        <w:autoSpaceDN/>
        <w:bidi w:val="0"/>
        <w:adjustRightInd/>
        <w:snapToGrid/>
        <w:spacing w:before="0" w:after="0" w:line="240" w:lineRule="atLeast"/>
        <w:ind w:firstLine="640" w:firstLineChars="200"/>
        <w:textAlignment w:val="auto"/>
        <w:rPr>
          <w:rFonts w:hint="eastAsia" w:ascii="仿宋" w:hAnsi="仿宋" w:eastAsia="仿宋" w:cs="仿宋"/>
          <w:b w:val="0"/>
          <w:bCs w:val="0"/>
          <w:kern w:val="2"/>
          <w:sz w:val="32"/>
          <w:szCs w:val="32"/>
        </w:rPr>
      </w:pPr>
      <w:bookmarkStart w:id="11" w:name="_Toc6580"/>
      <w:bookmarkStart w:id="12" w:name="_Toc6403"/>
      <w:bookmarkStart w:id="13" w:name="_Toc22515"/>
      <w:bookmarkStart w:id="14" w:name="_Toc22572"/>
      <w:bookmarkStart w:id="15" w:name="_Toc27116"/>
      <w:r>
        <w:rPr>
          <w:rFonts w:hint="eastAsia" w:ascii="仿宋" w:hAnsi="仿宋" w:eastAsia="仿宋" w:cs="仿宋"/>
          <w:b w:val="0"/>
          <w:bCs w:val="0"/>
          <w:kern w:val="2"/>
          <w:sz w:val="32"/>
          <w:szCs w:val="32"/>
          <w:lang w:val="en-US" w:eastAsia="zh-CN"/>
        </w:rPr>
        <w:t>1.</w:t>
      </w:r>
      <w:r>
        <w:rPr>
          <w:rFonts w:hint="eastAsia" w:ascii="仿宋" w:hAnsi="仿宋" w:eastAsia="仿宋" w:cs="仿宋"/>
          <w:b w:val="0"/>
          <w:bCs w:val="0"/>
          <w:kern w:val="2"/>
          <w:sz w:val="32"/>
          <w:szCs w:val="32"/>
        </w:rPr>
        <w:t>认真贯彻《四川省中小学办学行为规范》，不断规范学校办学行为，切实</w:t>
      </w:r>
      <w:r>
        <w:rPr>
          <w:rFonts w:hint="eastAsia" w:ascii="仿宋" w:hAnsi="仿宋" w:eastAsia="仿宋" w:cs="仿宋"/>
          <w:b w:val="0"/>
          <w:bCs w:val="0"/>
          <w:kern w:val="2"/>
          <w:sz w:val="32"/>
          <w:szCs w:val="32"/>
          <w:lang w:eastAsia="zh-CN"/>
        </w:rPr>
        <w:t>增强</w:t>
      </w:r>
      <w:r>
        <w:rPr>
          <w:rFonts w:hint="eastAsia" w:ascii="仿宋" w:hAnsi="仿宋" w:eastAsia="仿宋" w:cs="仿宋"/>
          <w:b w:val="0"/>
          <w:bCs w:val="0"/>
          <w:kern w:val="2"/>
          <w:sz w:val="32"/>
          <w:szCs w:val="32"/>
        </w:rPr>
        <w:t>教师规范从教的意识，促进办学水平的不断提升，为争创示范乡镇小学而努力。努力</w:t>
      </w:r>
      <w:r>
        <w:rPr>
          <w:rFonts w:hint="eastAsia" w:ascii="仿宋" w:hAnsi="仿宋" w:eastAsia="仿宋" w:cs="仿宋"/>
          <w:b w:val="0"/>
          <w:bCs w:val="0"/>
          <w:kern w:val="2"/>
          <w:sz w:val="32"/>
          <w:szCs w:val="32"/>
          <w:lang w:eastAsia="zh-CN"/>
        </w:rPr>
        <w:t>办好人民满意的教育</w:t>
      </w:r>
      <w:r>
        <w:rPr>
          <w:rFonts w:hint="eastAsia" w:ascii="仿宋" w:hAnsi="仿宋" w:eastAsia="仿宋" w:cs="仿宋"/>
          <w:b w:val="0"/>
          <w:bCs w:val="0"/>
          <w:kern w:val="2"/>
          <w:sz w:val="32"/>
          <w:szCs w:val="32"/>
        </w:rPr>
        <w:t>。</w:t>
      </w:r>
      <w:bookmarkEnd w:id="11"/>
      <w:bookmarkEnd w:id="12"/>
      <w:bookmarkEnd w:id="13"/>
      <w:bookmarkEnd w:id="14"/>
      <w:bookmarkEnd w:id="15"/>
    </w:p>
    <w:p w14:paraId="7EC5F270">
      <w:pPr>
        <w:pStyle w:val="6"/>
        <w:pageBreakBefore w:val="0"/>
        <w:widowControl w:val="0"/>
        <w:numPr>
          <w:ilvl w:val="0"/>
          <w:numId w:val="0"/>
        </w:numPr>
        <w:kinsoku/>
        <w:wordWrap/>
        <w:overflowPunct/>
        <w:topLinePunct w:val="0"/>
        <w:autoSpaceDE/>
        <w:autoSpaceDN/>
        <w:bidi w:val="0"/>
        <w:adjustRightInd/>
        <w:snapToGrid/>
        <w:spacing w:before="0" w:after="0" w:line="240" w:lineRule="atLeast"/>
        <w:ind w:firstLine="640" w:firstLineChars="200"/>
        <w:textAlignment w:val="auto"/>
        <w:rPr>
          <w:rFonts w:hint="eastAsia" w:ascii="仿宋" w:hAnsi="仿宋" w:eastAsia="仿宋" w:cs="仿宋"/>
          <w:b w:val="0"/>
          <w:bCs w:val="0"/>
          <w:sz w:val="32"/>
          <w:szCs w:val="32"/>
          <w:shd w:val="clear" w:color="auto" w:fill="FFFFFF"/>
          <w:lang w:eastAsia="zh-CN"/>
        </w:rPr>
      </w:pPr>
      <w:bookmarkStart w:id="16" w:name="_Toc30227"/>
      <w:bookmarkStart w:id="17" w:name="_Toc11351"/>
      <w:bookmarkStart w:id="18" w:name="_Toc4293"/>
      <w:bookmarkStart w:id="19" w:name="_Toc18703"/>
      <w:bookmarkStart w:id="20" w:name="_Toc18281"/>
      <w:r>
        <w:rPr>
          <w:rFonts w:hint="eastAsia" w:ascii="仿宋" w:hAnsi="仿宋" w:eastAsia="仿宋" w:cs="仿宋"/>
          <w:b w:val="0"/>
          <w:bCs w:val="0"/>
          <w:sz w:val="32"/>
          <w:szCs w:val="32"/>
          <w:shd w:val="clear" w:color="auto" w:fill="FFFFFF"/>
        </w:rPr>
        <w:t>2</w:t>
      </w:r>
      <w:r>
        <w:rPr>
          <w:rFonts w:hint="eastAsia" w:ascii="仿宋" w:hAnsi="仿宋" w:eastAsia="仿宋" w:cs="仿宋"/>
          <w:b w:val="0"/>
          <w:bCs w:val="0"/>
          <w:sz w:val="32"/>
          <w:szCs w:val="32"/>
          <w:shd w:val="clear" w:color="auto" w:fill="FFFFFF"/>
          <w:lang w:val="en-US" w:eastAsia="zh-CN"/>
        </w:rPr>
        <w:t>.</w:t>
      </w:r>
      <w:r>
        <w:rPr>
          <w:rFonts w:hint="eastAsia" w:ascii="仿宋" w:hAnsi="仿宋" w:eastAsia="仿宋" w:cs="仿宋"/>
          <w:b w:val="0"/>
          <w:bCs w:val="0"/>
          <w:sz w:val="32"/>
          <w:szCs w:val="32"/>
          <w:shd w:val="clear" w:color="auto" w:fill="FFFFFF"/>
        </w:rPr>
        <w:t>维护学校的正常教育教学秩序，为学生创造良好的学习环境</w:t>
      </w:r>
      <w:r>
        <w:rPr>
          <w:rFonts w:hint="eastAsia" w:ascii="仿宋" w:hAnsi="仿宋" w:eastAsia="仿宋" w:cs="仿宋"/>
          <w:b w:val="0"/>
          <w:bCs w:val="0"/>
          <w:sz w:val="32"/>
          <w:szCs w:val="32"/>
          <w:shd w:val="clear" w:color="auto" w:fill="FFFFFF"/>
          <w:lang w:eastAsia="zh-CN"/>
        </w:rPr>
        <w:t>。</w:t>
      </w:r>
      <w:bookmarkEnd w:id="16"/>
      <w:bookmarkEnd w:id="17"/>
      <w:bookmarkEnd w:id="18"/>
      <w:bookmarkEnd w:id="19"/>
      <w:bookmarkEnd w:id="20"/>
    </w:p>
    <w:p w14:paraId="01872226">
      <w:pPr>
        <w:pStyle w:val="6"/>
        <w:pageBreakBefore w:val="0"/>
        <w:widowControl w:val="0"/>
        <w:numPr>
          <w:ilvl w:val="0"/>
          <w:numId w:val="0"/>
        </w:numPr>
        <w:kinsoku/>
        <w:wordWrap/>
        <w:overflowPunct/>
        <w:topLinePunct w:val="0"/>
        <w:autoSpaceDE/>
        <w:autoSpaceDN/>
        <w:bidi w:val="0"/>
        <w:adjustRightInd/>
        <w:snapToGrid/>
        <w:spacing w:before="0" w:after="0" w:line="240" w:lineRule="atLeast"/>
        <w:ind w:firstLine="640" w:firstLineChars="200"/>
        <w:textAlignment w:val="auto"/>
        <w:rPr>
          <w:rFonts w:hint="eastAsia" w:ascii="仿宋" w:hAnsi="仿宋" w:eastAsia="仿宋" w:cs="仿宋"/>
          <w:b w:val="0"/>
          <w:bCs w:val="0"/>
          <w:sz w:val="32"/>
          <w:szCs w:val="32"/>
          <w:shd w:val="clear" w:color="auto" w:fill="FFFFFF"/>
          <w:lang w:val="en-US" w:eastAsia="zh-CN"/>
        </w:rPr>
      </w:pPr>
      <w:bookmarkStart w:id="21" w:name="_Toc9478"/>
      <w:bookmarkStart w:id="22" w:name="_Toc25249"/>
      <w:bookmarkStart w:id="23" w:name="_Toc27728"/>
      <w:bookmarkStart w:id="24" w:name="_Toc31386"/>
      <w:bookmarkStart w:id="25" w:name="_Toc20020"/>
      <w:r>
        <w:rPr>
          <w:rFonts w:hint="eastAsia" w:ascii="仿宋" w:hAnsi="仿宋" w:eastAsia="仿宋" w:cs="仿宋"/>
          <w:b w:val="0"/>
          <w:bCs w:val="0"/>
          <w:sz w:val="32"/>
          <w:szCs w:val="32"/>
          <w:shd w:val="clear" w:color="auto" w:fill="FFFFFF"/>
        </w:rPr>
        <w:t>3</w:t>
      </w:r>
      <w:r>
        <w:rPr>
          <w:rFonts w:hint="eastAsia" w:ascii="仿宋" w:hAnsi="仿宋" w:eastAsia="仿宋" w:cs="仿宋"/>
          <w:b w:val="0"/>
          <w:bCs w:val="0"/>
          <w:sz w:val="32"/>
          <w:szCs w:val="32"/>
          <w:shd w:val="clear" w:color="auto" w:fill="FFFFFF"/>
          <w:lang w:val="en-US" w:eastAsia="zh-CN"/>
        </w:rPr>
        <w:t>.</w:t>
      </w:r>
      <w:r>
        <w:rPr>
          <w:rFonts w:hint="eastAsia" w:ascii="仿宋" w:hAnsi="仿宋" w:eastAsia="仿宋" w:cs="仿宋"/>
          <w:b w:val="0"/>
          <w:bCs w:val="0"/>
          <w:sz w:val="32"/>
          <w:szCs w:val="32"/>
          <w:shd w:val="clear" w:color="auto" w:fill="FFFFFF"/>
        </w:rPr>
        <w:t>研究拟定学校发展规划和年度计划，组织实施教育体制和办学体制改革。积极稳妥地推进教育改革，按教育规律办事，不断提高教育质量</w:t>
      </w:r>
      <w:r>
        <w:rPr>
          <w:rFonts w:hint="eastAsia" w:ascii="仿宋" w:hAnsi="仿宋" w:eastAsia="仿宋" w:cs="仿宋"/>
          <w:b w:val="0"/>
          <w:bCs w:val="0"/>
          <w:sz w:val="32"/>
          <w:szCs w:val="32"/>
          <w:shd w:val="clear" w:color="auto" w:fill="FFFFFF"/>
          <w:lang w:eastAsia="zh-CN"/>
        </w:rPr>
        <w:t>。</w:t>
      </w:r>
      <w:bookmarkEnd w:id="21"/>
      <w:bookmarkEnd w:id="22"/>
      <w:bookmarkEnd w:id="23"/>
      <w:bookmarkEnd w:id="24"/>
      <w:bookmarkEnd w:id="25"/>
    </w:p>
    <w:p w14:paraId="5F0C82DC">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根据学校规模，科学设置学校管理机构，建立健全各项规章制度和岗位责任制。</w:t>
      </w:r>
    </w:p>
    <w:p w14:paraId="3A661FA0">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管理和指导学校基础教育工作，坚持教书育人，服务育人，环境育人方针，规划学校品德教育、体育卫生教育、艺术教育和国防教育等工作，使学生的</w:t>
      </w:r>
      <w:r>
        <w:rPr>
          <w:rFonts w:hint="eastAsia" w:ascii="仿宋" w:hAnsi="仿宋" w:eastAsia="仿宋" w:cs="仿宋"/>
          <w:sz w:val="32"/>
          <w:szCs w:val="32"/>
          <w:shd w:val="clear" w:color="auto" w:fill="FFFFFF"/>
          <w:lang w:eastAsia="zh-CN"/>
        </w:rPr>
        <w:t>德智体美劳全面发展</w:t>
      </w:r>
      <w:r>
        <w:rPr>
          <w:rFonts w:hint="eastAsia" w:ascii="仿宋" w:hAnsi="仿宋" w:eastAsia="仿宋" w:cs="仿宋"/>
          <w:sz w:val="32"/>
          <w:szCs w:val="32"/>
          <w:shd w:val="clear" w:color="auto" w:fill="FFFFFF"/>
        </w:rPr>
        <w:t xml:space="preserve">。 </w:t>
      </w:r>
    </w:p>
    <w:p w14:paraId="680544EB">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6</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抓好教师队伍建设，使每个教师都热心于教育事业</w:t>
      </w:r>
      <w:r>
        <w:rPr>
          <w:rFonts w:hint="eastAsia" w:ascii="仿宋" w:hAnsi="仿宋" w:eastAsia="仿宋" w:cs="仿宋"/>
          <w:sz w:val="32"/>
          <w:szCs w:val="32"/>
          <w:shd w:val="clear" w:color="auto" w:fill="FFFFFF"/>
          <w:lang w:eastAsia="zh-CN"/>
        </w:rPr>
        <w:t>。</w:t>
      </w:r>
    </w:p>
    <w:p w14:paraId="6A4F7C6E">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7</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负责做好社会治安综合治理及安全保卫工作，保证师生的人身安全及学校财产安全</w:t>
      </w:r>
      <w:r>
        <w:rPr>
          <w:rFonts w:hint="eastAsia" w:ascii="仿宋" w:hAnsi="仿宋" w:eastAsia="仿宋" w:cs="仿宋"/>
          <w:sz w:val="32"/>
          <w:szCs w:val="32"/>
          <w:shd w:val="clear" w:color="auto" w:fill="FFFFFF"/>
          <w:lang w:eastAsia="zh-CN"/>
        </w:rPr>
        <w:t>。</w:t>
      </w:r>
    </w:p>
    <w:p w14:paraId="5035904D">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8</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严格管理学校教育经费，严格执行财务管理制度。</w:t>
      </w:r>
    </w:p>
    <w:p w14:paraId="544EB8C8">
      <w:pPr>
        <w:pStyle w:val="8"/>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color w:val="auto"/>
          <w:kern w:val="2"/>
          <w:sz w:val="32"/>
          <w:szCs w:val="32"/>
          <w:lang w:val="zh-CN"/>
        </w:rPr>
      </w:pPr>
      <w:r>
        <w:rPr>
          <w:rFonts w:hint="eastAsia" w:ascii="仿宋" w:hAnsi="仿宋" w:eastAsia="仿宋" w:cs="仿宋"/>
          <w:kern w:val="2"/>
          <w:sz w:val="32"/>
          <w:szCs w:val="32"/>
          <w:lang w:val="en-US" w:eastAsia="zh-CN"/>
        </w:rPr>
        <w:t>9.</w:t>
      </w:r>
      <w:r>
        <w:rPr>
          <w:rFonts w:hint="eastAsia" w:ascii="仿宋" w:hAnsi="仿宋" w:eastAsia="仿宋" w:cs="仿宋"/>
          <w:kern w:val="2"/>
          <w:sz w:val="32"/>
          <w:szCs w:val="32"/>
        </w:rPr>
        <w:t>做好送教上门，关心、关爱残疾儿童。</w:t>
      </w:r>
    </w:p>
    <w:p w14:paraId="4B1C6F2A">
      <w:pPr>
        <w:pageBreakBefore w:val="0"/>
        <w:widowControl w:val="0"/>
        <w:kinsoku/>
        <w:wordWrap/>
        <w:overflowPunct/>
        <w:topLinePunct w:val="0"/>
        <w:autoSpaceDE/>
        <w:autoSpaceDN/>
        <w:bidi w:val="0"/>
        <w:textAlignment w:val="auto"/>
      </w:pPr>
    </w:p>
    <w:p w14:paraId="1BE7A5F9">
      <w:pPr>
        <w:pStyle w:val="6"/>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rPr>
      </w:pPr>
      <w:bookmarkStart w:id="26" w:name="_Toc15396601"/>
      <w:bookmarkStart w:id="27" w:name="_Toc25889"/>
      <w:bookmarkStart w:id="28" w:name="_Toc11201"/>
      <w:bookmarkStart w:id="29" w:name="_Toc15377200"/>
      <w:r>
        <w:rPr>
          <w:rFonts w:hint="eastAsia" w:ascii="Times New Roman" w:hAnsi="Times New Roman" w:eastAsia="黑体"/>
          <w:b w:val="0"/>
        </w:rPr>
        <w:t>二、机构设置</w:t>
      </w:r>
      <w:bookmarkEnd w:id="26"/>
      <w:bookmarkEnd w:id="27"/>
      <w:bookmarkEnd w:id="28"/>
      <w:bookmarkEnd w:id="29"/>
    </w:p>
    <w:p w14:paraId="58B46E99">
      <w:pPr>
        <w:pStyle w:val="6"/>
        <w:keepNext/>
        <w:keepLines/>
        <w:pageBreakBefore w:val="0"/>
        <w:widowControl w:val="0"/>
        <w:kinsoku/>
        <w:wordWrap/>
        <w:overflowPunct/>
        <w:topLinePunct w:val="0"/>
        <w:autoSpaceDE/>
        <w:autoSpaceDN/>
        <w:bidi w:val="0"/>
        <w:spacing w:before="0" w:after="0" w:line="576" w:lineRule="exact"/>
        <w:ind w:firstLine="640"/>
        <w:jc w:val="both"/>
        <w:textAlignment w:val="auto"/>
        <w:rPr>
          <w:rFonts w:hint="eastAsia" w:ascii="仿宋" w:hAnsi="仿宋" w:eastAsia="仿宋" w:cs="仿宋"/>
          <w:b w:val="0"/>
          <w:bCs w:val="0"/>
          <w:kern w:val="2"/>
          <w:sz w:val="32"/>
          <w:szCs w:val="32"/>
          <w:lang w:val="en-US" w:eastAsia="zh-CN" w:bidi="ar-SA"/>
        </w:rPr>
      </w:pPr>
      <w:bookmarkStart w:id="30" w:name="_Toc14642"/>
      <w:bookmarkStart w:id="31" w:name="_Toc12779"/>
      <w:bookmarkStart w:id="32" w:name="_Toc10348"/>
      <w:bookmarkStart w:id="33" w:name="_Toc24265"/>
      <w:bookmarkStart w:id="34" w:name="_Toc7172"/>
      <w:bookmarkStart w:id="35" w:name="_Toc19041"/>
      <w:bookmarkStart w:id="36" w:name="_Toc10496"/>
      <w:r>
        <w:rPr>
          <w:rFonts w:hint="eastAsia" w:ascii="仿宋" w:hAnsi="仿宋" w:eastAsia="仿宋" w:cs="仿宋"/>
          <w:b w:val="0"/>
          <w:bCs w:val="0"/>
          <w:color w:val="auto"/>
          <w:kern w:val="2"/>
          <w:sz w:val="32"/>
          <w:szCs w:val="32"/>
          <w:lang w:val="en-US" w:eastAsia="zh-CN"/>
        </w:rPr>
        <w:t>峨边彝族自治县沙坪镇中心小学，单位性质为事业单位，属峨边彝族自治县教育局下设二级单位</w:t>
      </w:r>
      <w:r>
        <w:rPr>
          <w:rFonts w:hint="eastAsia" w:ascii="仿宋" w:hAnsi="仿宋" w:eastAsia="仿宋" w:cs="仿宋"/>
          <w:b w:val="0"/>
          <w:bCs w:val="0"/>
          <w:sz w:val="32"/>
          <w:szCs w:val="32"/>
        </w:rPr>
        <w:t>。核定内设机构为：</w:t>
      </w:r>
      <w:r>
        <w:rPr>
          <w:rFonts w:hint="eastAsia" w:ascii="仿宋" w:hAnsi="仿宋" w:eastAsia="仿宋" w:cs="仿宋"/>
          <w:b w:val="0"/>
          <w:bCs w:val="0"/>
          <w:sz w:val="32"/>
          <w:szCs w:val="32"/>
          <w:lang w:val="en-US" w:eastAsia="zh-CN"/>
        </w:rPr>
        <w:t>行政</w:t>
      </w:r>
      <w:r>
        <w:rPr>
          <w:rFonts w:hint="eastAsia" w:ascii="仿宋" w:hAnsi="仿宋" w:eastAsia="仿宋" w:cs="仿宋"/>
          <w:b w:val="0"/>
          <w:bCs w:val="0"/>
          <w:sz w:val="32"/>
          <w:szCs w:val="32"/>
        </w:rPr>
        <w:t>办、教务处、</w:t>
      </w:r>
      <w:r>
        <w:rPr>
          <w:rFonts w:hint="eastAsia" w:ascii="仿宋" w:hAnsi="仿宋" w:eastAsia="仿宋" w:cs="仿宋"/>
          <w:b w:val="0"/>
          <w:bCs w:val="0"/>
          <w:sz w:val="32"/>
          <w:szCs w:val="32"/>
          <w:lang w:eastAsia="zh-CN"/>
        </w:rPr>
        <w:t>少先队</w:t>
      </w:r>
      <w:r>
        <w:rPr>
          <w:rFonts w:hint="eastAsia" w:ascii="仿宋" w:hAnsi="仿宋" w:eastAsia="仿宋" w:cs="仿宋"/>
          <w:b w:val="0"/>
          <w:bCs w:val="0"/>
          <w:sz w:val="32"/>
          <w:szCs w:val="32"/>
        </w:rPr>
        <w:t>、安全办、后勤办</w:t>
      </w:r>
      <w:r>
        <w:rPr>
          <w:rFonts w:hint="eastAsia" w:ascii="仿宋" w:hAnsi="仿宋" w:eastAsia="仿宋" w:cs="仿宋"/>
          <w:b w:val="0"/>
          <w:bCs w:val="0"/>
          <w:sz w:val="32"/>
          <w:szCs w:val="32"/>
          <w:lang w:eastAsia="zh-CN"/>
        </w:rPr>
        <w:t>、德育办</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个部门。</w:t>
      </w:r>
      <w:r>
        <w:rPr>
          <w:rFonts w:hint="eastAsia" w:ascii="仿宋" w:hAnsi="仿宋" w:eastAsia="仿宋" w:cs="仿宋"/>
          <w:b w:val="0"/>
          <w:bCs w:val="0"/>
          <w:kern w:val="2"/>
          <w:sz w:val="32"/>
          <w:szCs w:val="32"/>
          <w:lang w:val="en-US" w:eastAsia="zh-CN" w:bidi="ar-SA"/>
        </w:rPr>
        <w:t>还有3个村教学点，4个村幼儿园教学点。</w:t>
      </w:r>
      <w:bookmarkEnd w:id="30"/>
      <w:bookmarkEnd w:id="31"/>
      <w:bookmarkEnd w:id="32"/>
      <w:bookmarkEnd w:id="33"/>
      <w:bookmarkEnd w:id="34"/>
      <w:bookmarkEnd w:id="35"/>
      <w:bookmarkEnd w:id="36"/>
    </w:p>
    <w:p w14:paraId="75AB7AA5">
      <w:pPr>
        <w:pStyle w:val="2"/>
        <w:rPr>
          <w:rFonts w:hint="eastAsia"/>
        </w:rPr>
      </w:pPr>
    </w:p>
    <w:p w14:paraId="22DE254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64CEECC">
      <w:pPr>
        <w:pStyle w:val="5"/>
        <w:jc w:val="center"/>
        <w:rPr>
          <w:rFonts w:hint="eastAsia" w:ascii="黑体" w:hAnsi="黑体" w:eastAsia="黑体" w:cs="黑体"/>
          <w:color w:val="auto"/>
          <w:highlight w:val="none"/>
        </w:rPr>
      </w:pPr>
      <w:bookmarkStart w:id="37" w:name="_Toc26724"/>
      <w:bookmarkStart w:id="38" w:name="_Toc15396602"/>
      <w:bookmarkStart w:id="39" w:name="_Toc22659"/>
      <w:bookmarkStart w:id="40" w:name="_Toc15377204"/>
      <w:r>
        <w:rPr>
          <w:rFonts w:hint="eastAsia" w:ascii="黑体" w:hAnsi="黑体" w:eastAsia="黑体" w:cs="黑体"/>
          <w:b w:val="0"/>
          <w:color w:val="auto"/>
          <w:highlight w:val="none"/>
        </w:rPr>
        <w:t>第二部分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rPr>
        <w:t>部门决算情况说明</w:t>
      </w:r>
      <w:bookmarkEnd w:id="37"/>
      <w:bookmarkEnd w:id="38"/>
      <w:bookmarkEnd w:id="39"/>
      <w:bookmarkEnd w:id="40"/>
    </w:p>
    <w:p w14:paraId="51CBBCE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41" w:name="_Toc3302"/>
      <w:bookmarkStart w:id="42" w:name="_Toc22891"/>
      <w:bookmarkStart w:id="43" w:name="_Toc15377205"/>
      <w:bookmarkStart w:id="4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41"/>
      <w:bookmarkEnd w:id="42"/>
      <w:bookmarkEnd w:id="43"/>
      <w:bookmarkEnd w:id="44"/>
    </w:p>
    <w:p w14:paraId="33F014D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lang w:val="en-US" w:eastAsia="zh-CN"/>
        </w:rPr>
      </w:pPr>
      <w:bookmarkStart w:id="45" w:name="_Toc22734"/>
      <w:bookmarkStart w:id="46" w:name="_Toc11349"/>
      <w:r>
        <w:rPr>
          <w:rFonts w:hint="eastAsia" w:ascii="仿宋" w:hAnsi="仿宋" w:eastAsia="仿宋" w:cs="仿宋"/>
          <w:color w:val="auto"/>
          <w:sz w:val="32"/>
          <w:szCs w:val="32"/>
          <w:highlight w:val="none"/>
          <w:lang w:eastAsia="zh-CN"/>
        </w:rPr>
        <w:t>2024年度收入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总计</w:t>
      </w:r>
      <w:r>
        <w:rPr>
          <w:rFonts w:hint="eastAsia" w:ascii="仿宋" w:hAnsi="仿宋" w:eastAsia="仿宋" w:cs="仿宋"/>
          <w:color w:val="auto"/>
          <w:sz w:val="32"/>
          <w:szCs w:val="32"/>
          <w:highlight w:val="none"/>
          <w:lang w:eastAsia="zh-CN"/>
        </w:rPr>
        <w:t>均为</w:t>
      </w:r>
      <w:r>
        <w:rPr>
          <w:rFonts w:hint="eastAsia" w:ascii="仿宋" w:hAnsi="仿宋" w:eastAsia="仿宋" w:cs="仿宋"/>
          <w:sz w:val="32"/>
          <w:szCs w:val="32"/>
        </w:rPr>
        <w:t>3083.56</w:t>
      </w:r>
      <w:r>
        <w:rPr>
          <w:rFonts w:hint="eastAsia" w:ascii="仿宋" w:hAnsi="仿宋" w:eastAsia="仿宋" w:cs="仿宋"/>
          <w:color w:val="auto"/>
          <w:sz w:val="32"/>
          <w:szCs w:val="32"/>
          <w:highlight w:val="none"/>
        </w:rPr>
        <w:t>万元。与</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相比，</w:t>
      </w:r>
      <w:r>
        <w:rPr>
          <w:rFonts w:hint="eastAsia" w:ascii="仿宋" w:hAnsi="仿宋" w:eastAsia="仿宋" w:cs="仿宋"/>
          <w:color w:val="auto"/>
          <w:sz w:val="32"/>
          <w:szCs w:val="32"/>
          <w:highlight w:val="none"/>
          <w:lang w:eastAsia="zh-CN"/>
        </w:rPr>
        <w:t>收入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总计各减少</w:t>
      </w:r>
      <w:r>
        <w:rPr>
          <w:rFonts w:hint="eastAsia" w:ascii="仿宋" w:hAnsi="仿宋" w:eastAsia="仿宋" w:cs="仿宋"/>
          <w:color w:val="auto"/>
          <w:sz w:val="32"/>
          <w:szCs w:val="32"/>
          <w:highlight w:val="none"/>
          <w:lang w:val="en-US" w:eastAsia="zh-CN"/>
        </w:rPr>
        <w:t>145.13</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rPr>
        <w:t>%。主要变动原因</w:t>
      </w:r>
      <w:r>
        <w:rPr>
          <w:rFonts w:hint="eastAsia" w:ascii="仿宋" w:hAnsi="仿宋" w:eastAsia="仿宋" w:cs="仿宋"/>
          <w:color w:val="auto"/>
          <w:sz w:val="32"/>
          <w:szCs w:val="32"/>
          <w:highlight w:val="none"/>
          <w:lang w:val="en-US" w:eastAsia="zh-CN"/>
        </w:rPr>
        <w:t>是学校项目资金支出减少。</w:t>
      </w:r>
      <w:bookmarkEnd w:id="45"/>
      <w:bookmarkEnd w:id="46"/>
    </w:p>
    <w:p w14:paraId="6A29C3F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eastAsia="仿宋_GB2312" w:cs="仿宋_GB2312"/>
          <w:color w:val="auto"/>
          <w:sz w:val="32"/>
          <w:szCs w:val="32"/>
          <w:highlight w:val="none"/>
          <w:lang w:val="en-US" w:eastAsia="zh-CN"/>
        </w:rPr>
      </w:pPr>
    </w:p>
    <w:p w14:paraId="2C3575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174625</wp:posOffset>
            </wp:positionH>
            <wp:positionV relativeFrom="paragraph">
              <wp:posOffset>22860</wp:posOffset>
            </wp:positionV>
            <wp:extent cx="5202555" cy="3302635"/>
            <wp:effectExtent l="4445" t="4445" r="12700" b="7620"/>
            <wp:wrapNone/>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3776F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CE700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13CD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08182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FE90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801B5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A30AB5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14:paraId="37F3E5CC">
      <w:pPr>
        <w:pStyle w:val="2"/>
        <w:rPr>
          <w:rFonts w:hint="eastAsia"/>
        </w:rPr>
      </w:pPr>
    </w:p>
    <w:p w14:paraId="6B993B9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7" w:name="_Toc768"/>
      <w:bookmarkStart w:id="48" w:name="_Toc15396604"/>
      <w:bookmarkStart w:id="49" w:name="_Toc15377206"/>
      <w:bookmarkStart w:id="50" w:name="_Toc14487"/>
      <w:r>
        <w:rPr>
          <w:rFonts w:hint="eastAsia" w:ascii="Times New Roman" w:hAnsi="Times New Roman" w:eastAsia="黑体"/>
          <w:color w:val="auto"/>
          <w:sz w:val="32"/>
          <w:szCs w:val="32"/>
          <w:highlight w:val="none"/>
          <w:lang w:eastAsia="zh-CN"/>
        </w:rPr>
        <w:t>二、收入决算情况说明</w:t>
      </w:r>
      <w:bookmarkEnd w:id="47"/>
      <w:bookmarkEnd w:id="48"/>
      <w:bookmarkEnd w:id="49"/>
      <w:bookmarkEnd w:id="50"/>
    </w:p>
    <w:p w14:paraId="44030BF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lang w:eastAsia="zh-CN"/>
        </w:rPr>
      </w:pPr>
      <w:bookmarkStart w:id="51" w:name="_Toc24532"/>
      <w:bookmarkStart w:id="52" w:name="_Toc16199"/>
      <w:r>
        <w:rPr>
          <w:rFonts w:hint="eastAsia" w:ascii="仿宋" w:hAnsi="仿宋" w:eastAsia="仿宋" w:cs="仿宋"/>
          <w:color w:val="auto"/>
          <w:sz w:val="32"/>
          <w:szCs w:val="32"/>
          <w:highlight w:val="none"/>
          <w:lang w:eastAsia="zh-CN"/>
        </w:rPr>
        <w:t>2024年度本年收入合计3031.93万元，其中：一般公共预算财政拨款收入2855.85万元，占94.19%；其他收入176.08万元，占5.8%。</w:t>
      </w:r>
      <w:bookmarkEnd w:id="51"/>
      <w:bookmarkEnd w:id="52"/>
    </w:p>
    <w:p w14:paraId="4D44090A">
      <w:pPr>
        <w:pStyle w:val="2"/>
        <w:rPr>
          <w:rFonts w:hint="eastAsia" w:ascii="Times New Roman" w:hAnsi="Times New Roman" w:eastAsia="仿宋_GB2312" w:cs="仿宋_GB2312"/>
          <w:color w:val="auto"/>
          <w:sz w:val="32"/>
          <w:szCs w:val="32"/>
          <w:highlight w:val="none"/>
          <w:lang w:eastAsia="zh-CN"/>
        </w:rPr>
      </w:pPr>
    </w:p>
    <w:p w14:paraId="0F67F7D2">
      <w:pPr>
        <w:pStyle w:val="3"/>
        <w:rPr>
          <w:rFonts w:hint="eastAsia" w:ascii="Times New Roman" w:hAnsi="Times New Roman" w:eastAsia="仿宋_GB2312" w:cs="仿宋_GB2312"/>
          <w:color w:val="auto"/>
          <w:sz w:val="32"/>
          <w:szCs w:val="32"/>
          <w:highlight w:val="none"/>
          <w:lang w:eastAsia="zh-CN"/>
        </w:rPr>
      </w:pPr>
      <w:r>
        <w:drawing>
          <wp:inline distT="0" distB="0" distL="0" distR="0">
            <wp:extent cx="4972050" cy="3187700"/>
            <wp:effectExtent l="4445" t="4445" r="14605"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77EB0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53" w:name="_Toc32273"/>
      <w:bookmarkStart w:id="54" w:name="_Toc8965"/>
      <w:bookmarkStart w:id="55" w:name="_Toc15396605"/>
      <w:bookmarkStart w:id="56"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53"/>
      <w:bookmarkEnd w:id="54"/>
      <w:bookmarkEnd w:id="55"/>
      <w:bookmarkEnd w:id="56"/>
    </w:p>
    <w:p w14:paraId="1B2E1FE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lang w:eastAsia="zh-CN"/>
        </w:rPr>
      </w:pPr>
      <w:bookmarkStart w:id="57" w:name="_Toc6120"/>
      <w:bookmarkStart w:id="58" w:name="_Toc14920"/>
      <w:r>
        <w:rPr>
          <w:rFonts w:hint="eastAsia" w:ascii="仿宋" w:hAnsi="仿宋" w:eastAsia="仿宋" w:cs="仿宋"/>
          <w:color w:val="auto"/>
          <w:sz w:val="32"/>
          <w:szCs w:val="32"/>
          <w:highlight w:val="none"/>
          <w:lang w:eastAsia="zh-CN"/>
        </w:rPr>
        <w:t>2024年度本年支出合计3032.55万元，其中：基本支出2171.85万元，占71.61%；项目支出860.7万元，占28.38%。</w:t>
      </w:r>
      <w:bookmarkEnd w:id="57"/>
      <w:bookmarkEnd w:id="58"/>
    </w:p>
    <w:p w14:paraId="2275619D">
      <w:pPr>
        <w:ind w:firstLine="525" w:firstLineChars="250"/>
        <w:rPr>
          <w:rFonts w:hint="eastAsia" w:ascii="Times New Roman" w:hAnsi="Times New Roman" w:eastAsia="黑体"/>
          <w:color w:val="auto"/>
          <w:sz w:val="32"/>
          <w:szCs w:val="32"/>
          <w:highlight w:val="none"/>
        </w:rPr>
      </w:pPr>
      <w:r>
        <w:drawing>
          <wp:inline distT="0" distB="0" distL="0" distR="0">
            <wp:extent cx="5274310" cy="3071495"/>
            <wp:effectExtent l="4445" t="4445" r="17145" b="101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59" w:name="_Toc15377208"/>
      <w:bookmarkStart w:id="60" w:name="_Toc15396606"/>
      <w:bookmarkStart w:id="61" w:name="_Toc587"/>
      <w:bookmarkStart w:id="62" w:name="_Toc24976"/>
    </w:p>
    <w:p w14:paraId="5015EBE3">
      <w:pPr>
        <w:spacing w:line="600" w:lineRule="exact"/>
        <w:ind w:firstLine="640" w:firstLineChars="200"/>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59"/>
      <w:bookmarkEnd w:id="60"/>
      <w:bookmarkEnd w:id="61"/>
      <w:bookmarkEnd w:id="62"/>
    </w:p>
    <w:p w14:paraId="07E1F6E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2024年度财政拨款收入、支出总计均为</w:t>
      </w:r>
      <w:r>
        <w:rPr>
          <w:rFonts w:hint="eastAsia" w:ascii="仿宋" w:hAnsi="仿宋" w:eastAsia="仿宋" w:cs="仿宋"/>
          <w:color w:val="auto"/>
          <w:sz w:val="32"/>
          <w:szCs w:val="32"/>
          <w:highlight w:val="none"/>
          <w:lang w:eastAsia="zh-CN"/>
        </w:rPr>
        <w:t>2907.48</w:t>
      </w:r>
      <w:r>
        <w:rPr>
          <w:rFonts w:hint="eastAsia" w:ascii="仿宋" w:hAnsi="仿宋" w:eastAsia="仿宋" w:cs="仿宋"/>
          <w:color w:val="auto"/>
          <w:sz w:val="32"/>
          <w:szCs w:val="32"/>
          <w:highlight w:val="none"/>
          <w:lang w:val="en-US" w:eastAsia="zh-CN"/>
        </w:rPr>
        <w:t>万元。与2023年度相比，财政拨款收入总计、支出总计各减少122.06万元，下降4.03%。主要变动原因是项目资金支出减少。</w:t>
      </w:r>
    </w:p>
    <w:p w14:paraId="3C8EFA13">
      <w:pPr>
        <w:pStyle w:val="22"/>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rPr>
        <w:drawing>
          <wp:inline distT="0" distB="0" distL="0" distR="0">
            <wp:extent cx="5386070" cy="4084955"/>
            <wp:effectExtent l="4445" t="4445" r="19685"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8E8408">
      <w:pPr>
        <w:spacing w:line="600" w:lineRule="exact"/>
        <w:ind w:firstLine="640" w:firstLineChars="200"/>
        <w:outlineLvl w:val="1"/>
        <w:rPr>
          <w:rStyle w:val="32"/>
          <w:rFonts w:ascii="Times New Roman" w:hAnsi="Times New Roman" w:eastAsia="黑体"/>
          <w:b w:val="0"/>
          <w:color w:val="auto"/>
          <w:highlight w:val="none"/>
        </w:rPr>
      </w:pPr>
      <w:bookmarkStart w:id="63" w:name="_Toc15377209"/>
      <w:bookmarkStart w:id="64" w:name="_Toc18141"/>
      <w:bookmarkStart w:id="65" w:name="_Toc6826"/>
      <w:bookmarkStart w:id="6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63"/>
      <w:bookmarkEnd w:id="64"/>
      <w:bookmarkEnd w:id="65"/>
      <w:bookmarkEnd w:id="66"/>
    </w:p>
    <w:p w14:paraId="6D385526">
      <w:pPr>
        <w:spacing w:line="600" w:lineRule="exact"/>
        <w:ind w:firstLine="643" w:firstLineChars="200"/>
        <w:outlineLvl w:val="2"/>
        <w:rPr>
          <w:rFonts w:hint="eastAsia" w:ascii="楷体" w:hAnsi="楷体" w:eastAsia="楷体" w:cs="楷体"/>
          <w:b/>
          <w:color w:val="auto"/>
          <w:sz w:val="32"/>
          <w:szCs w:val="32"/>
          <w:highlight w:val="none"/>
        </w:rPr>
      </w:pPr>
      <w:bookmarkStart w:id="67" w:name="_Toc15377210"/>
      <w:r>
        <w:rPr>
          <w:rFonts w:hint="eastAsia" w:ascii="楷体" w:hAnsi="楷体" w:eastAsia="楷体" w:cs="楷体"/>
          <w:b/>
          <w:color w:val="auto"/>
          <w:sz w:val="32"/>
          <w:szCs w:val="32"/>
          <w:highlight w:val="none"/>
        </w:rPr>
        <w:t>（一）一般公共预算财政拨款支出决算总体情况</w:t>
      </w:r>
      <w:bookmarkEnd w:id="67"/>
    </w:p>
    <w:p w14:paraId="3D48595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2024年度一般公共预算财政拨款支出2856.47万元，占本年支出合计的94.19%。与2023年度相比，一般公共预算财政拨款支出减少121.45万元，下降4.08%。主要变动原因是项目资金支出减少。</w:t>
      </w:r>
    </w:p>
    <w:p w14:paraId="476BF60A">
      <w:pPr>
        <w:pStyle w:val="3"/>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rPr>
        <w:drawing>
          <wp:inline distT="0" distB="0" distL="0" distR="0">
            <wp:extent cx="5116195" cy="2872105"/>
            <wp:effectExtent l="4445" t="4445" r="22860"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B6F46A">
      <w:pPr>
        <w:spacing w:line="600" w:lineRule="exact"/>
        <w:ind w:firstLine="643" w:firstLineChars="200"/>
        <w:outlineLvl w:val="2"/>
        <w:rPr>
          <w:rFonts w:hint="eastAsia" w:ascii="楷体" w:hAnsi="楷体" w:eastAsia="楷体" w:cs="楷体"/>
          <w:b/>
          <w:color w:val="auto"/>
          <w:sz w:val="32"/>
          <w:szCs w:val="32"/>
          <w:highlight w:val="none"/>
        </w:rPr>
      </w:pPr>
      <w:bookmarkStart w:id="68" w:name="_Toc15377211"/>
      <w:r>
        <w:rPr>
          <w:rFonts w:hint="eastAsia" w:ascii="楷体" w:hAnsi="楷体" w:eastAsia="楷体" w:cs="楷体"/>
          <w:b/>
          <w:color w:val="auto"/>
          <w:sz w:val="32"/>
          <w:szCs w:val="32"/>
          <w:highlight w:val="none"/>
        </w:rPr>
        <w:t>（二）一般公共预算财政拨款支出决算结构情况</w:t>
      </w:r>
      <w:bookmarkEnd w:id="68"/>
    </w:p>
    <w:p w14:paraId="26E1F92A">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2024年度一般公共预算财政拨款支出</w:t>
      </w:r>
      <w:r>
        <w:rPr>
          <w:rFonts w:hint="eastAsia" w:ascii="仿宋" w:hAnsi="仿宋" w:eastAsia="仿宋" w:cs="仿宋"/>
          <w:sz w:val="32"/>
          <w:szCs w:val="32"/>
        </w:rPr>
        <w:t>2856.47</w:t>
      </w:r>
      <w:r>
        <w:rPr>
          <w:rFonts w:hint="eastAsia" w:ascii="仿宋" w:hAnsi="仿宋" w:eastAsia="仿宋" w:cs="仿宋"/>
          <w:color w:val="auto"/>
          <w:kern w:val="2"/>
          <w:sz w:val="32"/>
          <w:szCs w:val="32"/>
          <w:highlight w:val="none"/>
          <w:lang w:val="en-US" w:eastAsia="zh-CN" w:bidi="ar-SA"/>
        </w:rPr>
        <w:t>万元，主要用于以下方面：教育支出2259.45万元，占79.10%；社会保障和就业支出369.01万元，占12.92%；卫生健康支出68.61万元，占2.40%；住房保障支出159.4万元，占5.58%。</w:t>
      </w:r>
    </w:p>
    <w:p w14:paraId="3FC3E57A">
      <w:pPr>
        <w:pStyle w:val="2"/>
        <w:rPr>
          <w:rFonts w:hint="eastAsia"/>
          <w:lang w:val="en-US" w:eastAsia="zh-CN"/>
        </w:rPr>
      </w:pPr>
    </w:p>
    <w:p w14:paraId="50671A56">
      <w:pPr>
        <w:spacing w:line="600" w:lineRule="exact"/>
        <w:ind w:firstLine="420" w:firstLineChars="200"/>
        <w:outlineLvl w:val="9"/>
        <w:rPr>
          <w:rFonts w:hint="eastAsia" w:ascii="Times New Roman" w:hAnsi="Times New Roman" w:eastAsia="楷体_GB2312" w:cs="楷体_GB2312"/>
          <w:b/>
          <w:color w:val="auto"/>
          <w:sz w:val="32"/>
          <w:szCs w:val="32"/>
          <w:highlight w:val="none"/>
        </w:rPr>
      </w:pPr>
      <w:bookmarkStart w:id="69" w:name="_Toc15377212"/>
      <w:r>
        <w:rPr>
          <w:rFonts w:hint="eastAsia"/>
        </w:rPr>
        <w:drawing>
          <wp:anchor distT="0" distB="0" distL="0" distR="0" simplePos="0" relativeHeight="251661312" behindDoc="1" locked="0" layoutInCell="1" allowOverlap="1">
            <wp:simplePos x="0" y="0"/>
            <wp:positionH relativeFrom="column">
              <wp:posOffset>8255</wp:posOffset>
            </wp:positionH>
            <wp:positionV relativeFrom="paragraph">
              <wp:posOffset>107315</wp:posOffset>
            </wp:positionV>
            <wp:extent cx="5202555" cy="3400425"/>
            <wp:effectExtent l="4445" t="4445" r="12700" b="508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C7AF7D6">
      <w:pPr>
        <w:pStyle w:val="2"/>
        <w:rPr>
          <w:rFonts w:hint="eastAsia" w:ascii="Times New Roman" w:hAnsi="Times New Roman" w:eastAsia="楷体_GB2312" w:cs="楷体_GB2312"/>
          <w:b/>
          <w:color w:val="auto"/>
          <w:sz w:val="32"/>
          <w:szCs w:val="32"/>
          <w:highlight w:val="none"/>
        </w:rPr>
      </w:pPr>
    </w:p>
    <w:p w14:paraId="4FD9F602">
      <w:pPr>
        <w:pStyle w:val="3"/>
        <w:rPr>
          <w:rFonts w:hint="eastAsia" w:ascii="Times New Roman" w:hAnsi="Times New Roman" w:eastAsia="楷体_GB2312" w:cs="楷体_GB2312"/>
          <w:b/>
          <w:color w:val="auto"/>
          <w:sz w:val="32"/>
          <w:szCs w:val="32"/>
          <w:highlight w:val="none"/>
        </w:rPr>
      </w:pPr>
    </w:p>
    <w:p w14:paraId="6AAC50C3">
      <w:pPr>
        <w:pStyle w:val="3"/>
        <w:rPr>
          <w:rFonts w:hint="eastAsia" w:ascii="Times New Roman" w:hAnsi="Times New Roman" w:eastAsia="楷体_GB2312" w:cs="楷体_GB2312"/>
          <w:b/>
          <w:color w:val="auto"/>
          <w:sz w:val="32"/>
          <w:szCs w:val="32"/>
          <w:highlight w:val="none"/>
        </w:rPr>
      </w:pPr>
    </w:p>
    <w:p w14:paraId="1E6AFDD7">
      <w:pPr>
        <w:pStyle w:val="3"/>
        <w:rPr>
          <w:rFonts w:hint="eastAsia" w:ascii="Times New Roman" w:hAnsi="Times New Roman" w:eastAsia="楷体_GB2312" w:cs="楷体_GB2312"/>
          <w:b/>
          <w:color w:val="auto"/>
          <w:sz w:val="32"/>
          <w:szCs w:val="32"/>
          <w:highlight w:val="none"/>
        </w:rPr>
      </w:pPr>
    </w:p>
    <w:p w14:paraId="4978A3CD">
      <w:pPr>
        <w:pStyle w:val="3"/>
        <w:rPr>
          <w:rFonts w:hint="eastAsia" w:ascii="Times New Roman" w:hAnsi="Times New Roman" w:eastAsia="楷体_GB2312" w:cs="楷体_GB2312"/>
          <w:b/>
          <w:color w:val="auto"/>
          <w:sz w:val="32"/>
          <w:szCs w:val="32"/>
          <w:highlight w:val="none"/>
        </w:rPr>
      </w:pPr>
    </w:p>
    <w:p w14:paraId="32B0234A">
      <w:pPr>
        <w:spacing w:line="600" w:lineRule="exact"/>
        <w:outlineLvl w:val="9"/>
        <w:rPr>
          <w:rFonts w:hint="eastAsia" w:ascii="Times New Roman" w:hAnsi="Times New Roman" w:eastAsia="楷体_GB2312" w:cs="楷体_GB2312"/>
          <w:b/>
          <w:color w:val="auto"/>
          <w:sz w:val="32"/>
          <w:szCs w:val="32"/>
          <w:highlight w:val="none"/>
        </w:rPr>
      </w:pPr>
    </w:p>
    <w:p w14:paraId="6E5D4356">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p>
    <w:p w14:paraId="5D052982">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p>
    <w:p w14:paraId="05731CF3">
      <w:pPr>
        <w:spacing w:line="600" w:lineRule="exact"/>
        <w:ind w:firstLine="643" w:firstLineChars="200"/>
        <w:outlineLvl w:val="2"/>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（三）一般公共预算财政拨款支出决算具体情况</w:t>
      </w:r>
      <w:bookmarkEnd w:id="69"/>
    </w:p>
    <w:p w14:paraId="5C7AACFA">
      <w:pPr>
        <w:spacing w:line="600" w:lineRule="exact"/>
        <w:ind w:firstLine="640"/>
        <w:rPr>
          <w:rFonts w:hint="eastAsia" w:ascii="仿宋" w:hAnsi="仿宋" w:eastAsia="仿宋" w:cs="仿宋"/>
          <w:color w:val="auto"/>
          <w:kern w:val="2"/>
          <w:sz w:val="32"/>
          <w:szCs w:val="32"/>
          <w:highlight w:val="none"/>
          <w:lang w:val="en-US" w:eastAsia="zh-CN" w:bidi="ar-SA"/>
        </w:rPr>
      </w:pPr>
      <w:bookmarkStart w:id="70" w:name="_Toc15378460"/>
      <w:bookmarkStart w:id="71" w:name="_Toc15377213"/>
      <w:bookmarkStart w:id="72" w:name="_Toc15377444"/>
      <w:r>
        <w:rPr>
          <w:rFonts w:hint="eastAsia" w:ascii="仿宋" w:hAnsi="仿宋" w:eastAsia="仿宋" w:cs="仿宋"/>
          <w:color w:val="auto"/>
          <w:kern w:val="2"/>
          <w:sz w:val="32"/>
          <w:szCs w:val="32"/>
          <w:highlight w:val="none"/>
          <w:lang w:val="en-US" w:eastAsia="zh-CN" w:bidi="ar-SA"/>
        </w:rPr>
        <w:t>2024年度一般公共预算财政拨款支出决算数为</w:t>
      </w:r>
      <w:r>
        <w:rPr>
          <w:rFonts w:hint="eastAsia" w:ascii="仿宋" w:hAnsi="仿宋" w:eastAsia="仿宋" w:cs="仿宋"/>
          <w:sz w:val="32"/>
          <w:szCs w:val="32"/>
        </w:rPr>
        <w:t>2856.47</w:t>
      </w:r>
      <w:r>
        <w:rPr>
          <w:rFonts w:hint="eastAsia" w:ascii="仿宋" w:hAnsi="仿宋" w:eastAsia="仿宋" w:cs="仿宋"/>
          <w:sz w:val="32"/>
          <w:szCs w:val="32"/>
          <w:lang w:val="en-US" w:eastAsia="zh-CN"/>
        </w:rPr>
        <w:t>万元</w:t>
      </w:r>
      <w:r>
        <w:rPr>
          <w:rFonts w:hint="eastAsia" w:ascii="仿宋" w:hAnsi="仿宋" w:eastAsia="仿宋" w:cs="仿宋"/>
          <w:color w:val="auto"/>
          <w:kern w:val="2"/>
          <w:sz w:val="32"/>
          <w:szCs w:val="32"/>
          <w:highlight w:val="none"/>
          <w:lang w:val="en-US" w:eastAsia="zh-CN" w:bidi="ar-SA"/>
        </w:rPr>
        <w:t>，完成预算100%。其中：</w:t>
      </w:r>
      <w:bookmarkEnd w:id="70"/>
      <w:bookmarkEnd w:id="71"/>
      <w:bookmarkEnd w:id="72"/>
    </w:p>
    <w:p w14:paraId="3BDF640D">
      <w:pPr>
        <w:numPr>
          <w:ilvl w:val="0"/>
          <w:numId w:val="0"/>
        </w:numPr>
        <w:spacing w:line="600" w:lineRule="exact"/>
        <w:ind w:firstLine="643" w:firstLineChars="200"/>
        <w:rPr>
          <w:rFonts w:hint="eastAsia" w:ascii="仿宋" w:hAnsi="仿宋" w:eastAsia="仿宋" w:cs="仿宋"/>
          <w:sz w:val="32"/>
          <w:szCs w:val="32"/>
          <w:lang w:eastAsia="zh-CN"/>
        </w:rPr>
      </w:pPr>
      <w:r>
        <w:rPr>
          <w:rStyle w:val="18"/>
          <w:rFonts w:hint="eastAsia" w:ascii="仿宋" w:hAnsi="仿宋" w:eastAsia="仿宋" w:cs="仿宋"/>
          <w:bCs/>
          <w:sz w:val="32"/>
          <w:szCs w:val="32"/>
          <w:lang w:val="en-US" w:eastAsia="zh-CN"/>
        </w:rPr>
        <w:t>1.</w:t>
      </w:r>
      <w:r>
        <w:rPr>
          <w:rStyle w:val="18"/>
          <w:rFonts w:hint="eastAsia" w:ascii="仿宋" w:hAnsi="仿宋" w:eastAsia="仿宋" w:cs="仿宋"/>
          <w:bCs/>
          <w:sz w:val="32"/>
          <w:szCs w:val="32"/>
        </w:rPr>
        <w:t>教育（类）普通教育（款）学前教育（项）</w:t>
      </w:r>
      <w:r>
        <w:rPr>
          <w:rStyle w:val="18"/>
          <w:rFonts w:hint="eastAsia" w:ascii="仿宋" w:hAnsi="仿宋" w:eastAsia="仿宋" w:cs="仿宋"/>
          <w:bCs/>
          <w:sz w:val="32"/>
          <w:szCs w:val="32"/>
          <w:lang w:eastAsia="zh-CN"/>
        </w:rPr>
        <w:t>：</w:t>
      </w:r>
      <w:r>
        <w:rPr>
          <w:rStyle w:val="18"/>
          <w:rFonts w:hint="eastAsia" w:ascii="仿宋" w:hAnsi="仿宋" w:eastAsia="仿宋" w:cs="仿宋"/>
          <w:b w:val="0"/>
          <w:bCs/>
          <w:sz w:val="32"/>
          <w:szCs w:val="32"/>
        </w:rPr>
        <w:t xml:space="preserve"> 支出决算为</w:t>
      </w:r>
      <w:r>
        <w:rPr>
          <w:rStyle w:val="18"/>
          <w:rFonts w:hint="eastAsia" w:ascii="仿宋" w:hAnsi="仿宋" w:eastAsia="仿宋" w:cs="仿宋"/>
          <w:b w:val="0"/>
          <w:bCs/>
          <w:sz w:val="32"/>
          <w:szCs w:val="32"/>
          <w:lang w:val="en-US" w:eastAsia="zh-CN"/>
        </w:rPr>
        <w:t>105.72</w:t>
      </w:r>
      <w:r>
        <w:rPr>
          <w:rStyle w:val="18"/>
          <w:rFonts w:hint="eastAsia" w:ascii="仿宋" w:hAnsi="仿宋" w:eastAsia="仿宋" w:cs="仿宋"/>
          <w:b w:val="0"/>
          <w:bCs/>
          <w:color w:val="auto"/>
          <w:sz w:val="32"/>
          <w:szCs w:val="32"/>
        </w:rPr>
        <w:t>万元，完成预算</w:t>
      </w:r>
      <w:r>
        <w:rPr>
          <w:rStyle w:val="18"/>
          <w:rFonts w:hint="eastAsia" w:ascii="仿宋" w:hAnsi="仿宋" w:eastAsia="仿宋" w:cs="仿宋"/>
          <w:b w:val="0"/>
          <w:bCs/>
          <w:color w:val="auto"/>
          <w:sz w:val="32"/>
          <w:szCs w:val="32"/>
          <w:lang w:val="en-US" w:eastAsia="zh-CN"/>
        </w:rPr>
        <w:t>100</w:t>
      </w:r>
      <w:r>
        <w:rPr>
          <w:rStyle w:val="18"/>
          <w:rFonts w:hint="eastAsia" w:ascii="仿宋" w:hAnsi="仿宋" w:eastAsia="仿宋" w:cs="仿宋"/>
          <w:b w:val="0"/>
          <w:bCs/>
          <w:color w:val="auto"/>
          <w:sz w:val="32"/>
          <w:szCs w:val="32"/>
        </w:rPr>
        <w:t>%</w:t>
      </w:r>
      <w:r>
        <w:rPr>
          <w:rStyle w:val="18"/>
          <w:rFonts w:hint="eastAsia" w:ascii="仿宋" w:hAnsi="仿宋" w:eastAsia="仿宋" w:cs="仿宋"/>
          <w:b w:val="0"/>
          <w:bCs/>
          <w:color w:val="auto"/>
          <w:sz w:val="32"/>
          <w:szCs w:val="32"/>
          <w:lang w:eastAsia="zh-CN"/>
        </w:rPr>
        <w:t>。</w:t>
      </w:r>
    </w:p>
    <w:p w14:paraId="21C7B511">
      <w:pPr>
        <w:numPr>
          <w:ilvl w:val="0"/>
          <w:numId w:val="0"/>
        </w:numPr>
        <w:spacing w:line="600" w:lineRule="exact"/>
        <w:ind w:firstLine="643" w:firstLineChars="200"/>
        <w:jc w:val="both"/>
        <w:rPr>
          <w:rStyle w:val="18"/>
          <w:rFonts w:hint="eastAsia" w:ascii="仿宋" w:hAnsi="仿宋" w:eastAsia="仿宋" w:cs="仿宋"/>
          <w:b w:val="0"/>
          <w:bCs/>
          <w:color w:val="auto"/>
          <w:sz w:val="32"/>
          <w:szCs w:val="32"/>
        </w:rPr>
      </w:pPr>
      <w:r>
        <w:rPr>
          <w:rStyle w:val="18"/>
          <w:rFonts w:hint="eastAsia" w:ascii="仿宋" w:hAnsi="仿宋" w:eastAsia="仿宋" w:cs="仿宋"/>
          <w:bCs/>
          <w:color w:val="auto"/>
          <w:sz w:val="32"/>
          <w:szCs w:val="32"/>
          <w:lang w:val="en-US" w:eastAsia="zh-CN"/>
        </w:rPr>
        <w:t>2.</w:t>
      </w:r>
      <w:r>
        <w:rPr>
          <w:rStyle w:val="18"/>
          <w:rFonts w:hint="eastAsia" w:ascii="仿宋" w:hAnsi="仿宋" w:eastAsia="仿宋" w:cs="仿宋"/>
          <w:bCs/>
          <w:color w:val="auto"/>
          <w:sz w:val="32"/>
          <w:szCs w:val="32"/>
        </w:rPr>
        <w:t>教育（类）普通教育（款）小学教育（项）</w:t>
      </w:r>
      <w:r>
        <w:rPr>
          <w:rStyle w:val="18"/>
          <w:rFonts w:hint="eastAsia" w:ascii="仿宋" w:hAnsi="仿宋" w:eastAsia="仿宋" w:cs="仿宋"/>
          <w:bCs/>
          <w:color w:val="auto"/>
          <w:sz w:val="32"/>
          <w:szCs w:val="32"/>
          <w:lang w:eastAsia="zh-CN"/>
        </w:rPr>
        <w:t>：</w:t>
      </w:r>
      <w:r>
        <w:rPr>
          <w:rStyle w:val="18"/>
          <w:rFonts w:hint="eastAsia" w:ascii="仿宋" w:hAnsi="仿宋" w:eastAsia="仿宋" w:cs="仿宋"/>
          <w:b w:val="0"/>
          <w:bCs/>
          <w:color w:val="auto"/>
          <w:sz w:val="32"/>
          <w:szCs w:val="32"/>
        </w:rPr>
        <w:t xml:space="preserve"> 支出决算为</w:t>
      </w:r>
      <w:r>
        <w:rPr>
          <w:rStyle w:val="18"/>
          <w:rFonts w:hint="eastAsia" w:ascii="仿宋" w:hAnsi="仿宋" w:eastAsia="仿宋" w:cs="仿宋"/>
          <w:b w:val="0"/>
          <w:bCs/>
          <w:color w:val="auto"/>
          <w:sz w:val="32"/>
          <w:szCs w:val="32"/>
          <w:lang w:val="en-US" w:eastAsia="zh-CN"/>
        </w:rPr>
        <w:t>2153.73</w:t>
      </w:r>
      <w:r>
        <w:rPr>
          <w:rStyle w:val="18"/>
          <w:rFonts w:hint="eastAsia" w:ascii="仿宋" w:hAnsi="仿宋" w:eastAsia="仿宋" w:cs="仿宋"/>
          <w:b w:val="0"/>
          <w:bCs/>
          <w:color w:val="auto"/>
          <w:sz w:val="32"/>
          <w:szCs w:val="32"/>
        </w:rPr>
        <w:t>万元，完成预算</w:t>
      </w:r>
      <w:r>
        <w:rPr>
          <w:rStyle w:val="18"/>
          <w:rFonts w:hint="eastAsia" w:ascii="仿宋" w:hAnsi="仿宋" w:eastAsia="仿宋" w:cs="仿宋"/>
          <w:b w:val="0"/>
          <w:bCs/>
          <w:color w:val="auto"/>
          <w:sz w:val="32"/>
          <w:szCs w:val="32"/>
          <w:lang w:val="en-US" w:eastAsia="zh-CN"/>
        </w:rPr>
        <w:t>100</w:t>
      </w:r>
      <w:r>
        <w:rPr>
          <w:rStyle w:val="18"/>
          <w:rFonts w:hint="eastAsia" w:ascii="仿宋" w:hAnsi="仿宋" w:eastAsia="仿宋" w:cs="仿宋"/>
          <w:b w:val="0"/>
          <w:bCs/>
          <w:color w:val="auto"/>
          <w:sz w:val="32"/>
          <w:szCs w:val="32"/>
        </w:rPr>
        <w:t>%。</w:t>
      </w:r>
    </w:p>
    <w:p w14:paraId="010C2F00">
      <w:pPr>
        <w:numPr>
          <w:ilvl w:val="0"/>
          <w:numId w:val="0"/>
        </w:numPr>
        <w:spacing w:line="600" w:lineRule="exact"/>
        <w:ind w:firstLine="643" w:firstLineChars="200"/>
        <w:rPr>
          <w:rStyle w:val="18"/>
          <w:rFonts w:hint="eastAsia" w:ascii="仿宋" w:hAnsi="仿宋" w:eastAsia="仿宋" w:cs="仿宋"/>
          <w:b w:val="0"/>
          <w:bCs/>
          <w:sz w:val="32"/>
          <w:szCs w:val="32"/>
          <w:highlight w:val="none"/>
        </w:rPr>
      </w:pPr>
      <w:r>
        <w:rPr>
          <w:rStyle w:val="18"/>
          <w:rFonts w:hint="eastAsia" w:ascii="仿宋" w:hAnsi="仿宋" w:eastAsia="仿宋" w:cs="仿宋"/>
          <w:bCs/>
          <w:color w:val="auto"/>
          <w:sz w:val="32"/>
          <w:szCs w:val="32"/>
          <w:highlight w:val="none"/>
          <w:lang w:val="en-US" w:eastAsia="zh-CN"/>
        </w:rPr>
        <w:t>3.</w:t>
      </w:r>
      <w:r>
        <w:rPr>
          <w:rStyle w:val="18"/>
          <w:rFonts w:hint="eastAsia" w:ascii="仿宋" w:hAnsi="仿宋" w:eastAsia="仿宋" w:cs="仿宋"/>
          <w:bCs/>
          <w:color w:val="auto"/>
          <w:sz w:val="32"/>
          <w:szCs w:val="32"/>
          <w:highlight w:val="none"/>
        </w:rPr>
        <w:t>社会保障和</w:t>
      </w:r>
      <w:r>
        <w:rPr>
          <w:rStyle w:val="18"/>
          <w:rFonts w:hint="eastAsia" w:ascii="仿宋" w:hAnsi="仿宋" w:eastAsia="仿宋" w:cs="仿宋"/>
          <w:bCs/>
          <w:sz w:val="32"/>
          <w:szCs w:val="32"/>
          <w:highlight w:val="none"/>
        </w:rPr>
        <w:t>就业（类）</w:t>
      </w:r>
      <w:r>
        <w:rPr>
          <w:rFonts w:hint="eastAsia" w:ascii="仿宋" w:hAnsi="仿宋" w:eastAsia="仿宋" w:cs="仿宋"/>
          <w:b/>
          <w:bCs/>
          <w:sz w:val="32"/>
          <w:szCs w:val="32"/>
          <w:highlight w:val="none"/>
        </w:rPr>
        <w:t>行政事业单位养老支出</w:t>
      </w:r>
      <w:r>
        <w:rPr>
          <w:rStyle w:val="18"/>
          <w:rFonts w:hint="eastAsia" w:ascii="仿宋" w:hAnsi="仿宋" w:eastAsia="仿宋" w:cs="仿宋"/>
          <w:bCs/>
          <w:sz w:val="32"/>
          <w:szCs w:val="32"/>
          <w:highlight w:val="none"/>
        </w:rPr>
        <w:t>（款）</w:t>
      </w:r>
      <w:r>
        <w:rPr>
          <w:rFonts w:hint="eastAsia" w:ascii="仿宋" w:hAnsi="仿宋" w:eastAsia="仿宋" w:cs="仿宋"/>
          <w:b/>
          <w:bCs/>
          <w:sz w:val="32"/>
          <w:szCs w:val="32"/>
          <w:highlight w:val="none"/>
        </w:rPr>
        <w:t xml:space="preserve">  机关事业单位基本养老保险缴费支出</w:t>
      </w:r>
      <w:r>
        <w:rPr>
          <w:rStyle w:val="18"/>
          <w:rFonts w:hint="eastAsia" w:ascii="仿宋" w:hAnsi="仿宋" w:eastAsia="仿宋" w:cs="仿宋"/>
          <w:bCs/>
          <w:sz w:val="32"/>
          <w:szCs w:val="32"/>
          <w:highlight w:val="none"/>
        </w:rPr>
        <w:t>（项）</w:t>
      </w:r>
      <w:r>
        <w:rPr>
          <w:rStyle w:val="18"/>
          <w:rFonts w:hint="eastAsia" w:ascii="仿宋" w:hAnsi="仿宋" w:eastAsia="仿宋" w:cs="仿宋"/>
          <w:bCs/>
          <w:sz w:val="32"/>
          <w:szCs w:val="32"/>
          <w:highlight w:val="none"/>
          <w:lang w:eastAsia="zh-CN"/>
        </w:rPr>
        <w:t>：</w:t>
      </w:r>
      <w:r>
        <w:rPr>
          <w:rStyle w:val="18"/>
          <w:rFonts w:hint="eastAsia" w:ascii="仿宋" w:hAnsi="仿宋" w:eastAsia="仿宋" w:cs="仿宋"/>
          <w:b w:val="0"/>
          <w:bCs/>
          <w:sz w:val="32"/>
          <w:szCs w:val="32"/>
          <w:highlight w:val="none"/>
        </w:rPr>
        <w:t xml:space="preserve"> 支出决算为</w:t>
      </w:r>
      <w:r>
        <w:rPr>
          <w:rStyle w:val="18"/>
          <w:rFonts w:hint="eastAsia" w:ascii="仿宋" w:hAnsi="仿宋" w:eastAsia="仿宋" w:cs="仿宋"/>
          <w:b w:val="0"/>
          <w:bCs/>
          <w:sz w:val="32"/>
          <w:szCs w:val="32"/>
          <w:highlight w:val="none"/>
          <w:lang w:val="en-US" w:eastAsia="zh-CN"/>
        </w:rPr>
        <w:t>177.51</w:t>
      </w:r>
      <w:r>
        <w:rPr>
          <w:rStyle w:val="18"/>
          <w:rFonts w:hint="eastAsia" w:ascii="仿宋" w:hAnsi="仿宋" w:eastAsia="仿宋" w:cs="仿宋"/>
          <w:b w:val="0"/>
          <w:bCs/>
          <w:sz w:val="32"/>
          <w:szCs w:val="32"/>
          <w:highlight w:val="none"/>
        </w:rPr>
        <w:t>万元，完成预算100%。</w:t>
      </w:r>
    </w:p>
    <w:p w14:paraId="6F7F660F">
      <w:pPr>
        <w:numPr>
          <w:ilvl w:val="0"/>
          <w:numId w:val="0"/>
        </w:numPr>
        <w:spacing w:line="600" w:lineRule="exact"/>
        <w:ind w:firstLine="643" w:firstLineChars="200"/>
        <w:rPr>
          <w:rFonts w:hint="eastAsia" w:ascii="仿宋" w:hAnsi="仿宋" w:eastAsia="仿宋" w:cs="仿宋"/>
          <w:b/>
          <w:sz w:val="32"/>
          <w:szCs w:val="32"/>
        </w:rPr>
      </w:pPr>
      <w:r>
        <w:rPr>
          <w:rStyle w:val="18"/>
          <w:rFonts w:hint="eastAsia" w:ascii="仿宋" w:hAnsi="仿宋" w:eastAsia="仿宋" w:cs="仿宋"/>
          <w:bCs/>
          <w:sz w:val="32"/>
          <w:szCs w:val="32"/>
          <w:lang w:val="en-US" w:eastAsia="zh-CN"/>
        </w:rPr>
        <w:t>4.</w:t>
      </w:r>
      <w:r>
        <w:rPr>
          <w:rStyle w:val="18"/>
          <w:rFonts w:hint="eastAsia" w:ascii="仿宋" w:hAnsi="仿宋" w:eastAsia="仿宋" w:cs="仿宋"/>
          <w:bCs/>
          <w:sz w:val="32"/>
          <w:szCs w:val="32"/>
        </w:rPr>
        <w:t>社会保障和就业（类）</w:t>
      </w:r>
      <w:r>
        <w:rPr>
          <w:rFonts w:hint="eastAsia" w:ascii="仿宋" w:hAnsi="仿宋" w:eastAsia="仿宋" w:cs="仿宋"/>
          <w:b/>
          <w:bCs/>
          <w:sz w:val="32"/>
          <w:szCs w:val="32"/>
        </w:rPr>
        <w:t>行政事业单位养老支出</w:t>
      </w:r>
      <w:r>
        <w:rPr>
          <w:rStyle w:val="18"/>
          <w:rFonts w:hint="eastAsia" w:ascii="仿宋" w:hAnsi="仿宋" w:eastAsia="仿宋" w:cs="仿宋"/>
          <w:bCs/>
          <w:sz w:val="32"/>
          <w:szCs w:val="32"/>
        </w:rPr>
        <w:t>（款）</w:t>
      </w:r>
      <w:r>
        <w:rPr>
          <w:rFonts w:hint="eastAsia" w:ascii="仿宋" w:hAnsi="仿宋" w:eastAsia="仿宋" w:cs="仿宋"/>
          <w:b/>
          <w:bCs/>
          <w:sz w:val="32"/>
          <w:szCs w:val="32"/>
        </w:rPr>
        <w:t>机关事业单位职业年金缴费支出</w:t>
      </w:r>
      <w:r>
        <w:rPr>
          <w:rStyle w:val="18"/>
          <w:rFonts w:hint="eastAsia" w:ascii="仿宋" w:hAnsi="仿宋" w:eastAsia="仿宋" w:cs="仿宋"/>
          <w:bCs/>
          <w:sz w:val="32"/>
          <w:szCs w:val="32"/>
        </w:rPr>
        <w:t>（项）</w:t>
      </w:r>
      <w:r>
        <w:rPr>
          <w:rStyle w:val="18"/>
          <w:rFonts w:hint="eastAsia" w:ascii="仿宋" w:hAnsi="仿宋" w:eastAsia="仿宋" w:cs="仿宋"/>
          <w:bCs/>
          <w:sz w:val="32"/>
          <w:szCs w:val="32"/>
          <w:lang w:eastAsia="zh-CN"/>
        </w:rPr>
        <w:t>：</w:t>
      </w:r>
      <w:r>
        <w:rPr>
          <w:rStyle w:val="18"/>
          <w:rFonts w:hint="eastAsia" w:ascii="仿宋" w:hAnsi="仿宋" w:eastAsia="仿宋" w:cs="仿宋"/>
          <w:b w:val="0"/>
          <w:bCs/>
          <w:sz w:val="32"/>
          <w:szCs w:val="32"/>
        </w:rPr>
        <w:t xml:space="preserve"> 支出决算为</w:t>
      </w:r>
      <w:r>
        <w:rPr>
          <w:rStyle w:val="18"/>
          <w:rFonts w:hint="eastAsia" w:ascii="仿宋" w:hAnsi="仿宋" w:eastAsia="仿宋" w:cs="仿宋"/>
          <w:b w:val="0"/>
          <w:bCs/>
          <w:sz w:val="32"/>
          <w:szCs w:val="32"/>
          <w:lang w:val="en-US" w:eastAsia="zh-CN"/>
        </w:rPr>
        <w:t>88.61</w:t>
      </w:r>
      <w:r>
        <w:rPr>
          <w:rStyle w:val="18"/>
          <w:rFonts w:hint="eastAsia" w:ascii="仿宋" w:hAnsi="仿宋" w:eastAsia="仿宋" w:cs="仿宋"/>
          <w:b w:val="0"/>
          <w:bCs/>
          <w:sz w:val="32"/>
          <w:szCs w:val="32"/>
        </w:rPr>
        <w:t>万元，完成预算100%</w:t>
      </w:r>
    </w:p>
    <w:p w14:paraId="07FF1624">
      <w:pPr>
        <w:spacing w:line="600" w:lineRule="exact"/>
        <w:ind w:firstLine="643" w:firstLineChars="200"/>
        <w:rPr>
          <w:rFonts w:hint="eastAsia" w:ascii="仿宋" w:hAnsi="仿宋" w:eastAsia="仿宋" w:cs="仿宋"/>
          <w:b/>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社会保障和就业支出</w:t>
      </w:r>
      <w:r>
        <w:rPr>
          <w:rStyle w:val="18"/>
          <w:rFonts w:hint="eastAsia" w:ascii="仿宋" w:hAnsi="仿宋" w:eastAsia="仿宋" w:cs="仿宋"/>
          <w:bCs/>
          <w:sz w:val="32"/>
          <w:szCs w:val="32"/>
        </w:rPr>
        <w:t>（类）</w:t>
      </w:r>
      <w:r>
        <w:rPr>
          <w:rFonts w:hint="eastAsia" w:ascii="仿宋" w:hAnsi="仿宋" w:eastAsia="仿宋" w:cs="仿宋"/>
          <w:b/>
          <w:bCs/>
          <w:sz w:val="32"/>
          <w:szCs w:val="32"/>
        </w:rPr>
        <w:t>抚恤</w:t>
      </w:r>
      <w:r>
        <w:rPr>
          <w:rStyle w:val="18"/>
          <w:rFonts w:hint="eastAsia" w:ascii="仿宋" w:hAnsi="仿宋" w:eastAsia="仿宋" w:cs="仿宋"/>
          <w:bCs/>
          <w:sz w:val="32"/>
          <w:szCs w:val="32"/>
        </w:rPr>
        <w:t>（款）</w:t>
      </w:r>
      <w:r>
        <w:rPr>
          <w:rFonts w:hint="eastAsia" w:ascii="仿宋" w:hAnsi="仿宋" w:eastAsia="仿宋" w:cs="仿宋"/>
          <w:b/>
          <w:bCs/>
          <w:sz w:val="32"/>
          <w:szCs w:val="32"/>
        </w:rPr>
        <w:t>死亡抚恤</w:t>
      </w:r>
      <w:r>
        <w:rPr>
          <w:rStyle w:val="18"/>
          <w:rFonts w:hint="eastAsia" w:ascii="仿宋" w:hAnsi="仿宋" w:eastAsia="仿宋" w:cs="仿宋"/>
          <w:bCs/>
          <w:sz w:val="32"/>
          <w:szCs w:val="32"/>
        </w:rPr>
        <w:t>（项）</w:t>
      </w:r>
      <w:r>
        <w:rPr>
          <w:rStyle w:val="18"/>
          <w:rFonts w:hint="eastAsia" w:ascii="仿宋" w:hAnsi="仿宋" w:eastAsia="仿宋" w:cs="仿宋"/>
          <w:bCs/>
          <w:sz w:val="32"/>
          <w:szCs w:val="32"/>
          <w:lang w:eastAsia="zh-CN"/>
        </w:rPr>
        <w:t>：</w:t>
      </w:r>
      <w:r>
        <w:rPr>
          <w:rStyle w:val="18"/>
          <w:rFonts w:hint="eastAsia" w:ascii="仿宋" w:hAnsi="仿宋" w:eastAsia="仿宋" w:cs="仿宋"/>
          <w:b w:val="0"/>
          <w:bCs/>
          <w:sz w:val="32"/>
          <w:szCs w:val="32"/>
        </w:rPr>
        <w:t xml:space="preserve"> 支出决算为</w:t>
      </w:r>
      <w:r>
        <w:rPr>
          <w:rStyle w:val="18"/>
          <w:rFonts w:hint="eastAsia" w:ascii="仿宋" w:hAnsi="仿宋" w:eastAsia="仿宋" w:cs="仿宋"/>
          <w:b w:val="0"/>
          <w:bCs/>
          <w:sz w:val="32"/>
          <w:szCs w:val="32"/>
          <w:lang w:val="en-US" w:eastAsia="zh-CN"/>
        </w:rPr>
        <w:t>36.1</w:t>
      </w:r>
      <w:r>
        <w:rPr>
          <w:rStyle w:val="18"/>
          <w:rFonts w:hint="eastAsia" w:ascii="仿宋" w:hAnsi="仿宋" w:eastAsia="仿宋" w:cs="仿宋"/>
          <w:b w:val="0"/>
          <w:bCs/>
          <w:sz w:val="32"/>
          <w:szCs w:val="32"/>
        </w:rPr>
        <w:t>万元，完成预算100%。</w:t>
      </w:r>
      <w:r>
        <w:rPr>
          <w:rFonts w:hint="eastAsia" w:ascii="仿宋" w:hAnsi="仿宋" w:eastAsia="仿宋" w:cs="仿宋"/>
          <w:b/>
          <w:bCs/>
          <w:sz w:val="32"/>
          <w:szCs w:val="32"/>
        </w:rPr>
        <w:t xml:space="preserve"> </w:t>
      </w:r>
    </w:p>
    <w:p w14:paraId="1C91441C">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eastAsia" w:ascii="仿宋" w:hAnsi="仿宋" w:eastAsia="仿宋" w:cs="仿宋"/>
          <w:b w:val="0"/>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社会保障和就业支出</w:t>
      </w:r>
      <w:r>
        <w:rPr>
          <w:rStyle w:val="18"/>
          <w:rFonts w:hint="eastAsia" w:ascii="仿宋" w:hAnsi="仿宋" w:eastAsia="仿宋" w:cs="仿宋"/>
          <w:bCs/>
          <w:sz w:val="32"/>
          <w:szCs w:val="32"/>
        </w:rPr>
        <w:t>（类）</w:t>
      </w:r>
      <w:r>
        <w:rPr>
          <w:rFonts w:hint="eastAsia" w:ascii="仿宋" w:hAnsi="仿宋" w:eastAsia="仿宋" w:cs="仿宋"/>
          <w:b/>
          <w:bCs/>
          <w:sz w:val="32"/>
          <w:szCs w:val="32"/>
        </w:rPr>
        <w:t>其他社会保障和就业支出</w:t>
      </w:r>
      <w:r>
        <w:rPr>
          <w:rStyle w:val="18"/>
          <w:rFonts w:hint="eastAsia" w:ascii="仿宋" w:hAnsi="仿宋" w:eastAsia="仿宋" w:cs="仿宋"/>
          <w:bCs/>
          <w:sz w:val="32"/>
          <w:szCs w:val="32"/>
        </w:rPr>
        <w:t>（款）</w:t>
      </w:r>
      <w:r>
        <w:rPr>
          <w:rFonts w:hint="eastAsia" w:ascii="仿宋" w:hAnsi="仿宋" w:eastAsia="仿宋" w:cs="仿宋"/>
          <w:b/>
          <w:bCs/>
          <w:sz w:val="32"/>
          <w:szCs w:val="32"/>
        </w:rPr>
        <w:t>其他社会保障和就业支出</w:t>
      </w:r>
      <w:r>
        <w:rPr>
          <w:rStyle w:val="18"/>
          <w:rFonts w:hint="eastAsia" w:ascii="仿宋" w:hAnsi="仿宋" w:eastAsia="仿宋" w:cs="仿宋"/>
          <w:bCs/>
          <w:sz w:val="32"/>
          <w:szCs w:val="32"/>
        </w:rPr>
        <w:t>（项）</w:t>
      </w:r>
      <w:r>
        <w:rPr>
          <w:rStyle w:val="18"/>
          <w:rFonts w:hint="eastAsia" w:ascii="仿宋" w:hAnsi="仿宋" w:eastAsia="仿宋" w:cs="仿宋"/>
          <w:bCs/>
          <w:sz w:val="32"/>
          <w:szCs w:val="32"/>
          <w:lang w:eastAsia="zh-CN"/>
        </w:rPr>
        <w:t>：</w:t>
      </w:r>
      <w:r>
        <w:rPr>
          <w:rStyle w:val="18"/>
          <w:rFonts w:hint="eastAsia" w:ascii="仿宋" w:hAnsi="仿宋" w:eastAsia="仿宋" w:cs="仿宋"/>
          <w:b w:val="0"/>
          <w:bCs/>
          <w:sz w:val="32"/>
          <w:szCs w:val="32"/>
        </w:rPr>
        <w:t xml:space="preserve"> 支出决算为</w:t>
      </w:r>
      <w:r>
        <w:rPr>
          <w:rStyle w:val="18"/>
          <w:rFonts w:hint="eastAsia" w:ascii="仿宋" w:hAnsi="仿宋" w:eastAsia="仿宋" w:cs="仿宋"/>
          <w:b w:val="0"/>
          <w:bCs/>
          <w:sz w:val="32"/>
          <w:szCs w:val="32"/>
          <w:lang w:val="en-US" w:eastAsia="zh-CN"/>
        </w:rPr>
        <w:t>66.79</w:t>
      </w:r>
      <w:r>
        <w:rPr>
          <w:rStyle w:val="18"/>
          <w:rFonts w:hint="eastAsia" w:ascii="仿宋" w:hAnsi="仿宋" w:eastAsia="仿宋" w:cs="仿宋"/>
          <w:b w:val="0"/>
          <w:bCs/>
          <w:sz w:val="32"/>
          <w:szCs w:val="32"/>
        </w:rPr>
        <w:t>万元，完成预算100%。</w:t>
      </w:r>
    </w:p>
    <w:p w14:paraId="41C10C98">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卫生健康</w:t>
      </w:r>
      <w:r>
        <w:rPr>
          <w:rStyle w:val="18"/>
          <w:rFonts w:hint="eastAsia" w:ascii="仿宋" w:hAnsi="仿宋" w:eastAsia="仿宋" w:cs="仿宋"/>
          <w:bCs/>
          <w:sz w:val="32"/>
          <w:szCs w:val="32"/>
        </w:rPr>
        <w:t>（类）</w:t>
      </w:r>
      <w:r>
        <w:rPr>
          <w:rFonts w:hint="eastAsia" w:ascii="仿宋" w:hAnsi="仿宋" w:eastAsia="仿宋" w:cs="仿宋"/>
          <w:b/>
          <w:bCs/>
          <w:sz w:val="32"/>
          <w:szCs w:val="32"/>
        </w:rPr>
        <w:t>行政事业单位医疗</w:t>
      </w:r>
      <w:r>
        <w:rPr>
          <w:rStyle w:val="18"/>
          <w:rFonts w:hint="eastAsia" w:ascii="仿宋" w:hAnsi="仿宋" w:eastAsia="仿宋" w:cs="仿宋"/>
          <w:bCs/>
          <w:sz w:val="32"/>
          <w:szCs w:val="32"/>
        </w:rPr>
        <w:t>（款）</w:t>
      </w:r>
      <w:r>
        <w:rPr>
          <w:rFonts w:hint="eastAsia" w:ascii="仿宋" w:hAnsi="仿宋" w:eastAsia="仿宋" w:cs="仿宋"/>
          <w:b/>
          <w:color w:val="000000"/>
          <w:kern w:val="0"/>
          <w:sz w:val="32"/>
          <w:szCs w:val="32"/>
        </w:rPr>
        <w:t>事业单位医疗</w:t>
      </w:r>
      <w:r>
        <w:rPr>
          <w:rStyle w:val="18"/>
          <w:rFonts w:hint="eastAsia" w:ascii="仿宋" w:hAnsi="仿宋" w:eastAsia="仿宋" w:cs="仿宋"/>
          <w:bCs/>
          <w:sz w:val="32"/>
          <w:szCs w:val="32"/>
        </w:rPr>
        <w:t>（项）</w:t>
      </w:r>
      <w:r>
        <w:rPr>
          <w:rStyle w:val="18"/>
          <w:rFonts w:hint="eastAsia" w:ascii="仿宋" w:hAnsi="仿宋" w:eastAsia="仿宋" w:cs="仿宋"/>
          <w:bCs/>
          <w:sz w:val="32"/>
          <w:szCs w:val="32"/>
          <w:lang w:eastAsia="zh-CN"/>
        </w:rPr>
        <w:t>：</w:t>
      </w:r>
      <w:r>
        <w:rPr>
          <w:rStyle w:val="18"/>
          <w:rFonts w:hint="eastAsia" w:ascii="仿宋" w:hAnsi="仿宋" w:eastAsia="仿宋" w:cs="仿宋"/>
          <w:b w:val="0"/>
          <w:bCs/>
          <w:sz w:val="32"/>
          <w:szCs w:val="32"/>
        </w:rPr>
        <w:t>支出决算为</w:t>
      </w:r>
      <w:r>
        <w:rPr>
          <w:rStyle w:val="18"/>
          <w:rFonts w:hint="eastAsia" w:ascii="仿宋" w:hAnsi="仿宋" w:eastAsia="仿宋" w:cs="仿宋"/>
          <w:b w:val="0"/>
          <w:bCs/>
          <w:sz w:val="32"/>
          <w:szCs w:val="32"/>
          <w:lang w:val="en-US" w:eastAsia="zh-CN"/>
        </w:rPr>
        <w:t>68.61</w:t>
      </w:r>
      <w:r>
        <w:rPr>
          <w:rStyle w:val="18"/>
          <w:rFonts w:hint="eastAsia" w:ascii="仿宋" w:hAnsi="仿宋" w:eastAsia="仿宋" w:cs="仿宋"/>
          <w:b w:val="0"/>
          <w:bCs/>
          <w:sz w:val="32"/>
          <w:szCs w:val="32"/>
        </w:rPr>
        <w:t>万元，完成预算100%。</w:t>
      </w:r>
    </w:p>
    <w:p w14:paraId="46607EE0">
      <w:pPr>
        <w:pStyle w:val="22"/>
        <w:pageBreakBefore w:val="0"/>
        <w:widowControl w:val="0"/>
        <w:kinsoku/>
        <w:wordWrap/>
        <w:overflowPunct/>
        <w:topLinePunct w:val="0"/>
        <w:autoSpaceDE/>
        <w:autoSpaceDN/>
        <w:bidi w:val="0"/>
        <w:adjustRightInd/>
        <w:snapToGrid/>
        <w:spacing w:before="0" w:after="0"/>
        <w:ind w:firstLine="643"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住房保障</w:t>
      </w:r>
      <w:r>
        <w:rPr>
          <w:rStyle w:val="18"/>
          <w:rFonts w:hint="eastAsia" w:ascii="仿宋" w:hAnsi="仿宋" w:eastAsia="仿宋" w:cs="仿宋"/>
          <w:b/>
          <w:bCs/>
          <w:sz w:val="32"/>
          <w:szCs w:val="32"/>
        </w:rPr>
        <w:t>（类）</w:t>
      </w:r>
      <w:r>
        <w:rPr>
          <w:rFonts w:hint="eastAsia" w:ascii="仿宋" w:hAnsi="仿宋" w:eastAsia="仿宋" w:cs="仿宋"/>
          <w:b/>
          <w:bCs/>
          <w:sz w:val="32"/>
          <w:szCs w:val="32"/>
        </w:rPr>
        <w:t>住房改革支出</w:t>
      </w:r>
      <w:r>
        <w:rPr>
          <w:rStyle w:val="18"/>
          <w:rFonts w:hint="eastAsia" w:ascii="仿宋" w:hAnsi="仿宋" w:eastAsia="仿宋" w:cs="仿宋"/>
          <w:b/>
          <w:bCs/>
          <w:sz w:val="32"/>
          <w:szCs w:val="32"/>
        </w:rPr>
        <w:t>（款）</w:t>
      </w:r>
      <w:r>
        <w:rPr>
          <w:rFonts w:hint="eastAsia" w:ascii="仿宋" w:hAnsi="仿宋" w:eastAsia="仿宋" w:cs="仿宋"/>
          <w:b/>
          <w:bCs/>
          <w:sz w:val="32"/>
          <w:szCs w:val="32"/>
        </w:rPr>
        <w:t>住房公积金</w:t>
      </w:r>
      <w:r>
        <w:rPr>
          <w:rStyle w:val="18"/>
          <w:rFonts w:hint="eastAsia" w:ascii="仿宋" w:hAnsi="仿宋" w:eastAsia="仿宋" w:cs="仿宋"/>
          <w:b/>
          <w:bCs/>
          <w:sz w:val="32"/>
          <w:szCs w:val="32"/>
        </w:rPr>
        <w:t>（项）</w:t>
      </w:r>
      <w:r>
        <w:rPr>
          <w:rStyle w:val="18"/>
          <w:rFonts w:hint="eastAsia" w:ascii="仿宋" w:hAnsi="仿宋" w:eastAsia="仿宋" w:cs="仿宋"/>
          <w:b/>
          <w:bCs/>
          <w:sz w:val="32"/>
          <w:szCs w:val="32"/>
          <w:lang w:eastAsia="zh-CN"/>
        </w:rPr>
        <w:t>：</w:t>
      </w:r>
      <w:r>
        <w:rPr>
          <w:rStyle w:val="18"/>
          <w:rFonts w:hint="eastAsia" w:ascii="仿宋" w:hAnsi="仿宋" w:eastAsia="仿宋" w:cs="仿宋"/>
          <w:b w:val="0"/>
          <w:bCs/>
          <w:sz w:val="32"/>
          <w:szCs w:val="32"/>
        </w:rPr>
        <w:t xml:space="preserve"> 支出决算为</w:t>
      </w:r>
      <w:r>
        <w:rPr>
          <w:rStyle w:val="18"/>
          <w:rFonts w:hint="eastAsia" w:ascii="仿宋" w:hAnsi="仿宋" w:eastAsia="仿宋" w:cs="仿宋"/>
          <w:b w:val="0"/>
          <w:bCs/>
          <w:sz w:val="32"/>
          <w:szCs w:val="32"/>
          <w:lang w:val="en-US" w:eastAsia="zh-CN"/>
        </w:rPr>
        <w:t>159.4</w:t>
      </w:r>
      <w:r>
        <w:rPr>
          <w:rStyle w:val="18"/>
          <w:rFonts w:hint="eastAsia" w:ascii="仿宋" w:hAnsi="仿宋" w:eastAsia="仿宋" w:cs="仿宋"/>
          <w:b w:val="0"/>
          <w:bCs/>
          <w:sz w:val="32"/>
          <w:szCs w:val="32"/>
        </w:rPr>
        <w:t>万元，完成预算100%</w:t>
      </w:r>
      <w:r>
        <w:rPr>
          <w:rStyle w:val="18"/>
          <w:rFonts w:hint="eastAsia" w:ascii="仿宋" w:hAnsi="仿宋" w:eastAsia="仿宋" w:cs="仿宋"/>
          <w:b w:val="0"/>
          <w:bCs/>
          <w:sz w:val="32"/>
          <w:szCs w:val="32"/>
          <w:lang w:eastAsia="zh-CN"/>
        </w:rPr>
        <w:t>。</w:t>
      </w:r>
    </w:p>
    <w:p w14:paraId="37E6226D">
      <w:pPr>
        <w:tabs>
          <w:tab w:val="right" w:pos="8306"/>
        </w:tabs>
        <w:spacing w:line="600" w:lineRule="exact"/>
        <w:ind w:firstLine="320" w:firstLineChars="100"/>
        <w:outlineLvl w:val="1"/>
        <w:rPr>
          <w:rStyle w:val="32"/>
          <w:rFonts w:ascii="Times New Roman" w:hAnsi="Times New Roman"/>
          <w:color w:val="auto"/>
          <w:highlight w:val="none"/>
        </w:rPr>
      </w:pPr>
      <w:bookmarkStart w:id="73" w:name="_Toc15396608"/>
      <w:bookmarkStart w:id="74" w:name="_Toc29410"/>
      <w:bookmarkStart w:id="75" w:name="_Toc30909"/>
      <w:bookmarkStart w:id="76" w:name="_Toc15377214"/>
      <w:r>
        <w:rPr>
          <w:rFonts w:hint="eastAsia" w:ascii="Times New Roman" w:hAnsi="Times New Roman" w:eastAsia="黑体"/>
          <w:color w:val="auto"/>
          <w:sz w:val="32"/>
          <w:szCs w:val="32"/>
          <w:highlight w:val="none"/>
        </w:rPr>
        <w:t>六、一般公共预算财政拨款基本支出决算情况说明</w:t>
      </w:r>
      <w:bookmarkEnd w:id="73"/>
      <w:bookmarkEnd w:id="74"/>
      <w:bookmarkEnd w:id="75"/>
      <w:bookmarkEnd w:id="76"/>
      <w:r>
        <w:rPr>
          <w:rStyle w:val="32"/>
          <w:rFonts w:ascii="Times New Roman" w:hAnsi="Times New Roman" w:eastAsia="黑体"/>
          <w:b w:val="0"/>
          <w:color w:val="auto"/>
          <w:highlight w:val="none"/>
        </w:rPr>
        <w:tab/>
      </w:r>
    </w:p>
    <w:p w14:paraId="0B1F8E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2171.85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74F24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2088.5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伙食补助费、绩效工资、机关事业单位基本养老保险缴费、职业年金缴费、其他社会保障缴费、其他工资福利支出、抚恤金、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83.35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eastAsia="仿宋_GB2312" w:cs="仿宋_GB2312"/>
          <w:color w:val="auto"/>
          <w:kern w:val="2"/>
          <w:sz w:val="32"/>
          <w:szCs w:val="32"/>
          <w:highlight w:val="none"/>
          <w:lang w:val="en-US" w:eastAsia="zh-CN" w:bidi="ar-SA"/>
        </w:rPr>
        <w:t>工会费、福利费。</w:t>
      </w:r>
    </w:p>
    <w:p w14:paraId="18FC76F9">
      <w:pPr>
        <w:spacing w:line="600" w:lineRule="exact"/>
        <w:ind w:firstLine="640"/>
        <w:outlineLvl w:val="1"/>
        <w:rPr>
          <w:rStyle w:val="32"/>
          <w:rFonts w:ascii="Times New Roman" w:hAnsi="Times New Roman" w:eastAsia="黑体"/>
          <w:b w:val="0"/>
          <w:color w:val="auto"/>
          <w:highlight w:val="none"/>
        </w:rPr>
      </w:pPr>
      <w:bookmarkStart w:id="77" w:name="_Toc20078"/>
      <w:bookmarkStart w:id="78" w:name="_Toc15377215"/>
      <w:bookmarkStart w:id="79" w:name="_Toc15396609"/>
      <w:bookmarkStart w:id="80" w:name="_Toc9270"/>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77"/>
      <w:bookmarkEnd w:id="78"/>
      <w:bookmarkEnd w:id="79"/>
      <w:bookmarkEnd w:id="80"/>
    </w:p>
    <w:p w14:paraId="44BD8EE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81"/>
    </w:p>
    <w:p w14:paraId="2EB8BFC7">
      <w:pPr>
        <w:keepNext/>
        <w:keepLines/>
        <w:spacing w:beforeLines="0" w:afterLines="0" w:line="576" w:lineRule="exact"/>
        <w:ind w:firstLine="640"/>
        <w:jc w:val="both"/>
        <w:rPr>
          <w:rFonts w:hint="default" w:ascii="仿宋_GB2312" w:hAnsi="仿宋" w:eastAsia="仿宋" w:cs="仿宋"/>
          <w:color w:val="000000"/>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0.07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87.50</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ascii="仿宋" w:hAnsi="仿宋" w:eastAsia="仿宋"/>
          <w:sz w:val="32"/>
          <w:szCs w:val="32"/>
          <w:lang w:eastAsia="zh-CN"/>
        </w:rPr>
        <w:t>学校</w:t>
      </w:r>
      <w:r>
        <w:rPr>
          <w:rFonts w:hint="eastAsia" w:ascii="仿宋" w:hAnsi="仿宋" w:eastAsia="仿宋"/>
          <w:sz w:val="32"/>
          <w:szCs w:val="32"/>
          <w:lang w:val="en-US" w:eastAsia="zh-CN"/>
        </w:rPr>
        <w:t>预算合理，接待金额在预算内，无铺张浪费。</w:t>
      </w:r>
    </w:p>
    <w:p w14:paraId="2CD608C9">
      <w:pPr>
        <w:spacing w:line="600" w:lineRule="exact"/>
        <w:ind w:firstLine="321" w:firstLineChars="100"/>
        <w:outlineLvl w:val="2"/>
        <w:rPr>
          <w:rFonts w:hint="eastAsia" w:ascii="Times New Roman" w:hAnsi="Times New Roman" w:eastAsia="楷体_GB2312" w:cs="楷体_GB2312"/>
          <w:b/>
          <w:color w:val="auto"/>
          <w:sz w:val="32"/>
          <w:szCs w:val="32"/>
          <w:highlight w:val="none"/>
        </w:rPr>
      </w:pPr>
      <w:bookmarkStart w:id="8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2"/>
    </w:p>
    <w:p w14:paraId="0FEAA57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2024年度“三公”经费财政拨款支出决算中，公务接待费支出决算</w:t>
      </w:r>
      <w:r>
        <w:rPr>
          <w:rFonts w:hint="eastAsia" w:ascii="仿宋_GB2312" w:hAnsi="仿宋_GB2312" w:eastAsia="仿宋_GB2312" w:cs="仿宋_GB2312"/>
          <w:sz w:val="32"/>
          <w:szCs w:val="32"/>
        </w:rPr>
        <w:t>0.07</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12ABAA5">
      <w:pPr>
        <w:pStyle w:val="2"/>
        <w:rPr>
          <w:rFonts w:hint="eastAsia"/>
          <w:lang w:val="en-US" w:eastAsia="zh-CN"/>
        </w:rPr>
      </w:pPr>
    </w:p>
    <w:p w14:paraId="6DA61A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342265</wp:posOffset>
            </wp:positionH>
            <wp:positionV relativeFrom="paragraph">
              <wp:posOffset>48260</wp:posOffset>
            </wp:positionV>
            <wp:extent cx="4843145" cy="2103755"/>
            <wp:effectExtent l="4445" t="4445" r="10160" b="635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44967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1906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24663F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4D16593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265EFDA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05719EE">
      <w:pPr>
        <w:spacing w:line="600" w:lineRule="exact"/>
        <w:ind w:firstLine="640"/>
        <w:rPr>
          <w:rFonts w:ascii="仿宋_GB2312" w:eastAsia="仿宋_GB2312"/>
          <w:b/>
          <w:sz w:val="32"/>
          <w:szCs w:val="32"/>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因公出国（境）支出决算</w:t>
      </w:r>
      <w:r>
        <w:rPr>
          <w:rFonts w:hint="eastAsia" w:ascii="仿宋_GB2312" w:eastAsia="仿宋_GB2312"/>
          <w:sz w:val="32"/>
          <w:szCs w:val="32"/>
          <w:lang w:val="en-US"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决算数持平。</w:t>
      </w:r>
    </w:p>
    <w:p w14:paraId="4CEC46C1">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0757F81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333DABEF">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57E60D2F">
      <w:pPr>
        <w:keepNext/>
        <w:keepLines/>
        <w:spacing w:beforeLines="0" w:afterLines="0" w:line="576" w:lineRule="exact"/>
        <w:ind w:firstLine="64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87.5</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ascii="仿宋" w:hAnsi="仿宋" w:eastAsia="仿宋"/>
          <w:sz w:val="32"/>
          <w:szCs w:val="32"/>
          <w:lang w:val="en-US" w:eastAsia="zh-CN"/>
        </w:rPr>
        <w:t>接待金额在预算内，无铺张浪费。</w:t>
      </w:r>
    </w:p>
    <w:p w14:paraId="5C18AE8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本年度接待艺术花园远程公益教育项目执行组赴峨边调研公益教育，共12人，金额700元。</w:t>
      </w:r>
    </w:p>
    <w:p w14:paraId="5FBF4A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83" w:name="_Toc15377218"/>
      <w:bookmarkStart w:id="84" w:name="_Toc15396610"/>
    </w:p>
    <w:p w14:paraId="5D17AB92">
      <w:pPr>
        <w:spacing w:line="600" w:lineRule="exact"/>
        <w:ind w:firstLine="640"/>
        <w:outlineLvl w:val="1"/>
        <w:rPr>
          <w:rStyle w:val="32"/>
          <w:rFonts w:ascii="Times New Roman" w:hAnsi="Times New Roman" w:eastAsia="黑体"/>
          <w:color w:val="auto"/>
          <w:highlight w:val="none"/>
        </w:rPr>
      </w:pPr>
      <w:bookmarkStart w:id="85" w:name="_Toc30370"/>
      <w:bookmarkStart w:id="86" w:name="_Toc27433"/>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83"/>
      <w:bookmarkEnd w:id="84"/>
      <w:bookmarkEnd w:id="85"/>
      <w:bookmarkEnd w:id="86"/>
    </w:p>
    <w:p w14:paraId="5D9846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AB04E44">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87" w:name="_Toc15377219"/>
      <w:bookmarkStart w:id="88" w:name="_Toc22322"/>
      <w:bookmarkStart w:id="89" w:name="_Toc21543"/>
      <w:bookmarkStart w:id="90"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87"/>
      <w:bookmarkEnd w:id="88"/>
      <w:bookmarkEnd w:id="89"/>
      <w:bookmarkEnd w:id="90"/>
    </w:p>
    <w:p w14:paraId="3E0AC2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5FB193B5">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91" w:name="_Toc19694"/>
      <w:bookmarkStart w:id="92" w:name="_Toc15377221"/>
      <w:bookmarkStart w:id="93" w:name="_Toc15396612"/>
      <w:bookmarkStart w:id="94" w:name="_Toc20954"/>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91"/>
      <w:bookmarkEnd w:id="92"/>
      <w:bookmarkEnd w:id="93"/>
      <w:bookmarkEnd w:id="94"/>
    </w:p>
    <w:p w14:paraId="552BBE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5" w:name="_Toc15377222"/>
      <w:r>
        <w:rPr>
          <w:rFonts w:hint="eastAsia" w:ascii="Times New Roman" w:hAnsi="Times New Roman" w:eastAsia="楷体_GB2312" w:cs="楷体_GB2312"/>
          <w:b/>
          <w:color w:val="auto"/>
          <w:sz w:val="32"/>
          <w:szCs w:val="32"/>
          <w:highlight w:val="none"/>
        </w:rPr>
        <w:t>（一）机关运行经费支出情况</w:t>
      </w:r>
      <w:bookmarkEnd w:id="95"/>
    </w:p>
    <w:p w14:paraId="19444453">
      <w:pPr>
        <w:spacing w:line="600" w:lineRule="exact"/>
        <w:ind w:firstLine="640" w:firstLineChars="200"/>
        <w:outlineLvl w:val="2"/>
        <w:rPr>
          <w:rFonts w:hint="eastAsia" w:ascii="仿宋_GB2312" w:eastAsia="仿宋_GB2312"/>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峨边彝族自治县沙坪镇中心小学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w:t>
      </w:r>
      <w:bookmarkStart w:id="96" w:name="_Toc15377223"/>
      <w:r>
        <w:rPr>
          <w:rFonts w:hint="eastAsia" w:ascii="仿宋_GB2312" w:eastAsia="仿宋_GB2312"/>
          <w:sz w:val="32"/>
          <w:szCs w:val="32"/>
        </w:rPr>
        <w:t>度</w:t>
      </w:r>
      <w:r>
        <w:rPr>
          <w:rFonts w:hint="eastAsia" w:ascii="仿宋_GB2312" w:eastAsia="仿宋_GB2312"/>
          <w:sz w:val="32"/>
          <w:szCs w:val="32"/>
          <w:lang w:val="en-US" w:eastAsia="zh-CN"/>
        </w:rPr>
        <w:t>决算数持平。</w:t>
      </w:r>
    </w:p>
    <w:p w14:paraId="54BA7C0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96"/>
    </w:p>
    <w:p w14:paraId="42BAE6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峨边彝族自治县沙坪镇中心小学</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945266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7" w:name="_Toc15377224"/>
      <w:r>
        <w:rPr>
          <w:rFonts w:hint="eastAsia" w:ascii="Times New Roman" w:hAnsi="Times New Roman" w:eastAsia="楷体_GB2312" w:cs="楷体_GB2312"/>
          <w:b/>
          <w:color w:val="auto"/>
          <w:sz w:val="32"/>
          <w:szCs w:val="32"/>
          <w:highlight w:val="none"/>
        </w:rPr>
        <w:t>（三）国有资产占有使用情况</w:t>
      </w:r>
      <w:bookmarkEnd w:id="97"/>
    </w:p>
    <w:p w14:paraId="600657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峨边彝族自治县沙坪镇中心小学</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67DBA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3A0305A">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在2024年度预算编制阶段，组织对学前教育保教费减免补助</w:t>
      </w:r>
      <w:r>
        <w:rPr>
          <w:rFonts w:hint="eastAsia" w:eastAsia="仿宋_GB2312" w:cs="仿宋_GB2312"/>
          <w:color w:val="auto"/>
          <w:kern w:val="2"/>
          <w:sz w:val="32"/>
          <w:szCs w:val="32"/>
          <w:highlight w:val="none"/>
          <w:lang w:val="en-US" w:eastAsia="zh-CN" w:bidi="ar-SA"/>
        </w:rPr>
        <w:t>、义务教育公用经费、义务教育营养改善计划</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个项目编制了绩效目标</w:t>
      </w:r>
      <w:bookmarkStart w:id="123" w:name="_GoBack"/>
      <w:r>
        <w:rPr>
          <w:rFonts w:hint="eastAsia" w:eastAsia="仿宋_GB2312" w:cs="仿宋_GB2312"/>
          <w:color w:val="auto"/>
          <w:kern w:val="2"/>
          <w:sz w:val="32"/>
          <w:szCs w:val="32"/>
          <w:highlight w:val="none"/>
          <w:lang w:val="en-US" w:eastAsia="zh-CN" w:bidi="ar-SA"/>
        </w:rPr>
        <w:t>，在</w:t>
      </w:r>
      <w:bookmarkEnd w:id="123"/>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绩效自评表详见第四部分附件。</w:t>
      </w:r>
    </w:p>
    <w:p w14:paraId="77C1BEB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br w:type="page"/>
      </w:r>
    </w:p>
    <w:p w14:paraId="7D71AD8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8" w:name="_Toc6191"/>
      <w:bookmarkStart w:id="99" w:name="_Toc15377225"/>
      <w:bookmarkStart w:id="100" w:name="_Toc31909"/>
      <w:bookmarkStart w:id="101"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8"/>
      <w:bookmarkEnd w:id="99"/>
      <w:bookmarkEnd w:id="100"/>
      <w:bookmarkEnd w:id="101"/>
    </w:p>
    <w:p w14:paraId="456B7BD1">
      <w:pPr>
        <w:spacing w:line="600" w:lineRule="exact"/>
        <w:jc w:val="left"/>
        <w:rPr>
          <w:rFonts w:ascii="Times New Roman" w:hAnsi="Times New Roman"/>
          <w:b/>
          <w:color w:val="auto"/>
          <w:sz w:val="44"/>
          <w:szCs w:val="44"/>
          <w:highlight w:val="none"/>
        </w:rPr>
      </w:pPr>
    </w:p>
    <w:p w14:paraId="0A5B36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9420A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B3091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AA2BF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25EFEE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3ACBE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AB194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w:t>
      </w:r>
    </w:p>
    <w:p w14:paraId="54934A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AB136F6">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32B15641">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15A2B5C7">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369584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0755B9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4C5FFE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color w:val="000000"/>
          <w:kern w:val="0"/>
          <w:sz w:val="32"/>
          <w:szCs w:val="32"/>
        </w:rPr>
      </w:pPr>
      <w:r>
        <w:rPr>
          <w:rFonts w:hint="eastAsia" w:ascii="仿宋" w:hAnsi="仿宋" w:eastAsia="仿宋" w:cs="宋体"/>
          <w:kern w:val="0"/>
          <w:sz w:val="32"/>
          <w:szCs w:val="32"/>
        </w:rPr>
        <w:t>14.社会保障和就业（类）行政事业单位离退休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6EB0E87E">
      <w:pPr>
        <w:spacing w:line="600" w:lineRule="exact"/>
        <w:ind w:firstLine="640" w:firstLineChars="200"/>
        <w:rPr>
          <w:rStyle w:val="18"/>
          <w:rFonts w:ascii="仿宋" w:hAnsi="仿宋" w:eastAsia="仿宋"/>
          <w:b w:val="0"/>
          <w:bCs w:val="0"/>
          <w:color w:val="000000"/>
          <w:sz w:val="32"/>
          <w:szCs w:val="32"/>
        </w:rPr>
      </w:pPr>
      <w:r>
        <w:rPr>
          <w:rStyle w:val="18"/>
          <w:rFonts w:hint="eastAsia" w:ascii="仿宋" w:hAnsi="仿宋" w:eastAsia="仿宋"/>
          <w:b w:val="0"/>
          <w:bCs w:val="0"/>
          <w:color w:val="000000"/>
          <w:sz w:val="32"/>
          <w:szCs w:val="32"/>
        </w:rPr>
        <w:t>15</w:t>
      </w:r>
      <w:r>
        <w:rPr>
          <w:rStyle w:val="18"/>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社会保障和就业（类）行政事业单位离退休（款）机关事业单位职业年金缴费支出（项）：反映机关事业单位实施养老保险制度由单位缴纳的职业年金支出。</w:t>
      </w:r>
    </w:p>
    <w:p w14:paraId="55441F66">
      <w:pPr>
        <w:spacing w:line="600" w:lineRule="exact"/>
        <w:ind w:firstLine="640" w:firstLineChars="200"/>
        <w:rPr>
          <w:rFonts w:ascii="仿宋" w:hAnsi="仿宋" w:eastAsia="仿宋" w:cs="宋体"/>
          <w:b w:val="0"/>
          <w:bCs w:val="0"/>
          <w:color w:val="000000"/>
          <w:kern w:val="0"/>
          <w:sz w:val="32"/>
          <w:szCs w:val="32"/>
        </w:rPr>
      </w:pPr>
      <w:r>
        <w:rPr>
          <w:rStyle w:val="18"/>
          <w:rFonts w:hint="eastAsia" w:ascii="仿宋" w:hAnsi="仿宋" w:eastAsia="仿宋"/>
          <w:b w:val="0"/>
          <w:bCs w:val="0"/>
          <w:color w:val="000000"/>
          <w:sz w:val="32"/>
          <w:szCs w:val="32"/>
        </w:rPr>
        <w:t>16</w:t>
      </w:r>
      <w:r>
        <w:rPr>
          <w:rStyle w:val="18"/>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社会保障和就业（类）其他社会保障和就业（款）其他社会保障和就业支出（项）：反映除上述项目以外其他用于行政事业单位养老方面的支出。</w:t>
      </w:r>
    </w:p>
    <w:p w14:paraId="256CB417">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17</w:t>
      </w:r>
      <w:r>
        <w:rPr>
          <w:rStyle w:val="18"/>
          <w:rFonts w:ascii="仿宋" w:hAnsi="仿宋" w:eastAsia="仿宋"/>
          <w:bCs/>
          <w:color w:val="00000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022C5F49">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18</w:t>
      </w:r>
      <w:r>
        <w:rPr>
          <w:rStyle w:val="18"/>
          <w:rFonts w:ascii="仿宋" w:hAnsi="仿宋" w:eastAsia="仿宋"/>
          <w:bCs/>
          <w:color w:val="00000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510F02AC">
      <w:pPr>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76313D94">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.基本支出：指为保障机构正常运转、完成日常工作任务而发生的人员支出和公用支出。</w:t>
      </w:r>
    </w:p>
    <w:p w14:paraId="7F32E059">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 xml:space="preserve">.项目支出：指在基本支出之外为完成特定行政任务和事业发展目标所发生的支出。 </w:t>
      </w:r>
    </w:p>
    <w:p w14:paraId="5BC3BCD1">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.经营支出：指事业单位在专业业务活动及其辅助活动之外开展非独立核算经营活动发生的支出。</w:t>
      </w:r>
    </w:p>
    <w:p w14:paraId="25883F8B">
      <w:pPr>
        <w:pStyle w:val="29"/>
        <w:spacing w:line="560" w:lineRule="exact"/>
        <w:ind w:firstLine="640" w:firstLineChars="200"/>
        <w:jc w:val="both"/>
        <w:rPr>
          <w:rFonts w:hint="eastAsia" w:hAnsi="仿宋" w:eastAsia="仿宋" w:cs="Times New Roman"/>
          <w:kern w:val="2"/>
          <w:sz w:val="32"/>
          <w:szCs w:val="32"/>
          <w:lang w:eastAsia="zh-CN"/>
        </w:rPr>
      </w:pPr>
      <w:r>
        <w:rPr>
          <w:rFonts w:hint="eastAsia" w:hAnsi="仿宋" w:cs="Times New Roman"/>
          <w:kern w:val="2"/>
          <w:sz w:val="32"/>
          <w:szCs w:val="32"/>
          <w:lang w:val="en-US" w:eastAsia="zh-CN"/>
        </w:rPr>
        <w:t>23</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102" w:name="_Toc15396614"/>
      <w:r>
        <w:rPr>
          <w:rFonts w:hint="eastAsia" w:hAnsi="仿宋" w:cs="Times New Roman"/>
          <w:kern w:val="2"/>
          <w:sz w:val="32"/>
          <w:szCs w:val="32"/>
          <w:lang w:eastAsia="zh-CN"/>
        </w:rPr>
        <w:t>。</w:t>
      </w:r>
    </w:p>
    <w:p w14:paraId="0FBE62A4">
      <w:pPr>
        <w:pStyle w:val="29"/>
        <w:spacing w:line="560" w:lineRule="exact"/>
        <w:ind w:firstLine="1760" w:firstLineChars="400"/>
        <w:jc w:val="both"/>
        <w:rPr>
          <w:rFonts w:hint="eastAsia" w:ascii="Times New Roman" w:hAnsi="Times New Roman" w:eastAsia="黑体"/>
          <w:color w:val="auto"/>
          <w:sz w:val="44"/>
          <w:szCs w:val="44"/>
          <w:highlight w:val="none"/>
        </w:rPr>
      </w:pPr>
    </w:p>
    <w:p w14:paraId="64EBEAF2">
      <w:pPr>
        <w:pStyle w:val="29"/>
        <w:spacing w:line="560" w:lineRule="exact"/>
        <w:ind w:firstLine="1760" w:firstLineChars="400"/>
        <w:jc w:val="both"/>
        <w:rPr>
          <w:rFonts w:hint="eastAsia" w:ascii="Times New Roman" w:hAnsi="Times New Roman" w:eastAsia="黑体"/>
          <w:color w:val="auto"/>
          <w:sz w:val="44"/>
          <w:szCs w:val="44"/>
          <w:highlight w:val="none"/>
        </w:rPr>
      </w:pPr>
    </w:p>
    <w:p w14:paraId="01403E01">
      <w:pPr>
        <w:pStyle w:val="29"/>
        <w:spacing w:line="560" w:lineRule="exact"/>
        <w:ind w:firstLine="1760" w:firstLineChars="400"/>
        <w:jc w:val="both"/>
        <w:rPr>
          <w:rFonts w:hint="eastAsia" w:ascii="Times New Roman" w:hAnsi="Times New Roman" w:eastAsia="黑体"/>
          <w:color w:val="auto"/>
          <w:sz w:val="44"/>
          <w:szCs w:val="44"/>
          <w:highlight w:val="none"/>
        </w:rPr>
      </w:pPr>
    </w:p>
    <w:p w14:paraId="00EF4311">
      <w:pPr>
        <w:pStyle w:val="29"/>
        <w:spacing w:line="560" w:lineRule="exact"/>
        <w:ind w:firstLine="1760" w:firstLineChars="400"/>
        <w:jc w:val="both"/>
        <w:rPr>
          <w:rFonts w:hint="eastAsia" w:ascii="Times New Roman" w:hAnsi="Times New Roman" w:eastAsia="黑体"/>
          <w:color w:val="auto"/>
          <w:sz w:val="44"/>
          <w:szCs w:val="44"/>
          <w:highlight w:val="none"/>
        </w:rPr>
      </w:pPr>
    </w:p>
    <w:p w14:paraId="1E017472">
      <w:pPr>
        <w:pStyle w:val="29"/>
        <w:spacing w:line="560" w:lineRule="exact"/>
        <w:ind w:firstLine="1760" w:firstLineChars="400"/>
        <w:jc w:val="both"/>
        <w:rPr>
          <w:rFonts w:hint="eastAsia" w:ascii="Times New Roman" w:hAnsi="Times New Roman" w:eastAsia="黑体"/>
          <w:color w:val="auto"/>
          <w:sz w:val="44"/>
          <w:szCs w:val="44"/>
          <w:highlight w:val="none"/>
        </w:rPr>
      </w:pPr>
    </w:p>
    <w:p w14:paraId="1C04345E">
      <w:pPr>
        <w:pStyle w:val="29"/>
        <w:spacing w:line="560" w:lineRule="exact"/>
        <w:ind w:firstLine="1760" w:firstLineChars="400"/>
        <w:jc w:val="both"/>
        <w:rPr>
          <w:rFonts w:hint="eastAsia" w:ascii="Times New Roman" w:hAnsi="Times New Roman" w:eastAsia="黑体"/>
          <w:color w:val="auto"/>
          <w:sz w:val="44"/>
          <w:szCs w:val="44"/>
          <w:highlight w:val="none"/>
        </w:rPr>
      </w:pPr>
    </w:p>
    <w:p w14:paraId="13FEC3E2">
      <w:pPr>
        <w:pStyle w:val="29"/>
        <w:spacing w:line="560" w:lineRule="exact"/>
        <w:ind w:firstLine="1760" w:firstLineChars="400"/>
        <w:jc w:val="both"/>
        <w:rPr>
          <w:rFonts w:hint="eastAsia" w:ascii="Times New Roman" w:hAnsi="Times New Roman" w:eastAsia="黑体"/>
          <w:color w:val="auto"/>
          <w:sz w:val="44"/>
          <w:szCs w:val="44"/>
          <w:highlight w:val="none"/>
        </w:rPr>
      </w:pPr>
    </w:p>
    <w:p w14:paraId="3CB362F9">
      <w:pPr>
        <w:pStyle w:val="29"/>
        <w:spacing w:line="560" w:lineRule="exact"/>
        <w:ind w:firstLine="1760" w:firstLineChars="400"/>
        <w:jc w:val="both"/>
        <w:rPr>
          <w:rFonts w:hint="eastAsia" w:ascii="Times New Roman" w:hAnsi="Times New Roman" w:eastAsia="黑体"/>
          <w:color w:val="auto"/>
          <w:sz w:val="44"/>
          <w:szCs w:val="44"/>
          <w:highlight w:val="none"/>
        </w:rPr>
      </w:pPr>
    </w:p>
    <w:p w14:paraId="2DB8A6F5">
      <w:pPr>
        <w:pStyle w:val="29"/>
        <w:spacing w:line="560" w:lineRule="exact"/>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02"/>
    </w:p>
    <w:p w14:paraId="68FD1A5C">
      <w:pPr>
        <w:spacing w:line="600" w:lineRule="exact"/>
        <w:ind w:firstLine="640" w:firstLineChars="200"/>
        <w:jc w:val="center"/>
        <w:outlineLvl w:val="1"/>
        <w:rPr>
          <w:rFonts w:hint="eastAsia"/>
          <w:sz w:val="32"/>
          <w:szCs w:val="32"/>
        </w:rPr>
      </w:pPr>
      <w:bookmarkStart w:id="103" w:name="_Toc30195"/>
      <w:bookmarkStart w:id="104" w:name="_Toc29996"/>
      <w:bookmarkStart w:id="105" w:name="_Toc4770"/>
      <w:bookmarkStart w:id="106" w:name="_Toc27891"/>
      <w:bookmarkStart w:id="107" w:name="_Toc20282"/>
      <w:bookmarkStart w:id="108" w:name="_Toc4437"/>
      <w:bookmarkStart w:id="109" w:name="_Toc2712"/>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bookmarkEnd w:id="103"/>
      <w:bookmarkEnd w:id="104"/>
      <w:bookmarkEnd w:id="105"/>
      <w:bookmarkEnd w:id="106"/>
      <w:bookmarkEnd w:id="107"/>
      <w:bookmarkEnd w:id="108"/>
      <w:bookmarkEnd w:id="109"/>
    </w:p>
    <w:p w14:paraId="3BE1D388">
      <w:pPr>
        <w:pStyle w:val="2"/>
        <w:rPr>
          <w:rFonts w:hint="eastAsia"/>
        </w:rPr>
      </w:pPr>
    </w:p>
    <w:p w14:paraId="03D0C0A7">
      <w:pPr>
        <w:pStyle w:val="29"/>
        <w:spacing w:line="560" w:lineRule="exact"/>
        <w:ind w:firstLine="1760" w:firstLineChars="400"/>
        <w:jc w:val="both"/>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pict>
          <v:shape id="_x0000_s1026" o:spid="_x0000_s1026" o:spt="75" type="#_x0000_t75" style="position:absolute;left:0pt;margin-left:0.7pt;margin-top:8.05pt;height:550.25pt;width:425.8pt;z-index:251663360;mso-width-relative:page;mso-height-relative:page;" o:ole="t" filled="f" o:preferrelative="t" stroked="f" coordsize="21600,21600">
            <v:path/>
            <v:fill on="f" focussize="0,0"/>
            <v:stroke on="f"/>
            <v:imagedata r:id="rId19" o:title=""/>
            <o:lock v:ext="edit" aspectratio="f"/>
          </v:shape>
          <o:OLEObject Type="Embed" ProgID="Excel.Sheet.12" ShapeID="_x0000_s1026" DrawAspect="Content" ObjectID="_1468075725" r:id="rId18">
            <o:LockedField>false</o:LockedField>
          </o:OLEObject>
        </w:pict>
      </w:r>
    </w:p>
    <w:p w14:paraId="48CBC228">
      <w:pPr>
        <w:pStyle w:val="29"/>
        <w:spacing w:line="560" w:lineRule="exact"/>
        <w:ind w:firstLine="1760" w:firstLineChars="400"/>
        <w:jc w:val="both"/>
        <w:rPr>
          <w:rFonts w:hint="eastAsia" w:ascii="Times New Roman" w:hAnsi="Times New Roman" w:eastAsia="黑体"/>
          <w:color w:val="auto"/>
          <w:sz w:val="44"/>
          <w:szCs w:val="44"/>
          <w:highlight w:val="none"/>
        </w:rPr>
      </w:pPr>
    </w:p>
    <w:p w14:paraId="36BC17B7">
      <w:pPr>
        <w:pStyle w:val="29"/>
        <w:spacing w:line="560" w:lineRule="exact"/>
        <w:ind w:firstLine="1760" w:firstLineChars="400"/>
        <w:jc w:val="both"/>
        <w:rPr>
          <w:rFonts w:hint="eastAsia" w:ascii="Times New Roman" w:hAnsi="Times New Roman" w:eastAsia="黑体"/>
          <w:color w:val="auto"/>
          <w:sz w:val="44"/>
          <w:szCs w:val="44"/>
          <w:highlight w:val="none"/>
        </w:rPr>
      </w:pPr>
    </w:p>
    <w:p w14:paraId="7765499D">
      <w:pPr>
        <w:pStyle w:val="29"/>
        <w:spacing w:line="560" w:lineRule="exact"/>
        <w:ind w:firstLine="1760" w:firstLineChars="400"/>
        <w:jc w:val="both"/>
        <w:rPr>
          <w:rFonts w:hint="eastAsia" w:ascii="Times New Roman" w:hAnsi="Times New Roman" w:eastAsia="黑体"/>
          <w:color w:val="auto"/>
          <w:sz w:val="44"/>
          <w:szCs w:val="44"/>
          <w:highlight w:val="none"/>
        </w:rPr>
      </w:pPr>
    </w:p>
    <w:p w14:paraId="3C51308D">
      <w:pPr>
        <w:pStyle w:val="29"/>
        <w:spacing w:line="560" w:lineRule="exact"/>
        <w:ind w:firstLine="1760" w:firstLineChars="400"/>
        <w:jc w:val="both"/>
        <w:rPr>
          <w:rFonts w:hint="eastAsia" w:ascii="Times New Roman" w:hAnsi="Times New Roman" w:eastAsia="黑体"/>
          <w:color w:val="auto"/>
          <w:sz w:val="44"/>
          <w:szCs w:val="44"/>
          <w:highlight w:val="none"/>
        </w:rPr>
      </w:pPr>
    </w:p>
    <w:p w14:paraId="5DFDEB2C">
      <w:pPr>
        <w:pStyle w:val="29"/>
        <w:spacing w:line="560" w:lineRule="exact"/>
        <w:ind w:firstLine="1760" w:firstLineChars="400"/>
        <w:jc w:val="both"/>
        <w:rPr>
          <w:rFonts w:hint="eastAsia" w:ascii="Times New Roman" w:hAnsi="Times New Roman" w:eastAsia="黑体"/>
          <w:color w:val="auto"/>
          <w:sz w:val="44"/>
          <w:szCs w:val="44"/>
          <w:highlight w:val="none"/>
        </w:rPr>
      </w:pPr>
    </w:p>
    <w:p w14:paraId="6BDF5232">
      <w:pPr>
        <w:pStyle w:val="29"/>
        <w:spacing w:line="560" w:lineRule="exact"/>
        <w:jc w:val="both"/>
        <w:rPr>
          <w:rFonts w:hint="eastAsia" w:ascii="Times New Roman" w:hAnsi="Times New Roman" w:eastAsia="黑体"/>
          <w:color w:val="auto"/>
          <w:sz w:val="44"/>
          <w:szCs w:val="44"/>
          <w:highlight w:val="none"/>
        </w:rPr>
      </w:pPr>
    </w:p>
    <w:p w14:paraId="578DB4AD">
      <w:pPr>
        <w:pStyle w:val="29"/>
        <w:spacing w:line="560" w:lineRule="exact"/>
        <w:jc w:val="both"/>
        <w:rPr>
          <w:rFonts w:hint="eastAsia" w:ascii="Times New Roman" w:hAnsi="Times New Roman" w:eastAsia="黑体"/>
          <w:color w:val="auto"/>
          <w:sz w:val="44"/>
          <w:szCs w:val="44"/>
          <w:highlight w:val="none"/>
        </w:rPr>
      </w:pPr>
    </w:p>
    <w:p w14:paraId="085F03D5">
      <w:pPr>
        <w:pStyle w:val="29"/>
        <w:spacing w:line="560" w:lineRule="exact"/>
        <w:jc w:val="both"/>
        <w:rPr>
          <w:rFonts w:hint="eastAsia" w:ascii="Times New Roman" w:hAnsi="Times New Roman" w:eastAsia="黑体"/>
          <w:color w:val="auto"/>
          <w:sz w:val="44"/>
          <w:szCs w:val="44"/>
          <w:highlight w:val="none"/>
        </w:rPr>
      </w:pPr>
    </w:p>
    <w:p w14:paraId="06EFD7E8">
      <w:pPr>
        <w:pStyle w:val="29"/>
        <w:spacing w:line="560" w:lineRule="exact"/>
        <w:jc w:val="both"/>
        <w:rPr>
          <w:rFonts w:hint="eastAsia" w:ascii="Times New Roman" w:hAnsi="Times New Roman" w:eastAsia="黑体"/>
          <w:color w:val="auto"/>
          <w:sz w:val="44"/>
          <w:szCs w:val="44"/>
          <w:highlight w:val="none"/>
        </w:rPr>
      </w:pPr>
    </w:p>
    <w:p w14:paraId="3A64649C">
      <w:pPr>
        <w:pStyle w:val="29"/>
        <w:spacing w:line="560" w:lineRule="exact"/>
        <w:ind w:firstLine="1760" w:firstLineChars="400"/>
        <w:jc w:val="both"/>
        <w:rPr>
          <w:rFonts w:hint="eastAsia" w:ascii="Times New Roman" w:hAnsi="Times New Roman" w:eastAsia="黑体"/>
          <w:color w:val="auto"/>
          <w:sz w:val="44"/>
          <w:szCs w:val="44"/>
          <w:highlight w:val="none"/>
        </w:rPr>
      </w:pPr>
    </w:p>
    <w:p w14:paraId="25A32ADA">
      <w:pPr>
        <w:pStyle w:val="29"/>
        <w:spacing w:line="560" w:lineRule="exact"/>
        <w:jc w:val="both"/>
        <w:rPr>
          <w:rFonts w:hint="eastAsia" w:ascii="Times New Roman" w:hAnsi="Times New Roman" w:eastAsia="黑体"/>
          <w:color w:val="auto"/>
          <w:sz w:val="44"/>
          <w:szCs w:val="44"/>
          <w:highlight w:val="none"/>
        </w:rPr>
      </w:pPr>
    </w:p>
    <w:p w14:paraId="111EF996">
      <w:pPr>
        <w:pStyle w:val="29"/>
        <w:spacing w:line="560" w:lineRule="exact"/>
        <w:ind w:firstLine="1760" w:firstLineChars="400"/>
        <w:jc w:val="both"/>
        <w:rPr>
          <w:rFonts w:hint="eastAsia" w:ascii="Times New Roman" w:hAnsi="Times New Roman" w:eastAsia="黑体"/>
          <w:color w:val="auto"/>
          <w:sz w:val="44"/>
          <w:szCs w:val="44"/>
          <w:highlight w:val="none"/>
        </w:rPr>
      </w:pPr>
    </w:p>
    <w:p w14:paraId="15774ECE">
      <w:pPr>
        <w:pStyle w:val="29"/>
        <w:spacing w:line="560" w:lineRule="exact"/>
        <w:ind w:firstLine="1760" w:firstLineChars="400"/>
        <w:jc w:val="both"/>
        <w:rPr>
          <w:rFonts w:hint="eastAsia" w:ascii="Times New Roman" w:hAnsi="Times New Roman" w:eastAsia="黑体"/>
          <w:color w:val="auto"/>
          <w:sz w:val="44"/>
          <w:szCs w:val="44"/>
          <w:highlight w:val="none"/>
        </w:rPr>
      </w:pPr>
    </w:p>
    <w:p w14:paraId="50ED7B83">
      <w:pPr>
        <w:pStyle w:val="29"/>
        <w:spacing w:line="560" w:lineRule="exact"/>
        <w:ind w:firstLine="1760" w:firstLineChars="400"/>
        <w:jc w:val="both"/>
        <w:rPr>
          <w:rFonts w:hint="eastAsia" w:ascii="Times New Roman" w:hAnsi="Times New Roman" w:eastAsia="黑体"/>
          <w:color w:val="auto"/>
          <w:sz w:val="44"/>
          <w:szCs w:val="44"/>
          <w:highlight w:val="none"/>
        </w:rPr>
      </w:pPr>
    </w:p>
    <w:p w14:paraId="415C96A9">
      <w:pPr>
        <w:pStyle w:val="29"/>
        <w:spacing w:line="560" w:lineRule="exact"/>
        <w:ind w:firstLine="1760" w:firstLineChars="400"/>
        <w:jc w:val="both"/>
        <w:rPr>
          <w:rFonts w:hint="eastAsia" w:ascii="Times New Roman" w:hAnsi="Times New Roman" w:eastAsia="黑体"/>
          <w:color w:val="auto"/>
          <w:sz w:val="44"/>
          <w:szCs w:val="44"/>
          <w:highlight w:val="none"/>
        </w:rPr>
      </w:pPr>
    </w:p>
    <w:p w14:paraId="12053EE8">
      <w:pPr>
        <w:pStyle w:val="29"/>
        <w:spacing w:line="560" w:lineRule="exact"/>
        <w:ind w:firstLine="1760" w:firstLineChars="400"/>
        <w:jc w:val="both"/>
        <w:rPr>
          <w:rFonts w:hint="eastAsia" w:ascii="Times New Roman" w:hAnsi="Times New Roman" w:eastAsia="黑体"/>
          <w:color w:val="auto"/>
          <w:sz w:val="44"/>
          <w:szCs w:val="44"/>
          <w:highlight w:val="none"/>
        </w:rPr>
      </w:pPr>
    </w:p>
    <w:p w14:paraId="3E607AF1">
      <w:pPr>
        <w:pStyle w:val="29"/>
        <w:spacing w:line="560" w:lineRule="exact"/>
        <w:ind w:firstLine="1760" w:firstLineChars="400"/>
        <w:jc w:val="both"/>
        <w:rPr>
          <w:rFonts w:hint="eastAsia" w:ascii="Times New Roman" w:hAnsi="Times New Roman" w:eastAsia="黑体"/>
          <w:color w:val="auto"/>
          <w:sz w:val="44"/>
          <w:szCs w:val="44"/>
          <w:highlight w:val="none"/>
        </w:rPr>
      </w:pPr>
    </w:p>
    <w:p w14:paraId="008C8EA3">
      <w:pPr>
        <w:pStyle w:val="29"/>
        <w:spacing w:line="560" w:lineRule="exact"/>
        <w:ind w:firstLine="1760" w:firstLineChars="400"/>
        <w:jc w:val="both"/>
        <w:rPr>
          <w:rFonts w:hint="eastAsia" w:ascii="Times New Roman" w:hAnsi="Times New Roman" w:eastAsia="黑体"/>
          <w:color w:val="auto"/>
          <w:sz w:val="44"/>
          <w:szCs w:val="44"/>
          <w:highlight w:val="none"/>
        </w:rPr>
      </w:pPr>
    </w:p>
    <w:p w14:paraId="17D73D0C">
      <w:pPr>
        <w:pStyle w:val="29"/>
        <w:spacing w:line="560" w:lineRule="exact"/>
        <w:ind w:firstLine="1760" w:firstLineChars="400"/>
        <w:jc w:val="both"/>
        <w:rPr>
          <w:rFonts w:hint="eastAsia" w:ascii="Times New Roman" w:hAnsi="Times New Roman" w:eastAsia="黑体"/>
          <w:color w:val="auto"/>
          <w:sz w:val="44"/>
          <w:szCs w:val="44"/>
          <w:highlight w:val="none"/>
        </w:rPr>
      </w:pPr>
    </w:p>
    <w:p w14:paraId="39CC1668">
      <w:pPr>
        <w:pStyle w:val="29"/>
        <w:spacing w:line="560" w:lineRule="exact"/>
        <w:ind w:firstLine="1760" w:firstLineChars="400"/>
        <w:jc w:val="both"/>
        <w:rPr>
          <w:rFonts w:hint="eastAsia" w:ascii="Times New Roman" w:hAnsi="Times New Roman" w:eastAsia="黑体"/>
          <w:color w:val="auto"/>
          <w:sz w:val="44"/>
          <w:szCs w:val="44"/>
          <w:highlight w:val="none"/>
        </w:rPr>
      </w:pPr>
    </w:p>
    <w:p w14:paraId="6A25E310">
      <w:pPr>
        <w:pStyle w:val="29"/>
        <w:spacing w:line="560" w:lineRule="exact"/>
        <w:ind w:firstLine="1760" w:firstLineChars="400"/>
        <w:jc w:val="both"/>
        <w:rPr>
          <w:rFonts w:hint="eastAsia" w:ascii="Times New Roman" w:hAnsi="Times New Roman" w:eastAsia="黑体"/>
          <w:color w:val="auto"/>
          <w:sz w:val="44"/>
          <w:szCs w:val="44"/>
          <w:highlight w:val="none"/>
        </w:rPr>
      </w:pPr>
    </w:p>
    <w:p w14:paraId="1EE167BD">
      <w:pPr>
        <w:pStyle w:val="29"/>
        <w:spacing w:line="560" w:lineRule="exact"/>
        <w:ind w:firstLine="1760" w:firstLineChars="400"/>
        <w:jc w:val="both"/>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pict>
          <v:shape id="_x0000_s1027" o:spid="_x0000_s1027" o:spt="75" type="#_x0000_t75" style="position:absolute;left:0pt;margin-left:-27.75pt;margin-top:-47.3pt;height:734.5pt;width:443.5pt;z-index:251663360;mso-width-relative:page;mso-height-relative:page;" o:ole="t" filled="f" o:preferrelative="t" stroked="f" coordsize="21600,21600">
            <v:path/>
            <v:fill on="f" focussize="0,0"/>
            <v:stroke on="f"/>
            <v:imagedata r:id="rId21" o:title=""/>
            <o:lock v:ext="edit" aspectratio="f"/>
          </v:shape>
          <o:OLEObject Type="Embed" ProgID="Excel.Sheet.12" ShapeID="_x0000_s1027" DrawAspect="Content" ObjectID="_1468075726" r:id="rId20">
            <o:LockedField>false</o:LockedField>
          </o:OLEObject>
        </w:pict>
      </w:r>
    </w:p>
    <w:p w14:paraId="13057DC7">
      <w:pPr>
        <w:pStyle w:val="29"/>
        <w:spacing w:line="560" w:lineRule="exact"/>
        <w:ind w:firstLine="1760" w:firstLineChars="400"/>
        <w:jc w:val="both"/>
        <w:rPr>
          <w:rFonts w:hint="eastAsia" w:ascii="Times New Roman" w:hAnsi="Times New Roman" w:eastAsia="黑体"/>
          <w:color w:val="auto"/>
          <w:sz w:val="44"/>
          <w:szCs w:val="44"/>
          <w:highlight w:val="none"/>
        </w:rPr>
      </w:pPr>
    </w:p>
    <w:p w14:paraId="32355EB9">
      <w:pPr>
        <w:pStyle w:val="29"/>
        <w:spacing w:line="560" w:lineRule="exact"/>
        <w:ind w:firstLine="1760" w:firstLineChars="400"/>
        <w:jc w:val="both"/>
        <w:rPr>
          <w:rFonts w:hint="eastAsia" w:ascii="Times New Roman" w:hAnsi="Times New Roman" w:eastAsia="黑体"/>
          <w:color w:val="auto"/>
          <w:sz w:val="44"/>
          <w:szCs w:val="44"/>
          <w:highlight w:val="none"/>
        </w:rPr>
      </w:pPr>
    </w:p>
    <w:p w14:paraId="0FBFD4F9">
      <w:pPr>
        <w:pStyle w:val="29"/>
        <w:spacing w:line="560" w:lineRule="exact"/>
        <w:ind w:firstLine="1760" w:firstLineChars="400"/>
        <w:jc w:val="both"/>
        <w:rPr>
          <w:rFonts w:hint="eastAsia" w:ascii="Times New Roman" w:hAnsi="Times New Roman" w:eastAsia="黑体"/>
          <w:color w:val="auto"/>
          <w:sz w:val="44"/>
          <w:szCs w:val="44"/>
          <w:highlight w:val="none"/>
          <w:lang w:eastAsia="zh-CN"/>
        </w:rPr>
      </w:pPr>
    </w:p>
    <w:p w14:paraId="473ADE3C">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252C2C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E48E539">
      <w:pPr>
        <w:widowControl/>
        <w:jc w:val="center"/>
        <w:rPr>
          <w:rFonts w:hint="eastAsia" w:ascii="Times New Roman" w:hAnsi="Times New Roman" w:eastAsia="黑体"/>
          <w:color w:val="auto"/>
          <w:sz w:val="44"/>
          <w:szCs w:val="44"/>
          <w:highlight w:val="none"/>
        </w:rPr>
      </w:pPr>
    </w:p>
    <w:p w14:paraId="4954F4E7">
      <w:pPr>
        <w:widowControl/>
        <w:jc w:val="center"/>
        <w:rPr>
          <w:rFonts w:hint="eastAsia" w:ascii="Times New Roman" w:hAnsi="Times New Roman" w:eastAsia="黑体"/>
          <w:color w:val="auto"/>
          <w:sz w:val="44"/>
          <w:szCs w:val="44"/>
          <w:highlight w:val="none"/>
        </w:rPr>
      </w:pPr>
    </w:p>
    <w:p w14:paraId="34C59459">
      <w:pPr>
        <w:widowControl/>
        <w:jc w:val="center"/>
        <w:rPr>
          <w:rFonts w:hint="eastAsia" w:ascii="Times New Roman" w:hAnsi="Times New Roman" w:eastAsia="黑体"/>
          <w:color w:val="auto"/>
          <w:sz w:val="44"/>
          <w:szCs w:val="44"/>
          <w:highlight w:val="none"/>
        </w:rPr>
      </w:pPr>
    </w:p>
    <w:p w14:paraId="6496E392">
      <w:pPr>
        <w:widowControl/>
        <w:jc w:val="center"/>
        <w:rPr>
          <w:rFonts w:hint="eastAsia" w:ascii="Times New Roman" w:hAnsi="Times New Roman" w:eastAsia="黑体"/>
          <w:color w:val="auto"/>
          <w:sz w:val="44"/>
          <w:szCs w:val="44"/>
          <w:highlight w:val="none"/>
        </w:rPr>
      </w:pPr>
    </w:p>
    <w:p w14:paraId="728DEFFC">
      <w:pPr>
        <w:widowControl/>
        <w:jc w:val="center"/>
        <w:rPr>
          <w:rFonts w:hint="eastAsia" w:ascii="Times New Roman" w:hAnsi="Times New Roman" w:eastAsia="黑体"/>
          <w:color w:val="auto"/>
          <w:sz w:val="44"/>
          <w:szCs w:val="44"/>
          <w:highlight w:val="none"/>
        </w:rPr>
      </w:pPr>
    </w:p>
    <w:p w14:paraId="51A6CFAB">
      <w:pPr>
        <w:widowControl/>
        <w:jc w:val="center"/>
        <w:rPr>
          <w:rFonts w:hint="eastAsia" w:ascii="Times New Roman" w:hAnsi="Times New Roman" w:eastAsia="黑体"/>
          <w:color w:val="auto"/>
          <w:sz w:val="44"/>
          <w:szCs w:val="44"/>
          <w:highlight w:val="none"/>
        </w:rPr>
      </w:pPr>
    </w:p>
    <w:p w14:paraId="37969EAF">
      <w:pPr>
        <w:widowControl/>
        <w:jc w:val="center"/>
        <w:rPr>
          <w:rFonts w:hint="eastAsia" w:ascii="Times New Roman" w:hAnsi="Times New Roman" w:eastAsia="黑体"/>
          <w:color w:val="auto"/>
          <w:sz w:val="44"/>
          <w:szCs w:val="44"/>
          <w:highlight w:val="none"/>
        </w:rPr>
      </w:pPr>
    </w:p>
    <w:p w14:paraId="5D89C838">
      <w:pPr>
        <w:widowControl/>
        <w:jc w:val="center"/>
        <w:rPr>
          <w:rFonts w:hint="eastAsia" w:ascii="Times New Roman" w:hAnsi="Times New Roman" w:eastAsia="黑体"/>
          <w:color w:val="auto"/>
          <w:sz w:val="44"/>
          <w:szCs w:val="44"/>
          <w:highlight w:val="none"/>
        </w:rPr>
      </w:pPr>
    </w:p>
    <w:p w14:paraId="76EAFC31">
      <w:pPr>
        <w:widowControl/>
        <w:jc w:val="center"/>
        <w:rPr>
          <w:rFonts w:hint="eastAsia" w:ascii="Times New Roman" w:hAnsi="Times New Roman" w:eastAsia="黑体"/>
          <w:color w:val="auto"/>
          <w:sz w:val="44"/>
          <w:szCs w:val="44"/>
          <w:highlight w:val="none"/>
        </w:rPr>
      </w:pPr>
    </w:p>
    <w:p w14:paraId="7E434431">
      <w:pPr>
        <w:widowControl/>
        <w:jc w:val="center"/>
        <w:rPr>
          <w:rFonts w:hint="eastAsia" w:ascii="Times New Roman" w:hAnsi="Times New Roman" w:eastAsia="黑体"/>
          <w:color w:val="auto"/>
          <w:sz w:val="44"/>
          <w:szCs w:val="44"/>
          <w:highlight w:val="none"/>
        </w:rPr>
      </w:pPr>
    </w:p>
    <w:p w14:paraId="0E7C2B18">
      <w:pPr>
        <w:widowControl/>
        <w:jc w:val="center"/>
        <w:rPr>
          <w:rFonts w:hint="eastAsia" w:ascii="Times New Roman" w:hAnsi="Times New Roman" w:eastAsia="黑体"/>
          <w:color w:val="auto"/>
          <w:sz w:val="44"/>
          <w:szCs w:val="44"/>
          <w:highlight w:val="none"/>
        </w:rPr>
      </w:pPr>
    </w:p>
    <w:p w14:paraId="1D0179C3">
      <w:pPr>
        <w:widowControl/>
        <w:jc w:val="center"/>
        <w:rPr>
          <w:rFonts w:hint="eastAsia" w:ascii="Times New Roman" w:hAnsi="Times New Roman" w:eastAsia="黑体"/>
          <w:color w:val="auto"/>
          <w:sz w:val="44"/>
          <w:szCs w:val="44"/>
          <w:highlight w:val="none"/>
        </w:rPr>
      </w:pPr>
    </w:p>
    <w:p w14:paraId="1E1D2574">
      <w:pPr>
        <w:widowControl/>
        <w:jc w:val="center"/>
        <w:rPr>
          <w:rFonts w:hint="eastAsia" w:ascii="Times New Roman" w:hAnsi="Times New Roman" w:eastAsia="黑体"/>
          <w:color w:val="auto"/>
          <w:sz w:val="44"/>
          <w:szCs w:val="44"/>
          <w:highlight w:val="none"/>
        </w:rPr>
      </w:pPr>
    </w:p>
    <w:p w14:paraId="0E7D2308">
      <w:pPr>
        <w:widowControl/>
        <w:jc w:val="center"/>
        <w:rPr>
          <w:rFonts w:hint="eastAsia" w:ascii="Times New Roman" w:hAnsi="Times New Roman" w:eastAsia="黑体"/>
          <w:color w:val="auto"/>
          <w:sz w:val="44"/>
          <w:szCs w:val="44"/>
          <w:highlight w:val="none"/>
        </w:rPr>
      </w:pPr>
    </w:p>
    <w:p w14:paraId="19EC0240">
      <w:pPr>
        <w:widowControl/>
        <w:jc w:val="center"/>
        <w:rPr>
          <w:rFonts w:hint="eastAsia" w:ascii="Times New Roman" w:hAnsi="Times New Roman" w:eastAsia="黑体"/>
          <w:color w:val="auto"/>
          <w:sz w:val="44"/>
          <w:szCs w:val="44"/>
          <w:highlight w:val="none"/>
        </w:rPr>
      </w:pPr>
    </w:p>
    <w:p w14:paraId="49289894">
      <w:pPr>
        <w:widowControl/>
        <w:jc w:val="center"/>
        <w:rPr>
          <w:rFonts w:hint="eastAsia" w:ascii="Times New Roman" w:hAnsi="Times New Roman" w:eastAsia="黑体"/>
          <w:color w:val="auto"/>
          <w:sz w:val="44"/>
          <w:szCs w:val="44"/>
          <w:highlight w:val="none"/>
        </w:rPr>
      </w:pPr>
    </w:p>
    <w:p w14:paraId="5FCAA77F">
      <w:pPr>
        <w:widowControl/>
        <w:jc w:val="center"/>
        <w:rPr>
          <w:rFonts w:hint="eastAsia" w:ascii="Times New Roman" w:hAnsi="Times New Roman" w:eastAsia="黑体"/>
          <w:color w:val="auto"/>
          <w:sz w:val="44"/>
          <w:szCs w:val="44"/>
          <w:highlight w:val="none"/>
        </w:rPr>
      </w:pPr>
    </w:p>
    <w:p w14:paraId="033C7727">
      <w:pPr>
        <w:widowControl/>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object>
          <v:shape id="_x0000_i1025" o:spt="75" type="#_x0000_t75" style="height:687.3pt;width:412.25pt;" o:ole="t" filled="f" o:preferrelative="t" stroked="f" coordsize="21600,21600">
            <v:path/>
            <v:fill on="f" focussize="0,0"/>
            <v:stroke on="f"/>
            <v:imagedata r:id="rId23" o:title=""/>
            <o:lock v:ext="edit" aspectratio="f"/>
            <w10:wrap type="none"/>
            <w10:anchorlock/>
          </v:shape>
          <o:OLEObject Type="Embed" ProgID="Excel.Sheet.12" ShapeID="_x0000_i1025" DrawAspect="Content" ObjectID="_1468075727" r:id="rId22">
            <o:LockedField>false</o:LockedField>
          </o:OLEObject>
        </w:object>
      </w:r>
    </w:p>
    <w:p w14:paraId="233F16F5">
      <w:pPr>
        <w:widowControl/>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object>
          <v:shape id="_x0000_i1026" o:spt="75" type="#_x0000_t75" style="height:667.75pt;width:414.7pt;" o:ole="t" filled="f" o:preferrelative="t" stroked="f" coordsize="21600,21600">
            <v:path/>
            <v:fill on="f" focussize="0,0"/>
            <v:stroke on="f"/>
            <v:imagedata r:id="rId25" o:title=""/>
            <o:lock v:ext="edit" aspectratio="f"/>
            <w10:wrap type="none"/>
            <w10:anchorlock/>
          </v:shape>
          <o:OLEObject Type="Embed" ProgID="Excel.Sheet.12" ShapeID="_x0000_i1026" DrawAspect="Content" ObjectID="_1468075728" r:id="rId24">
            <o:LockedField>false</o:LockedField>
          </o:OLEObject>
        </w:object>
      </w:r>
    </w:p>
    <w:p w14:paraId="46FEBE74">
      <w:pPr>
        <w:widowControl/>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object>
          <v:shape id="_x0000_i1027" o:spt="75" type="#_x0000_t75" style="height:665.9pt;width:414.7pt;" o:ole="t" filled="f" o:preferrelative="t" stroked="f" coordsize="21600,21600">
            <v:path/>
            <v:fill on="f" focussize="0,0"/>
            <v:stroke on="f"/>
            <v:imagedata r:id="rId27" o:title=""/>
            <o:lock v:ext="edit" aspectratio="f"/>
            <w10:wrap type="none"/>
            <w10:anchorlock/>
          </v:shape>
          <o:OLEObject Type="Embed" ProgID="Excel.Sheet.12" ShapeID="_x0000_i1027" DrawAspect="Content" ObjectID="_1468075729" r:id="rId26">
            <o:LockedField>false</o:LockedField>
          </o:OLEObject>
        </w:object>
      </w:r>
    </w:p>
    <w:p w14:paraId="65B2FE8D">
      <w:pPr>
        <w:rPr>
          <w:rFonts w:hint="eastAsia" w:ascii="Times New Roman" w:hAnsi="Times New Roman"/>
          <w:lang w:eastAsia="zh-CN"/>
        </w:rPr>
      </w:pPr>
    </w:p>
    <w:p w14:paraId="659CDC41">
      <w:pPr>
        <w:keepNext w:val="0"/>
        <w:keepLines w:val="0"/>
        <w:pageBreakBefore w:val="0"/>
        <w:widowControl/>
        <w:kinsoku/>
        <w:wordWrap/>
        <w:overflowPunct/>
        <w:topLinePunct w:val="0"/>
        <w:autoSpaceDE/>
        <w:autoSpaceDN/>
        <w:bidi w:val="0"/>
        <w:spacing w:line="360" w:lineRule="auto"/>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Start w:id="110" w:name="_Toc15396619"/>
    </w:p>
    <w:p w14:paraId="5BA89CF3">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color w:val="auto"/>
          <w:sz w:val="32"/>
          <w:szCs w:val="32"/>
          <w:highlight w:val="none"/>
        </w:rPr>
      </w:pPr>
    </w:p>
    <w:p w14:paraId="62BD05C6">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一、收入支出决算总表</w:t>
      </w:r>
      <w:bookmarkEnd w:id="110"/>
    </w:p>
    <w:p w14:paraId="50BCDD9E">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1" w:name="_Toc15396620"/>
      <w:r>
        <w:rPr>
          <w:rFonts w:hint="eastAsia" w:ascii="仿宋" w:hAnsi="仿宋" w:eastAsia="仿宋" w:cs="仿宋"/>
          <w:color w:val="auto"/>
          <w:sz w:val="32"/>
          <w:szCs w:val="32"/>
          <w:highlight w:val="none"/>
        </w:rPr>
        <w:t>二、收入决算表</w:t>
      </w:r>
      <w:bookmarkEnd w:id="111"/>
    </w:p>
    <w:p w14:paraId="4ACE85D8">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2" w:name="_Toc15396621"/>
      <w:r>
        <w:rPr>
          <w:rFonts w:hint="eastAsia" w:ascii="仿宋" w:hAnsi="仿宋" w:eastAsia="仿宋" w:cs="仿宋"/>
          <w:color w:val="auto"/>
          <w:sz w:val="32"/>
          <w:szCs w:val="32"/>
          <w:highlight w:val="none"/>
        </w:rPr>
        <w:t>三、支出决算表</w:t>
      </w:r>
      <w:bookmarkEnd w:id="112"/>
    </w:p>
    <w:p w14:paraId="2D97FA97">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3" w:name="_Toc15396622"/>
      <w:r>
        <w:rPr>
          <w:rFonts w:hint="eastAsia" w:ascii="仿宋" w:hAnsi="仿宋" w:eastAsia="仿宋" w:cs="仿宋"/>
          <w:color w:val="auto"/>
          <w:sz w:val="32"/>
          <w:szCs w:val="32"/>
          <w:highlight w:val="none"/>
        </w:rPr>
        <w:t>四、财政拨款收入支出决算总表</w:t>
      </w:r>
      <w:bookmarkEnd w:id="113"/>
    </w:p>
    <w:p w14:paraId="130600EF">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4" w:name="_Toc15396623"/>
      <w:r>
        <w:rPr>
          <w:rFonts w:hint="eastAsia" w:ascii="仿宋" w:hAnsi="仿宋" w:eastAsia="仿宋" w:cs="仿宋"/>
          <w:color w:val="auto"/>
          <w:sz w:val="32"/>
          <w:szCs w:val="32"/>
          <w:highlight w:val="none"/>
        </w:rPr>
        <w:t>五、财政拨款支出决算明细表</w:t>
      </w:r>
      <w:bookmarkEnd w:id="114"/>
      <w:bookmarkStart w:id="115" w:name="_Toc15396624"/>
    </w:p>
    <w:p w14:paraId="311D818D">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六、一般公共预算财政拨款支出决算表</w:t>
      </w:r>
      <w:bookmarkEnd w:id="115"/>
    </w:p>
    <w:p w14:paraId="3DE2B458">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6" w:name="_Toc15396625"/>
      <w:r>
        <w:rPr>
          <w:rFonts w:hint="eastAsia" w:ascii="仿宋" w:hAnsi="仿宋" w:eastAsia="仿宋" w:cs="仿宋"/>
          <w:color w:val="auto"/>
          <w:sz w:val="32"/>
          <w:szCs w:val="32"/>
          <w:highlight w:val="none"/>
        </w:rPr>
        <w:t>七、一般公共预算财政拨款支出决算明细表</w:t>
      </w:r>
      <w:bookmarkEnd w:id="116"/>
      <w:bookmarkStart w:id="117" w:name="_Toc15396626"/>
    </w:p>
    <w:p w14:paraId="48E180AE">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bookmarkEnd w:id="117"/>
    </w:p>
    <w:p w14:paraId="3AC90867">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8" w:name="_Toc15396627"/>
      <w:r>
        <w:rPr>
          <w:rFonts w:hint="eastAsia" w:ascii="仿宋" w:hAnsi="仿宋" w:eastAsia="仿宋" w:cs="仿宋"/>
          <w:color w:val="auto"/>
          <w:sz w:val="32"/>
          <w:szCs w:val="32"/>
          <w:highlight w:val="none"/>
        </w:rPr>
        <w:t>九、一般公共预算财政拨款项目支出决算表</w:t>
      </w:r>
      <w:bookmarkEnd w:id="118"/>
    </w:p>
    <w:p w14:paraId="1E56517A">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19" w:name="_Toc15396628"/>
      <w:r>
        <w:rPr>
          <w:rFonts w:hint="eastAsia" w:ascii="仿宋" w:hAnsi="仿宋" w:eastAsia="仿宋" w:cs="仿宋"/>
          <w:color w:val="auto"/>
          <w:sz w:val="32"/>
          <w:szCs w:val="32"/>
          <w:highlight w:val="none"/>
        </w:rPr>
        <w:t>十、</w:t>
      </w:r>
      <w:bookmarkEnd w:id="119"/>
      <w:r>
        <w:rPr>
          <w:rFonts w:hint="eastAsia" w:ascii="仿宋" w:hAnsi="仿宋" w:eastAsia="仿宋" w:cs="仿宋"/>
          <w:color w:val="auto"/>
          <w:sz w:val="32"/>
          <w:szCs w:val="32"/>
          <w:highlight w:val="none"/>
        </w:rPr>
        <w:t>政府性基金预算财政拨款收入支出决算表</w:t>
      </w:r>
    </w:p>
    <w:p w14:paraId="3FF1DE79">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20" w:name="_Toc15396629"/>
      <w:r>
        <w:rPr>
          <w:rFonts w:hint="eastAsia" w:ascii="仿宋" w:hAnsi="仿宋" w:eastAsia="仿宋" w:cs="仿宋"/>
          <w:color w:val="auto"/>
          <w:sz w:val="32"/>
          <w:szCs w:val="32"/>
          <w:highlight w:val="none"/>
        </w:rPr>
        <w:t>十一、</w:t>
      </w:r>
      <w:bookmarkEnd w:id="120"/>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财政拨款收入</w:t>
      </w:r>
      <w:r>
        <w:rPr>
          <w:rFonts w:hint="eastAsia" w:ascii="仿宋" w:hAnsi="仿宋" w:eastAsia="仿宋" w:cs="仿宋"/>
          <w:color w:val="auto"/>
          <w:sz w:val="32"/>
          <w:szCs w:val="32"/>
          <w:highlight w:val="none"/>
        </w:rPr>
        <w:t>支出决算表</w:t>
      </w:r>
    </w:p>
    <w:p w14:paraId="2BB36482">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bookmarkStart w:id="121" w:name="_Toc15396630"/>
      <w:r>
        <w:rPr>
          <w:rFonts w:hint="eastAsia" w:ascii="仿宋" w:hAnsi="仿宋" w:eastAsia="仿宋" w:cs="仿宋"/>
          <w:color w:val="auto"/>
          <w:sz w:val="32"/>
          <w:szCs w:val="32"/>
          <w:highlight w:val="none"/>
        </w:rPr>
        <w:t>十二、</w:t>
      </w:r>
      <w:bookmarkEnd w:id="121"/>
      <w:r>
        <w:rPr>
          <w:rFonts w:hint="eastAsia" w:ascii="仿宋" w:hAnsi="仿宋" w:eastAsia="仿宋" w:cs="仿宋"/>
          <w:color w:val="auto"/>
          <w:sz w:val="32"/>
          <w:szCs w:val="32"/>
          <w:highlight w:val="none"/>
          <w:lang w:eastAsia="zh-CN"/>
        </w:rPr>
        <w:t>国有资本经营预算财政拨款支出决算表</w:t>
      </w:r>
    </w:p>
    <w:p w14:paraId="6A8CB431">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lang w:eastAsia="zh-CN"/>
        </w:rPr>
      </w:pPr>
      <w:bookmarkStart w:id="122" w:name="_Toc15396631"/>
      <w:r>
        <w:rPr>
          <w:rFonts w:hint="eastAsia" w:ascii="仿宋" w:hAnsi="仿宋" w:eastAsia="仿宋" w:cs="仿宋"/>
          <w:color w:val="auto"/>
          <w:sz w:val="32"/>
          <w:szCs w:val="32"/>
          <w:highlight w:val="none"/>
        </w:rPr>
        <w:t>十三、</w:t>
      </w:r>
      <w:bookmarkEnd w:id="122"/>
      <w:r>
        <w:rPr>
          <w:rFonts w:hint="eastAsia" w:ascii="仿宋" w:hAnsi="仿宋" w:eastAsia="仿宋" w:cs="仿宋"/>
          <w:color w:val="auto"/>
          <w:sz w:val="32"/>
          <w:szCs w:val="32"/>
          <w:highlight w:val="none"/>
          <w:lang w:eastAsia="zh-CN"/>
        </w:rPr>
        <w:t>财政拨款“三公”经费支出决算表</w:t>
      </w:r>
    </w:p>
    <w:p w14:paraId="3A92A269">
      <w:pPr>
        <w:pStyle w:val="3"/>
        <w:rPr>
          <w:rFonts w:hint="eastAsia" w:ascii="Times New Roman" w:hAnsi="Times New Roman"/>
          <w:lang w:eastAsia="zh-CN"/>
        </w:rPr>
      </w:pPr>
    </w:p>
    <w:p w14:paraId="302DBEA0">
      <w:pPr>
        <w:pStyle w:val="3"/>
        <w:rPr>
          <w:rFonts w:hint="eastAsia" w:ascii="Times New Roman" w:hAnsi="Times New Roman"/>
          <w:lang w:eastAsia="zh-CN"/>
        </w:rPr>
      </w:pPr>
    </w:p>
    <w:p w14:paraId="37784455">
      <w:pPr>
        <w:pStyle w:val="3"/>
        <w:ind w:left="0" w:leftChars="0" w:firstLine="0" w:firstLineChars="0"/>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D935">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8868B">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48868B">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472E553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A4E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D2A6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BD2A6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A0B3">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2331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D523314">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11525AC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F5F3">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E11D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0E11D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CDC4">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038"/>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D617F5"/>
    <w:rsid w:val="02FEBE30"/>
    <w:rsid w:val="04916F1E"/>
    <w:rsid w:val="052B2EF1"/>
    <w:rsid w:val="054F7DFA"/>
    <w:rsid w:val="0602579C"/>
    <w:rsid w:val="061E35DE"/>
    <w:rsid w:val="066E0107"/>
    <w:rsid w:val="071063D8"/>
    <w:rsid w:val="07996F6E"/>
    <w:rsid w:val="07DFD8BA"/>
    <w:rsid w:val="09867E8F"/>
    <w:rsid w:val="099877EF"/>
    <w:rsid w:val="0A2032A3"/>
    <w:rsid w:val="0A77231F"/>
    <w:rsid w:val="0CA8290A"/>
    <w:rsid w:val="0D35B1ED"/>
    <w:rsid w:val="0DCE65C5"/>
    <w:rsid w:val="0E254B6B"/>
    <w:rsid w:val="0E34758C"/>
    <w:rsid w:val="0EBC29A4"/>
    <w:rsid w:val="0F0A6593"/>
    <w:rsid w:val="0F98263C"/>
    <w:rsid w:val="101860EC"/>
    <w:rsid w:val="101F47CC"/>
    <w:rsid w:val="109857B7"/>
    <w:rsid w:val="10B50EF4"/>
    <w:rsid w:val="10C055FF"/>
    <w:rsid w:val="11216E21"/>
    <w:rsid w:val="11694EBD"/>
    <w:rsid w:val="11772AA4"/>
    <w:rsid w:val="118107EC"/>
    <w:rsid w:val="11BD2913"/>
    <w:rsid w:val="126845D0"/>
    <w:rsid w:val="12AE63DB"/>
    <w:rsid w:val="12E24EE2"/>
    <w:rsid w:val="137F2804"/>
    <w:rsid w:val="13D50BC4"/>
    <w:rsid w:val="13E0137B"/>
    <w:rsid w:val="14B17F78"/>
    <w:rsid w:val="15E03F0F"/>
    <w:rsid w:val="165E0673"/>
    <w:rsid w:val="16B831D5"/>
    <w:rsid w:val="16BB723D"/>
    <w:rsid w:val="16DC6762"/>
    <w:rsid w:val="17E50567"/>
    <w:rsid w:val="18452C08"/>
    <w:rsid w:val="185E3768"/>
    <w:rsid w:val="186504BB"/>
    <w:rsid w:val="19A445FC"/>
    <w:rsid w:val="1B7D25D2"/>
    <w:rsid w:val="1BA2760C"/>
    <w:rsid w:val="1BE8440E"/>
    <w:rsid w:val="1CC73D21"/>
    <w:rsid w:val="1D155CEE"/>
    <w:rsid w:val="1D1638FE"/>
    <w:rsid w:val="1E312DEB"/>
    <w:rsid w:val="1E62206E"/>
    <w:rsid w:val="1E740ACF"/>
    <w:rsid w:val="1FF35744"/>
    <w:rsid w:val="1FF6BC77"/>
    <w:rsid w:val="20FE7E62"/>
    <w:rsid w:val="2186353C"/>
    <w:rsid w:val="23682583"/>
    <w:rsid w:val="23860B96"/>
    <w:rsid w:val="23F536BB"/>
    <w:rsid w:val="240371BF"/>
    <w:rsid w:val="244F3473"/>
    <w:rsid w:val="24C97D99"/>
    <w:rsid w:val="25A718F0"/>
    <w:rsid w:val="25BB59F6"/>
    <w:rsid w:val="260F557C"/>
    <w:rsid w:val="26970054"/>
    <w:rsid w:val="27073EA7"/>
    <w:rsid w:val="27AB48A8"/>
    <w:rsid w:val="27BC7FFF"/>
    <w:rsid w:val="27F32184"/>
    <w:rsid w:val="27F80C21"/>
    <w:rsid w:val="281408E2"/>
    <w:rsid w:val="294367BA"/>
    <w:rsid w:val="29FD04D3"/>
    <w:rsid w:val="2A9F3433"/>
    <w:rsid w:val="2B5E2952"/>
    <w:rsid w:val="2B9707D3"/>
    <w:rsid w:val="2BFF7BC6"/>
    <w:rsid w:val="2C8A61B5"/>
    <w:rsid w:val="2DF04E50"/>
    <w:rsid w:val="2E586DFA"/>
    <w:rsid w:val="2F040D46"/>
    <w:rsid w:val="2F6B035B"/>
    <w:rsid w:val="2F8E6CF6"/>
    <w:rsid w:val="2FAE5751"/>
    <w:rsid w:val="2FB1A395"/>
    <w:rsid w:val="2FCD07C7"/>
    <w:rsid w:val="2FD9A7D8"/>
    <w:rsid w:val="2FDBF714"/>
    <w:rsid w:val="30AB6865"/>
    <w:rsid w:val="31721266"/>
    <w:rsid w:val="317366E4"/>
    <w:rsid w:val="319F7F4E"/>
    <w:rsid w:val="329A380C"/>
    <w:rsid w:val="32BD1EF1"/>
    <w:rsid w:val="3304709D"/>
    <w:rsid w:val="33A773CB"/>
    <w:rsid w:val="349D6851"/>
    <w:rsid w:val="353536CC"/>
    <w:rsid w:val="35531FA7"/>
    <w:rsid w:val="35694C91"/>
    <w:rsid w:val="36AA5135"/>
    <w:rsid w:val="36BE0DA7"/>
    <w:rsid w:val="36F839CE"/>
    <w:rsid w:val="376B6AA6"/>
    <w:rsid w:val="376D39B2"/>
    <w:rsid w:val="3796229F"/>
    <w:rsid w:val="37B06C95"/>
    <w:rsid w:val="37E16F03"/>
    <w:rsid w:val="37F53A3B"/>
    <w:rsid w:val="37FD6E35"/>
    <w:rsid w:val="389B6C89"/>
    <w:rsid w:val="38D469F0"/>
    <w:rsid w:val="39627CCD"/>
    <w:rsid w:val="397BAF1F"/>
    <w:rsid w:val="39E06686"/>
    <w:rsid w:val="3AB79AF3"/>
    <w:rsid w:val="3AE834C0"/>
    <w:rsid w:val="3B6D257E"/>
    <w:rsid w:val="3B7EF35A"/>
    <w:rsid w:val="3B9FDB6C"/>
    <w:rsid w:val="3BF5BC2F"/>
    <w:rsid w:val="3C561F87"/>
    <w:rsid w:val="3C7630D4"/>
    <w:rsid w:val="3CEBA265"/>
    <w:rsid w:val="3D2165F5"/>
    <w:rsid w:val="3D98207C"/>
    <w:rsid w:val="3DEE7CF3"/>
    <w:rsid w:val="3E740A63"/>
    <w:rsid w:val="3E78745D"/>
    <w:rsid w:val="3EE17838"/>
    <w:rsid w:val="3F55381A"/>
    <w:rsid w:val="3F7F7599"/>
    <w:rsid w:val="3FF4CAE0"/>
    <w:rsid w:val="3FF7B227"/>
    <w:rsid w:val="3FFF2F7C"/>
    <w:rsid w:val="402E133F"/>
    <w:rsid w:val="40DB6A3E"/>
    <w:rsid w:val="42027028"/>
    <w:rsid w:val="42895CD8"/>
    <w:rsid w:val="436A72EF"/>
    <w:rsid w:val="44E268DA"/>
    <w:rsid w:val="450D13D7"/>
    <w:rsid w:val="45506656"/>
    <w:rsid w:val="45A33A65"/>
    <w:rsid w:val="4778488E"/>
    <w:rsid w:val="486A6C7A"/>
    <w:rsid w:val="492C7644"/>
    <w:rsid w:val="4A627F82"/>
    <w:rsid w:val="4B08477A"/>
    <w:rsid w:val="4B0E749A"/>
    <w:rsid w:val="4B2477C4"/>
    <w:rsid w:val="4B4F25DA"/>
    <w:rsid w:val="4BE068DB"/>
    <w:rsid w:val="4C7E3ECB"/>
    <w:rsid w:val="4D577224"/>
    <w:rsid w:val="4D9D236E"/>
    <w:rsid w:val="4DBF1CEB"/>
    <w:rsid w:val="4DF0007C"/>
    <w:rsid w:val="4EAB630A"/>
    <w:rsid w:val="4ECE2238"/>
    <w:rsid w:val="4F833267"/>
    <w:rsid w:val="4F8C3B77"/>
    <w:rsid w:val="4FC736AC"/>
    <w:rsid w:val="4FE9BD67"/>
    <w:rsid w:val="4FFB052F"/>
    <w:rsid w:val="51934093"/>
    <w:rsid w:val="534D5A06"/>
    <w:rsid w:val="537E6D0A"/>
    <w:rsid w:val="538115B7"/>
    <w:rsid w:val="53F74C96"/>
    <w:rsid w:val="54BD6BD1"/>
    <w:rsid w:val="55170BA8"/>
    <w:rsid w:val="553218C9"/>
    <w:rsid w:val="55D96B51"/>
    <w:rsid w:val="561158EB"/>
    <w:rsid w:val="567E1AA5"/>
    <w:rsid w:val="56A562D0"/>
    <w:rsid w:val="56E47B74"/>
    <w:rsid w:val="57175D52"/>
    <w:rsid w:val="57BD3DD4"/>
    <w:rsid w:val="58A8508F"/>
    <w:rsid w:val="591C5B31"/>
    <w:rsid w:val="5AC378EA"/>
    <w:rsid w:val="5AF92295"/>
    <w:rsid w:val="5B250254"/>
    <w:rsid w:val="5BDD79E6"/>
    <w:rsid w:val="5BF561CA"/>
    <w:rsid w:val="5BFF5DFC"/>
    <w:rsid w:val="5CD71FC4"/>
    <w:rsid w:val="5D1F11B5"/>
    <w:rsid w:val="5D695134"/>
    <w:rsid w:val="5DAE1B18"/>
    <w:rsid w:val="5DE7D9E5"/>
    <w:rsid w:val="5ECEC941"/>
    <w:rsid w:val="5FBF9FF3"/>
    <w:rsid w:val="5FCD4E2C"/>
    <w:rsid w:val="5FE9318A"/>
    <w:rsid w:val="5FEF394A"/>
    <w:rsid w:val="5FF67715"/>
    <w:rsid w:val="600E7617"/>
    <w:rsid w:val="62194F8A"/>
    <w:rsid w:val="62BF3928"/>
    <w:rsid w:val="63B3701E"/>
    <w:rsid w:val="647C408E"/>
    <w:rsid w:val="647F5392"/>
    <w:rsid w:val="64F208F4"/>
    <w:rsid w:val="650E2E6D"/>
    <w:rsid w:val="65395009"/>
    <w:rsid w:val="65E66580"/>
    <w:rsid w:val="664B1D71"/>
    <w:rsid w:val="664B4E8E"/>
    <w:rsid w:val="66BB72AE"/>
    <w:rsid w:val="67277B67"/>
    <w:rsid w:val="67AA3209"/>
    <w:rsid w:val="680F3438"/>
    <w:rsid w:val="698D0931"/>
    <w:rsid w:val="6A7FE5F3"/>
    <w:rsid w:val="6AC81859"/>
    <w:rsid w:val="6B031266"/>
    <w:rsid w:val="6B053271"/>
    <w:rsid w:val="6B27162D"/>
    <w:rsid w:val="6BDD78B3"/>
    <w:rsid w:val="6C1D4849"/>
    <w:rsid w:val="6C4A05C8"/>
    <w:rsid w:val="6C59435E"/>
    <w:rsid w:val="6C8742B8"/>
    <w:rsid w:val="6D802F48"/>
    <w:rsid w:val="6DBF5E93"/>
    <w:rsid w:val="6DFF077E"/>
    <w:rsid w:val="6E5A4796"/>
    <w:rsid w:val="6E714EF0"/>
    <w:rsid w:val="6E7E3605"/>
    <w:rsid w:val="6E7FDCC7"/>
    <w:rsid w:val="6ED6A62E"/>
    <w:rsid w:val="6EE00B15"/>
    <w:rsid w:val="6F504C08"/>
    <w:rsid w:val="6F6FB3EB"/>
    <w:rsid w:val="6F8731EA"/>
    <w:rsid w:val="6F9B6145"/>
    <w:rsid w:val="6FCE6052"/>
    <w:rsid w:val="6FD57C00"/>
    <w:rsid w:val="6FEFFFD8"/>
    <w:rsid w:val="6FF5CC65"/>
    <w:rsid w:val="6FFB47EC"/>
    <w:rsid w:val="6FFF034A"/>
    <w:rsid w:val="70484440"/>
    <w:rsid w:val="70BC4386"/>
    <w:rsid w:val="712A28F1"/>
    <w:rsid w:val="715C0E4B"/>
    <w:rsid w:val="71992E7C"/>
    <w:rsid w:val="72233669"/>
    <w:rsid w:val="722F23EB"/>
    <w:rsid w:val="72734D90"/>
    <w:rsid w:val="73160E6D"/>
    <w:rsid w:val="7332FE48"/>
    <w:rsid w:val="73A879E9"/>
    <w:rsid w:val="73AB61DA"/>
    <w:rsid w:val="73AD73D5"/>
    <w:rsid w:val="73B6EB34"/>
    <w:rsid w:val="73FA497D"/>
    <w:rsid w:val="744731E5"/>
    <w:rsid w:val="74A67E55"/>
    <w:rsid w:val="74BBD01D"/>
    <w:rsid w:val="74ED5379"/>
    <w:rsid w:val="757537EB"/>
    <w:rsid w:val="75DEEEC2"/>
    <w:rsid w:val="75E32345"/>
    <w:rsid w:val="76E3355F"/>
    <w:rsid w:val="76FF5125"/>
    <w:rsid w:val="776F6FFA"/>
    <w:rsid w:val="778769C8"/>
    <w:rsid w:val="77A75DCA"/>
    <w:rsid w:val="77DC22F5"/>
    <w:rsid w:val="783E271A"/>
    <w:rsid w:val="78546B18"/>
    <w:rsid w:val="78616DE9"/>
    <w:rsid w:val="78E875D7"/>
    <w:rsid w:val="79086DAD"/>
    <w:rsid w:val="79D7FD79"/>
    <w:rsid w:val="79EE5BA4"/>
    <w:rsid w:val="7A894339"/>
    <w:rsid w:val="7AD284E8"/>
    <w:rsid w:val="7AFF7572"/>
    <w:rsid w:val="7B6C7DFB"/>
    <w:rsid w:val="7BBFBED0"/>
    <w:rsid w:val="7BC3E394"/>
    <w:rsid w:val="7C1F3737"/>
    <w:rsid w:val="7C2C29DE"/>
    <w:rsid w:val="7C392B96"/>
    <w:rsid w:val="7CBFC87B"/>
    <w:rsid w:val="7CFE0F48"/>
    <w:rsid w:val="7D272ABC"/>
    <w:rsid w:val="7D7EC23E"/>
    <w:rsid w:val="7E07008C"/>
    <w:rsid w:val="7E8ADEBF"/>
    <w:rsid w:val="7EDD5CE9"/>
    <w:rsid w:val="7EEF11D3"/>
    <w:rsid w:val="7EFE4840"/>
    <w:rsid w:val="7F0971A6"/>
    <w:rsid w:val="7F1D62E7"/>
    <w:rsid w:val="7F396768"/>
    <w:rsid w:val="7F3F679B"/>
    <w:rsid w:val="7F4FC4EF"/>
    <w:rsid w:val="7F5E4D54"/>
    <w:rsid w:val="7F6E0135"/>
    <w:rsid w:val="7F79F205"/>
    <w:rsid w:val="7F96297D"/>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endnote text"/>
    <w:basedOn w:val="1"/>
    <w:unhideWhenUsed/>
    <w:qFormat/>
    <w:uiPriority w:val="99"/>
    <w:pPr>
      <w:snapToGrid w:val="0"/>
      <w:jc w:val="left"/>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endnote reference"/>
    <w:basedOn w:val="17"/>
    <w:semiHidden/>
    <w:unhideWhenUsed/>
    <w:qFormat/>
    <w:uiPriority w:val="99"/>
    <w:rPr>
      <w:vertAlign w:val="superscript"/>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footnote reference"/>
    <w:basedOn w:val="17"/>
    <w:semiHidden/>
    <w:unhideWhenUsed/>
    <w:qFormat/>
    <w:uiPriority w:val="99"/>
    <w:rPr>
      <w:vertAlign w:val="superscript"/>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7"/>
    <w:link w:val="5"/>
    <w:qFormat/>
    <w:uiPriority w:val="9"/>
    <w:rPr>
      <w:rFonts w:ascii="Times New Roman" w:hAnsi="Times New Roman"/>
      <w:b/>
      <w:bCs/>
      <w:kern w:val="44"/>
      <w:sz w:val="44"/>
      <w:szCs w:val="44"/>
    </w:rPr>
  </w:style>
  <w:style w:type="character" w:customStyle="1" w:styleId="32">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11"/>
    <w:semiHidden/>
    <w:qFormat/>
    <w:uiPriority w:val="99"/>
    <w:rPr>
      <w:rFonts w:ascii="Times New Roman" w:hAnsi="Times New Roman"/>
      <w:kern w:val="2"/>
      <w:sz w:val="18"/>
      <w:szCs w:val="18"/>
    </w:rPr>
  </w:style>
  <w:style w:type="character" w:customStyle="1" w:styleId="35">
    <w:name w:val="标题 3 Char"/>
    <w:basedOn w:val="17"/>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5.emf"/><Relationship Id="rId26" Type="http://schemas.openxmlformats.org/officeDocument/2006/relationships/oleObject" Target="embeddings/oleObject5.bin"/><Relationship Id="rId25" Type="http://schemas.openxmlformats.org/officeDocument/2006/relationships/image" Target="media/image4.emf"/><Relationship Id="rId24" Type="http://schemas.openxmlformats.org/officeDocument/2006/relationships/oleObject" Target="embeddings/oleObject4.bin"/><Relationship Id="rId23" Type="http://schemas.openxmlformats.org/officeDocument/2006/relationships/image" Target="media/image3.emf"/><Relationship Id="rId22" Type="http://schemas.openxmlformats.org/officeDocument/2006/relationships/oleObject" Target="embeddings/oleObject3.bin"/><Relationship Id="rId21" Type="http://schemas.openxmlformats.org/officeDocument/2006/relationships/image" Target="media/image2.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051891608746"/>
          <c:y val="0.0380664652567976"/>
          <c:w val="0.874143960031094"/>
          <c:h val="0.823128823926743"/>
        </c:manualLayout>
      </c:layout>
      <c:barChart>
        <c:barDir val="col"/>
        <c:grouping val="clustered"/>
        <c:varyColors val="0"/>
        <c:ser>
          <c:idx val="0"/>
          <c:order val="0"/>
          <c:tx>
            <c:strRef>
              <c:f>Sheet1!$B$1</c:f>
              <c:strCache>
                <c:ptCount val="1"/>
                <c:pt idx="0">
                  <c:v>2023年度收、支总计（万元）</c:v>
                </c:pt>
              </c:strCache>
            </c:strRef>
          </c:tx>
          <c:spPr>
            <a:solidFill>
              <a:schemeClr val="accent1"/>
            </a:solidFill>
            <a:ln>
              <a:noFill/>
            </a:ln>
            <a:effectLst/>
          </c:spPr>
          <c:invertIfNegative val="0"/>
          <c:dLbls>
            <c:dLbl>
              <c:idx val="0"/>
              <c:layout>
                <c:manualLayout>
                  <c:x val="0.00915415598681802"/>
                  <c:y val="0.00604229607250755"/>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chemeClr val="tx1"/>
                        </a:solidFill>
                        <a:latin typeface="+mn-lt"/>
                        <a:ea typeface="+mn-ea"/>
                        <a:cs typeface="+mn-cs"/>
                      </a:defRPr>
                    </a:pPr>
                    <a:r>
                      <a:rPr lang="en-US" altLang="zh-CN"/>
                      <a:t>3228.69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3228.69</c:v>
                </c:pt>
              </c:numCache>
            </c:numRef>
          </c:val>
        </c:ser>
        <c:ser>
          <c:idx val="1"/>
          <c:order val="1"/>
          <c:tx>
            <c:strRef>
              <c:f>Sheet1!$C$1</c:f>
              <c:strCache>
                <c:ptCount val="1"/>
                <c:pt idx="0">
                  <c:v>2024年度收、支总计（万元）2</c:v>
                </c:pt>
              </c:strCache>
            </c:strRef>
          </c:tx>
          <c:spPr>
            <a:solidFill>
              <a:schemeClr val="accent2"/>
            </a:solidFill>
            <a:ln>
              <a:noFill/>
            </a:ln>
            <a:effectLst/>
          </c:spPr>
          <c:invertIfNegative val="0"/>
          <c:dLbls>
            <c:dLbl>
              <c:idx val="0"/>
              <c:layout>
                <c:manualLayout>
                  <c:x val="-0.00732332478945441"/>
                  <c:y val="0.0219940095954459"/>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chemeClr val="tx1"/>
                        </a:solidFill>
                        <a:latin typeface="+mn-lt"/>
                        <a:ea typeface="+mn-ea"/>
                        <a:cs typeface="+mn-cs"/>
                      </a:defRPr>
                    </a:pPr>
                    <a:r>
                      <a:rPr lang="en-US" altLang="zh-CN"/>
                      <a:t>3083.56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trendline>
            <c:spPr>
              <a:ln w="9525" cap="flat" cmpd="sng" algn="ctr">
                <a:solidFill>
                  <a:schemeClr val="tx1"/>
                </a:solidFill>
                <a:prstDash val="solid"/>
                <a:round/>
              </a:ln>
              <a:effectLst/>
            </c:spPr>
            <c:trendlineType val="linear"/>
            <c:dispRSqr val="0"/>
            <c:dispEq val="0"/>
          </c:trendline>
          <c:cat>
            <c:strRef>
              <c:f>Sheet1!$A$2</c:f>
              <c:strCache>
                <c:ptCount val="1"/>
                <c:pt idx="0">
                  <c:v>类别 1</c:v>
                </c:pt>
              </c:strCache>
            </c:strRef>
          </c:cat>
          <c:val>
            <c:numRef>
              <c:f>Sheet1!$C$2</c:f>
              <c:numCache>
                <c:formatCode>0.00_ </c:formatCode>
                <c:ptCount val="1"/>
                <c:pt idx="0">
                  <c:v>3083.56</c:v>
                </c:pt>
              </c:numCache>
            </c:numRef>
          </c:val>
        </c:ser>
        <c:dLbls>
          <c:showLegendKey val="0"/>
          <c:showVal val="1"/>
          <c:showCatName val="0"/>
          <c:showSerName val="0"/>
          <c:showPercent val="0"/>
          <c:showBubbleSize val="0"/>
        </c:dLbls>
        <c:gapWidth val="75"/>
        <c:overlap val="-25"/>
        <c:axId val="95483776"/>
        <c:axId val="95504640"/>
      </c:barChart>
      <c:catAx>
        <c:axId val="95483776"/>
        <c:scaling>
          <c:orientation val="minMax"/>
        </c:scaling>
        <c:delete val="1"/>
        <c:axPos val="b"/>
        <c:numFmt formatCode="General" sourceLinked="1"/>
        <c:majorTickMark val="none"/>
        <c:minorTickMark val="none"/>
        <c:tickLblPos val="none"/>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95504640"/>
        <c:crosses val="autoZero"/>
        <c:auto val="1"/>
        <c:lblAlgn val="ctr"/>
        <c:lblOffset val="100"/>
        <c:noMultiLvlLbl val="0"/>
      </c:catAx>
      <c:valAx>
        <c:axId val="95504640"/>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95483776"/>
        <c:crosses val="autoZero"/>
        <c:crossBetween val="between"/>
      </c:valAx>
      <c:spPr>
        <a:solidFill>
          <a:schemeClr val="bg1"/>
        </a:solidFill>
        <a:ln>
          <a:noFill/>
        </a:ln>
        <a:effectLst/>
      </c:spPr>
    </c:plotArea>
    <c:legend>
      <c:legendPos val="b"/>
      <c:legendEntry>
        <c:idx val="2"/>
        <c:delete val="1"/>
      </c:legendEntry>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daf847f-c3fd-4bf5-99e4-719f5355f7f8}"/>
      </c:ext>
    </c:extLst>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0.942</c:v>
                </c:pt>
                <c:pt idx="1">
                  <c:v>0.058</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88abc38-e408-4ed8-9d74-a8e237c077e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0.7161</c:v>
                </c:pt>
                <c:pt idx="1">
                  <c:v>0.2838</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ca9341c-104b-42cb-88e2-c64e9c6879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0429144069795"/>
          <c:y val="0.0862234814166229"/>
          <c:w val="0.899396092362345"/>
          <c:h val="0.712862453531598"/>
        </c:manualLayout>
      </c:layout>
      <c:barChart>
        <c:barDir val="col"/>
        <c:grouping val="clustered"/>
        <c:varyColors val="0"/>
        <c:ser>
          <c:idx val="0"/>
          <c:order val="0"/>
          <c:tx>
            <c:strRef>
              <c:f>Sheet1!$B$1</c:f>
              <c:strCache>
                <c:ptCount val="1"/>
                <c:pt idx="0">
                  <c:v>财政拨款收、支总计2023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#,##0.00</c:formatCode>
                <c:ptCount val="2"/>
                <c:pt idx="0">
                  <c:v>3029.54</c:v>
                </c:pt>
              </c:numCache>
            </c:numRef>
          </c:val>
        </c:ser>
        <c:ser>
          <c:idx val="1"/>
          <c:order val="1"/>
          <c:tx>
            <c:strRef>
              <c:f>Sheet1!$C$1</c:f>
              <c:strCache>
                <c:ptCount val="1"/>
                <c:pt idx="0">
                  <c:v>财政拨款收、支总计2024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Sheet1!$C$2:$C$3</c:f>
              <c:numCache>
                <c:formatCode>General</c:formatCode>
                <c:ptCount val="2"/>
                <c:pt idx="1" c:formatCode="#,##0.00">
                  <c:v>2907.48</c:v>
                </c:pt>
              </c:numCache>
            </c:numRef>
          </c:val>
        </c:ser>
        <c:dLbls>
          <c:showLegendKey val="0"/>
          <c:showVal val="1"/>
          <c:showCatName val="0"/>
          <c:showSerName val="0"/>
          <c:showPercent val="0"/>
          <c:showBubbleSize val="0"/>
        </c:dLbls>
        <c:gapWidth val="219"/>
        <c:overlap val="-27"/>
        <c:axId val="160259072"/>
        <c:axId val="197731072"/>
      </c:barChart>
      <c:catAx>
        <c:axId val="16025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731072"/>
        <c:crosses val="autoZero"/>
        <c:auto val="1"/>
        <c:lblAlgn val="ctr"/>
        <c:lblOffset val="100"/>
        <c:noMultiLvlLbl val="0"/>
      </c:catAx>
      <c:valAx>
        <c:axId val="197731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259072"/>
        <c:crosses val="autoZero"/>
        <c:crossBetween val="between"/>
      </c:valAx>
      <c:spPr>
        <a:noFill/>
        <a:ln>
          <a:noFill/>
        </a:ln>
        <a:effectLst/>
      </c:spPr>
    </c:plotArea>
    <c:legend>
      <c:legendPos val="b"/>
      <c:layout>
        <c:manualLayout>
          <c:xMode val="edge"/>
          <c:yMode val="edge"/>
          <c:x val="0.24198155983818"/>
          <c:y val="0.92889148646016"/>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826d50-f3f8-48b9-91f8-7143ee45d8d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14596003475"/>
          <c:y val="0.0417956331381036"/>
          <c:w val="0.897712496990128"/>
          <c:h val="0.74997842037117"/>
        </c:manualLayout>
      </c:layout>
      <c:barChart>
        <c:barDir val="col"/>
        <c:grouping val="clustered"/>
        <c:varyColors val="0"/>
        <c:ser>
          <c:idx val="0"/>
          <c:order val="0"/>
          <c:tx>
            <c:strRef>
              <c:f>Sheet1!$B$1</c:f>
              <c:strCache>
                <c:ptCount val="1"/>
                <c:pt idx="0">
                  <c:v>一般公共预算财政拨款支出2023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2977.92</c:v>
                </c:pt>
              </c:numCache>
            </c:numRef>
          </c:val>
        </c:ser>
        <c:ser>
          <c:idx val="1"/>
          <c:order val="1"/>
          <c:tx>
            <c:strRef>
              <c:f>Sheet1!$C$1</c:f>
              <c:strCache>
                <c:ptCount val="1"/>
                <c:pt idx="0">
                  <c:v>一般公共预算财政拨款支出2024</c:v>
                </c:pt>
              </c:strCache>
            </c:strRef>
          </c:tx>
          <c:spPr>
            <a:solidFill>
              <a:schemeClr val="accent2"/>
            </a:solidFill>
            <a:ln>
              <a:noFill/>
            </a:ln>
            <a:effectLst/>
          </c:spPr>
          <c:invertIfNegative val="0"/>
          <c:dLbls>
            <c:dLbl>
              <c:idx val="0"/>
              <c:delete val="1"/>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1" c:formatCode="#,##0.00">
                  <c:v>2856.47</c:v>
                </c:pt>
              </c:numCache>
            </c:numRef>
          </c:val>
        </c:ser>
        <c:dLbls>
          <c:showLegendKey val="0"/>
          <c:showVal val="0"/>
          <c:showCatName val="0"/>
          <c:showSerName val="0"/>
          <c:showPercent val="0"/>
          <c:showBubbleSize val="0"/>
        </c:dLbls>
        <c:gapWidth val="219"/>
        <c:overlap val="-27"/>
        <c:axId val="197740032"/>
        <c:axId val="197741568"/>
      </c:barChart>
      <c:catAx>
        <c:axId val="19774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741568"/>
        <c:crosses val="autoZero"/>
        <c:auto val="1"/>
        <c:lblAlgn val="ctr"/>
        <c:lblOffset val="100"/>
        <c:noMultiLvlLbl val="0"/>
      </c:catAx>
      <c:valAx>
        <c:axId val="1977415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740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eff1ad-6515-4742-8ddc-13c7206d9c4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1"/>
            <c:spPr>
              <a:solidFill>
                <a:schemeClr val="accent4"/>
              </a:solidFill>
              <a:ln w="19050">
                <a:solidFill>
                  <a:schemeClr val="lt1"/>
                </a:solidFill>
              </a:ln>
              <a:effectLst/>
            </c:spPr>
          </c:dPt>
          <c:dLbls>
            <c:dLbl>
              <c:idx val="1"/>
              <c:layout>
                <c:manualLayout>
                  <c:x val="0.00714933765786427"/>
                  <c:y val="0.058419128369939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295116761997395"/>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843528538481269"/>
                  <c:y val="0.0027384755819260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0.00%</c:formatCode>
                <c:ptCount val="4"/>
                <c:pt idx="0">
                  <c:v>0.791</c:v>
                </c:pt>
                <c:pt idx="1">
                  <c:v>0.1292</c:v>
                </c:pt>
                <c:pt idx="2">
                  <c:v>0.024</c:v>
                </c:pt>
                <c:pt idx="3">
                  <c:v>0.0558</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manualLayout>
          <c:xMode val="edge"/>
          <c:yMode val="edge"/>
          <c:x val="0.180219950433705"/>
          <c:y val="0.8304427202190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9afd085-162d-44c0-9da7-f04e8be50a3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0.00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0</c:v>
                </c:pt>
                <c:pt idx="2">
                  <c:v>0.07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978202869685"/>
          <c:y val="0.30493381468110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b95a250-ea57-4f41-9557-a69adce774e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49e4bc0e-91eb-490a-8ca0-04e6f58113b0</errorID>
      <errorWord>提高</errorWord>
      <group>L1_Word</group>
      <groupName>字词问题</groupName>
      <ability>L2_Typo</ability>
      <abilityName>字词错误</abilityName>
      <candidateList>
        <item>增强</item>
      </candidateList>
      <explain>“提高～意识”搭配不当，建议修改为“增强～意识”。</explain>
      <paraID>24016BC8</paraID>
      <start>34</start>
      <end>36</end>
      <status>modified</status>
      <modifiedWord>增强</modifiedWord>
      <trackRevisions>false</trackRevisions>
    </reviewItem>
    <reviewItem>
      <errorID>a7a3430d-d7c7-42e3-8d08-4568373238fd</errorID>
      <errorWord>办人民满意的教育</errorWord>
      <group>L1_Political</group>
      <groupName>政治性问题</groupName>
      <ability>L2_Unpolitical</ability>
      <abilityName>政治敏感错误</abilityName>
      <candidateList>
        <item>办好人民满意的教育</item>
      </candidateList>
      <explain/>
      <paraID>24016BC8</paraID>
      <start>73</start>
      <end>82</end>
      <status>modified</status>
      <modifiedWord>办好人民满意的教育</modifiedWord>
      <trackRevisions>false</trackRevisions>
    </reviewItem>
    <reviewItem>
      <errorID>0ade50ec-1d4d-4ff9-a134-7ac2d4cc794a</errorID>
      <errorWord>德智体美全面发展</errorWord>
      <group>L1_Word</group>
      <groupName>字词问题</groupName>
      <ability>L2_Typo</ability>
      <abilityName>字词错误</abilityName>
      <candidateList>
        <item>德智体美劳全面发展</item>
      </candidateList>
      <explain/>
      <paraID>3A661FA0</paraID>
      <start>68</start>
      <end>77</end>
      <status>modified</status>
      <modifiedWord>德智体美劳全面发展</modifiedWord>
      <trackRevisions>false</trackRevisions>
    </reviewItem>
    <reviewItem>
      <errorID>fd1bccc4-14b9-405a-9874-4d3991237984</errorID>
      <errorWord>:</errorWord>
      <group>L1_Format</group>
      <groupName>格式问题</groupName>
      <ability>L2_HalfPunc</ability>
      <abilityName>全半角检查</abilityName>
      <candidateList>
        <item>：</item>
      </candidateList>
      <explain>文本全半角错误。</explain>
      <paraID>3BDF640D</paraID>
      <start>21</start>
      <end>22</end>
      <status>modified</status>
      <modifiedWord>：</modifiedWord>
      <trackRevisions>false</trackRevisions>
    </reviewItem>
    <reviewItem>
      <errorID>c56f62eb-a857-4b49-8db7-856f94d5bb51</errorID>
      <errorWord>:</errorWord>
      <group>L1_Format</group>
      <groupName>格式问题</groupName>
      <ability>L2_HalfPunc</ability>
      <abilityName>全半角检查</abilityName>
      <candidateList>
        <item>：</item>
      </candidateList>
      <explain>文本全半角错误。</explain>
      <paraID>21C7B511</paraID>
      <start>21</start>
      <end>22</end>
      <status>modified</status>
      <modifiedWord>：</modifiedWord>
      <trackRevisions>false</trackRevisions>
    </reviewItem>
    <reviewItem>
      <errorID>6a455b3a-c540-4231-a780-5f3f180f9938</errorID>
      <errorWord>:</errorWord>
      <group>L1_Format</group>
      <groupName>格式问题</groupName>
      <ability>L2_HalfPunc</ability>
      <abilityName>全半角检查</abilityName>
      <candidateList>
        <item>：</item>
      </candidateList>
      <explain>文本全半角错误。</explain>
      <paraID> 10C2F00</paraID>
      <start>46</start>
      <end>47</end>
      <status>modified</status>
      <modifiedWord>：</modifiedWord>
      <trackRevisions>false</trackRevisions>
    </reviewItem>
    <reviewItem>
      <errorID>ec0e55a5-24e0-4985-a872-40e2854a03e2</errorID>
      <errorWord>:</errorWord>
      <group>L1_Format</group>
      <groupName>格式问题</groupName>
      <ability>L2_HalfPunc</ability>
      <abilityName>全半角检查</abilityName>
      <candidateList>
        <item>：</item>
      </candidateList>
      <explain>文本全半角错误。</explain>
      <paraID>6F7F660F</paraID>
      <start>42</start>
      <end>43</end>
      <status>modified</status>
      <modifiedWord>：</modifiedWord>
      <trackRevisions>false</trackRevisions>
    </reviewItem>
    <reviewItem>
      <errorID>ba2502d5-a404-4581-9ca0-78b57a9f7988</errorID>
      <errorWord>:</errorWord>
      <group>L1_Format</group>
      <groupName>格式问题</groupName>
      <ability>L2_HalfPunc</ability>
      <abilityName>全半角检查</abilityName>
      <candidateList>
        <item>：</item>
      </candidateList>
      <explain>文本全半角错误。</explain>
      <paraID> 7FF1624</paraID>
      <start>26</start>
      <end>27</end>
      <status>modified</status>
      <modifiedWord>：</modifiedWord>
      <trackRevisions>false</trackRevisions>
    </reviewItem>
    <reviewItem>
      <errorID>8bb9480a-c993-486c-9985-35781050fccd</errorID>
      <errorWord>:</errorWord>
      <group>L1_Format</group>
      <groupName>格式问题</groupName>
      <ability>L2_HalfPunc</ability>
      <abilityName>全半角检查</abilityName>
      <candidateList>
        <item>：</item>
      </candidateList>
      <explain>文本全半角错误。</explain>
      <paraID>1C91441C</paraID>
      <start>42</start>
      <end>43</end>
      <status>modified</status>
      <modifiedWord>：</modifiedWord>
      <trackRevisions>false</trackRevisions>
    </reviewItem>
    <reviewItem>
      <errorID>e16dafbb-0ad0-4ab4-a085-02bbdaaaa3a6</errorID>
      <errorWord>:</errorWord>
      <group>L1_Format</group>
      <groupName>格式问题</groupName>
      <ability>L2_HalfPunc</ability>
      <abilityName>全半角检查</abilityName>
      <candidateList>
        <item>：</item>
      </candidateList>
      <explain>文本全半角错误。</explain>
      <paraID>41C10C98</paraID>
      <start>29</start>
      <end>30</end>
      <status>modified</status>
      <modifiedWord>：</modifiedWord>
      <trackRevisions>false</trackRevisions>
    </reviewItem>
    <reviewItem>
      <errorID>b72fe662-1bcb-4f01-84f5-9ae7e41ea8cd</errorID>
      <errorWord>:</errorWord>
      <group>L1_Format</group>
      <groupName>格式问题</groupName>
      <ability>L2_HalfPunc</ability>
      <abilityName>全半角检查</abilityName>
      <candidateList>
        <item>：</item>
      </candidateList>
      <explain>文本全半角错误。</explain>
      <paraID>46607EE0</paraID>
      <start>26</start>
      <end>27</end>
      <status>modified</status>
      <modifiedWord>：</modifiedWord>
      <trackRevisions>false</trackRevisions>
    </reviewItem>
    <reviewItem>
      <errorID>a7478f3e-bb45-4ee4-b10c-f3076ab6c24f</errorID>
      <errorWord>，</errorWord>
      <group>L1_Word</group>
      <groupName>字词问题</groupName>
      <ability>L2_Typo</ability>
      <abilityName>字词错误</abilityName>
      <candidateList>
        <item>，在</item>
      </candidateList>
      <explain/>
      <paraID>13A0305A</paraID>
      <start>91</start>
      <end>93</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f82c1-ca3e-447d-9831-87f9489268b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4803</Words>
  <Characters>5227</Characters>
  <Lines>61</Lines>
  <Paragraphs>17</Paragraphs>
  <TotalTime>22</TotalTime>
  <ScaleCrop>false</ScaleCrop>
  <LinksUpToDate>false</LinksUpToDate>
  <CharactersWithSpaces>5418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2025-12-02T08:43:38Z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92E41FBBDEC6476FA3CD6076E87054E7</vt:lpwstr>
  </property>
  <property fmtid="{D5CDD505-2E9C-101B-9397-08002B2CF9AE}" pid="4" name="KSOTemplateDocerSaveRecord">
    <vt:lpwstr>eyJoZGlkIjoiNzI2ZGI0OGUzMDAzMzk0YmE1OTYyMDVlZGMwMmYyODYiLCJ1c2VySWQiOiIxMTM5NjM2MTk5In0=</vt:lpwstr>
  </property>
</Properties>
</file>