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724A5">
      <w:pPr>
        <w:pStyle w:val="12"/>
        <w:spacing w:line="240" w:lineRule="auto"/>
        <w:ind w:firstLine="0" w:firstLineChars="0"/>
        <w:jc w:val="left"/>
        <w:outlineLvl w:val="0"/>
        <w:rPr>
          <w:rFonts w:hint="default" w:ascii="Times New Roman" w:hAnsi="Times New Roman" w:eastAsia="黑体" w:cs="Times New Roman"/>
          <w:color w:val="auto"/>
          <w:highlight w:val="none"/>
          <w:lang w:eastAsia="zh-CN"/>
        </w:rPr>
      </w:pPr>
      <w:bookmarkStart w:id="17" w:name="_GoBack"/>
      <w:bookmarkEnd w:id="17"/>
      <w:bookmarkStart w:id="0" w:name="_Toc219383753"/>
      <w:bookmarkStart w:id="1" w:name="_Toc219456187"/>
      <w:bookmarkStart w:id="2" w:name="_Toc219379976"/>
      <w:bookmarkStart w:id="3" w:name="OLE_LINK7"/>
      <w:bookmarkStart w:id="4" w:name="_Toc219461143"/>
      <w:bookmarkStart w:id="5" w:name="_Toc223119755"/>
      <w:bookmarkStart w:id="6" w:name="_Toc223115267"/>
      <w:bookmarkStart w:id="7" w:name="OLE_LINK8"/>
      <w:r>
        <w:rPr>
          <w:rFonts w:hint="default" w:ascii="Times New Roman" w:hAnsi="Times New Roman" w:eastAsia="黑体" w:cs="Times New Roman"/>
          <w:lang w:val="en-US" w:eastAsia="zh-CN"/>
        </w:rPr>
        <w:t xml:space="preserve"> </w:t>
      </w:r>
    </w:p>
    <w:p w14:paraId="7C15828A">
      <w:pPr>
        <w:ind w:firstLine="640"/>
        <w:rPr>
          <w:rFonts w:hint="default" w:ascii="Times New Roman" w:hAnsi="Times New Roman" w:cs="Times New Roman"/>
          <w:color w:val="auto"/>
          <w:highlight w:val="none"/>
        </w:rPr>
      </w:pPr>
    </w:p>
    <w:p w14:paraId="603DD59A">
      <w:pPr>
        <w:pStyle w:val="12"/>
        <w:spacing w:line="240" w:lineRule="auto"/>
        <w:ind w:firstLine="0" w:firstLineChars="0"/>
        <w:jc w:val="center"/>
        <w:outlineLvl w:val="0"/>
        <w:rPr>
          <w:rFonts w:hint="eastAsia" w:ascii="方正小标宋简体" w:hAnsi="方正小标宋简体" w:eastAsia="方正小标宋简体" w:cs="方正小标宋简体"/>
          <w:color w:val="auto"/>
          <w:sz w:val="44"/>
          <w:szCs w:val="44"/>
          <w:highlight w:val="none"/>
        </w:rPr>
      </w:pPr>
      <w:bookmarkStart w:id="8" w:name="_Toc223120989"/>
      <w:bookmarkStart w:id="9" w:name="_Toc223187424"/>
      <w:r>
        <w:rPr>
          <w:rFonts w:hint="eastAsia" w:ascii="方正小标宋简体" w:hAnsi="方正小标宋简体" w:eastAsia="方正小标宋简体" w:cs="方正小标宋简体"/>
          <w:color w:val="auto"/>
          <w:sz w:val="44"/>
          <w:szCs w:val="44"/>
          <w:highlight w:val="none"/>
          <w:lang w:val="en-US" w:eastAsia="zh-CN"/>
        </w:rPr>
        <w:t>峨边彝族自治县</w:t>
      </w:r>
      <w:r>
        <w:rPr>
          <w:rFonts w:hint="eastAsia" w:ascii="方正小标宋简体" w:hAnsi="方正小标宋简体" w:eastAsia="方正小标宋简体" w:cs="方正小标宋简体"/>
          <w:color w:val="auto"/>
          <w:sz w:val="44"/>
          <w:szCs w:val="44"/>
          <w:highlight w:val="none"/>
        </w:rPr>
        <w:t>国土空间总体规划</w:t>
      </w:r>
      <w:bookmarkEnd w:id="0"/>
      <w:bookmarkEnd w:id="1"/>
      <w:bookmarkEnd w:id="2"/>
      <w:bookmarkStart w:id="10" w:name="_Toc219456188"/>
      <w:bookmarkStart w:id="11" w:name="_Toc219383754"/>
      <w:bookmarkStart w:id="12" w:name="_Toc219379977"/>
      <w:r>
        <w:rPr>
          <w:rFonts w:hint="eastAsia" w:ascii="方正小标宋简体" w:hAnsi="方正小标宋简体" w:eastAsia="方正小标宋简体" w:cs="方正小标宋简体"/>
          <w:color w:val="auto"/>
          <w:sz w:val="44"/>
          <w:szCs w:val="44"/>
          <w:highlight w:val="none"/>
        </w:rPr>
        <w:t>（2021—2035年）</w:t>
      </w:r>
      <w:bookmarkEnd w:id="3"/>
      <w:bookmarkEnd w:id="4"/>
      <w:bookmarkEnd w:id="10"/>
      <w:bookmarkEnd w:id="11"/>
      <w:bookmarkEnd w:id="12"/>
      <w:bookmarkStart w:id="13" w:name="_Toc219383755"/>
      <w:bookmarkStart w:id="14" w:name="_Toc219461144"/>
      <w:bookmarkStart w:id="15" w:name="_Toc219456189"/>
      <w:bookmarkStart w:id="16" w:name="_Toc219379978"/>
      <w:r>
        <w:rPr>
          <w:rFonts w:hint="eastAsia" w:ascii="方正小标宋简体" w:hAnsi="方正小标宋简体" w:eastAsia="方正小标宋简体" w:cs="方正小标宋简体"/>
          <w:color w:val="auto"/>
          <w:sz w:val="44"/>
          <w:szCs w:val="44"/>
          <w:highlight w:val="none"/>
          <w:lang w:val="en-US" w:eastAsia="zh-CN"/>
        </w:rPr>
        <w:t>2026年度</w:t>
      </w:r>
      <w:r>
        <w:rPr>
          <w:rFonts w:hint="eastAsia" w:ascii="方正小标宋简体" w:hAnsi="方正小标宋简体" w:eastAsia="方正小标宋简体" w:cs="方正小标宋简体"/>
          <w:color w:val="auto"/>
          <w:sz w:val="44"/>
          <w:szCs w:val="44"/>
          <w:highlight w:val="none"/>
        </w:rPr>
        <w:t>动态维护方案</w:t>
      </w:r>
      <w:bookmarkEnd w:id="5"/>
      <w:bookmarkEnd w:id="6"/>
      <w:bookmarkEnd w:id="8"/>
      <w:bookmarkEnd w:id="9"/>
      <w:bookmarkEnd w:id="13"/>
      <w:bookmarkEnd w:id="14"/>
      <w:bookmarkEnd w:id="15"/>
      <w:bookmarkEnd w:id="16"/>
    </w:p>
    <w:bookmarkEnd w:id="7"/>
    <w:p w14:paraId="3F385D52">
      <w:pPr>
        <w:pStyle w:val="12"/>
        <w:spacing w:line="240" w:lineRule="auto"/>
        <w:ind w:firstLine="0" w:firstLineChars="0"/>
        <w:jc w:val="both"/>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 xml:space="preserve"> </w:t>
      </w:r>
    </w:p>
    <w:p w14:paraId="51880C7A">
      <w:pPr>
        <w:ind w:firstLine="640"/>
        <w:rPr>
          <w:rFonts w:hint="default" w:ascii="Times New Roman" w:hAnsi="Times New Roman" w:cs="Times New Roman"/>
          <w:color w:val="auto"/>
          <w:highlight w:val="none"/>
        </w:rPr>
      </w:pPr>
    </w:p>
    <w:p w14:paraId="2BE684A5">
      <w:pPr>
        <w:ind w:firstLine="640"/>
        <w:rPr>
          <w:rFonts w:hint="default" w:ascii="Times New Roman" w:hAnsi="Times New Roman" w:cs="Times New Roman"/>
          <w:color w:val="auto"/>
          <w:highlight w:val="none"/>
        </w:rPr>
      </w:pPr>
    </w:p>
    <w:p w14:paraId="05FB9008">
      <w:pPr>
        <w:ind w:firstLine="640"/>
        <w:rPr>
          <w:rFonts w:hint="default" w:ascii="Times New Roman" w:hAnsi="Times New Roman" w:cs="Times New Roman"/>
          <w:color w:val="auto"/>
          <w:highlight w:val="none"/>
        </w:rPr>
      </w:pPr>
    </w:p>
    <w:p w14:paraId="7D9A1A97">
      <w:pPr>
        <w:ind w:firstLine="640"/>
        <w:rPr>
          <w:rFonts w:hint="default" w:ascii="Times New Roman" w:hAnsi="Times New Roman" w:cs="Times New Roman"/>
          <w:color w:val="auto"/>
          <w:highlight w:val="none"/>
        </w:rPr>
      </w:pPr>
    </w:p>
    <w:p w14:paraId="6B5394EF">
      <w:pPr>
        <w:ind w:firstLine="640"/>
        <w:rPr>
          <w:rFonts w:hint="default" w:ascii="Times New Roman" w:hAnsi="Times New Roman" w:cs="Times New Roman"/>
          <w:color w:val="auto"/>
          <w:highlight w:val="none"/>
        </w:rPr>
      </w:pPr>
    </w:p>
    <w:p w14:paraId="00859541">
      <w:pPr>
        <w:ind w:firstLine="640"/>
        <w:rPr>
          <w:rFonts w:hint="default" w:ascii="Times New Roman" w:hAnsi="Times New Roman" w:cs="Times New Roman"/>
          <w:color w:val="auto"/>
          <w:highlight w:val="none"/>
        </w:rPr>
      </w:pPr>
    </w:p>
    <w:p w14:paraId="1FBB9EFB">
      <w:pPr>
        <w:ind w:firstLine="640"/>
        <w:rPr>
          <w:rFonts w:hint="default" w:ascii="Times New Roman" w:hAnsi="Times New Roman" w:cs="Times New Roman"/>
          <w:color w:val="auto"/>
          <w:highlight w:val="none"/>
        </w:rPr>
      </w:pPr>
    </w:p>
    <w:p w14:paraId="7BCEB7C8">
      <w:pPr>
        <w:ind w:firstLine="640"/>
        <w:rPr>
          <w:rFonts w:hint="default" w:ascii="Times New Roman" w:hAnsi="Times New Roman" w:cs="Times New Roman"/>
          <w:color w:val="auto"/>
          <w:highlight w:val="none"/>
        </w:rPr>
      </w:pPr>
    </w:p>
    <w:p w14:paraId="446D6CA1">
      <w:pPr>
        <w:ind w:firstLine="640"/>
        <w:rPr>
          <w:rFonts w:hint="default" w:ascii="Times New Roman" w:hAnsi="Times New Roman" w:cs="Times New Roman"/>
          <w:color w:val="auto"/>
          <w:highlight w:val="none"/>
        </w:rPr>
      </w:pPr>
    </w:p>
    <w:p w14:paraId="34ED2D30">
      <w:pPr>
        <w:ind w:firstLine="640"/>
        <w:rPr>
          <w:rFonts w:hint="default" w:ascii="Times New Roman" w:hAnsi="Times New Roman" w:cs="Times New Roman"/>
          <w:color w:val="auto"/>
          <w:highlight w:val="none"/>
        </w:rPr>
      </w:pPr>
    </w:p>
    <w:p w14:paraId="09EB55F8">
      <w:pPr>
        <w:ind w:firstLine="640"/>
        <w:rPr>
          <w:rFonts w:hint="default" w:ascii="Times New Roman" w:hAnsi="Times New Roman" w:cs="Times New Roman"/>
          <w:color w:val="auto"/>
          <w:highlight w:val="none"/>
        </w:rPr>
      </w:pPr>
    </w:p>
    <w:p w14:paraId="244DC22B">
      <w:pPr>
        <w:ind w:firstLine="640"/>
        <w:rPr>
          <w:rFonts w:hint="default" w:ascii="Times New Roman" w:hAnsi="Times New Roman" w:cs="Times New Roman"/>
          <w:color w:val="auto"/>
          <w:highlight w:val="none"/>
        </w:rPr>
      </w:pPr>
    </w:p>
    <w:p w14:paraId="561EB281">
      <w:pPr>
        <w:ind w:firstLine="640"/>
        <w:rPr>
          <w:rFonts w:hint="default" w:ascii="Times New Roman" w:hAnsi="Times New Roman" w:cs="Times New Roman"/>
          <w:color w:val="auto"/>
          <w:highlight w:val="none"/>
        </w:rPr>
      </w:pPr>
    </w:p>
    <w:p w14:paraId="51390E2F">
      <w:pPr>
        <w:ind w:left="0" w:leftChars="0" w:firstLine="0" w:firstLineChars="0"/>
        <w:rPr>
          <w:rFonts w:hint="default" w:ascii="Times New Roman" w:hAnsi="Times New Roman" w:cs="Times New Roman"/>
          <w:color w:val="auto"/>
          <w:highlight w:val="none"/>
        </w:rPr>
      </w:pPr>
    </w:p>
    <w:p w14:paraId="5B3BAB6A">
      <w:pPr>
        <w:pStyle w:val="12"/>
        <w:ind w:firstLine="0" w:firstLineChars="0"/>
        <w:jc w:val="center"/>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峨边彝族自治县</w:t>
      </w:r>
      <w:r>
        <w:rPr>
          <w:rFonts w:hint="eastAsia" w:ascii="楷体_GB2312" w:hAnsi="楷体_GB2312" w:eastAsia="楷体_GB2312" w:cs="楷体_GB2312"/>
          <w:color w:val="auto"/>
          <w:sz w:val="28"/>
          <w:szCs w:val="28"/>
          <w:highlight w:val="none"/>
        </w:rPr>
        <w:t>人民政府</w:t>
      </w:r>
    </w:p>
    <w:p w14:paraId="31A6EA0B">
      <w:pPr>
        <w:pStyle w:val="12"/>
        <w:ind w:firstLine="0" w:firstLineChars="0"/>
        <w:jc w:val="center"/>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2026</w:t>
      </w:r>
      <w:r>
        <w:rPr>
          <w:rFonts w:hint="eastAsia" w:ascii="楷体_GB2312" w:hAnsi="楷体_GB2312" w:eastAsia="楷体_GB2312" w:cs="楷体_GB2312"/>
          <w:color w:val="auto"/>
          <w:sz w:val="28"/>
          <w:szCs w:val="28"/>
          <w:highlight w:val="none"/>
        </w:rPr>
        <w:t>年</w:t>
      </w:r>
      <w:r>
        <w:rPr>
          <w:rFonts w:hint="eastAsia" w:ascii="楷体_GB2312" w:hAnsi="楷体_GB2312" w:eastAsia="楷体_GB2312" w:cs="楷体_GB2312"/>
          <w:color w:val="auto"/>
          <w:sz w:val="28"/>
          <w:szCs w:val="28"/>
          <w:highlight w:val="none"/>
          <w:lang w:val="en-US" w:eastAsia="zh-CN"/>
        </w:rPr>
        <w:t>4</w:t>
      </w:r>
      <w:r>
        <w:rPr>
          <w:rFonts w:hint="eastAsia" w:ascii="楷体_GB2312" w:hAnsi="楷体_GB2312" w:eastAsia="楷体_GB2312" w:cs="楷体_GB2312"/>
          <w:color w:val="auto"/>
          <w:sz w:val="28"/>
          <w:szCs w:val="28"/>
          <w:highlight w:val="none"/>
        </w:rPr>
        <w:t>月</w:t>
      </w:r>
    </w:p>
    <w:p w14:paraId="48628168">
      <w:pPr>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br w:type="page"/>
      </w:r>
    </w:p>
    <w:p w14:paraId="5D13FAC5">
      <w:pPr>
        <w:pStyle w:val="12"/>
        <w:ind w:firstLine="0" w:firstLineChars="0"/>
        <w:jc w:val="center"/>
        <w:rPr>
          <w:rFonts w:hint="default" w:ascii="Times New Roman" w:hAnsi="Times New Roman" w:eastAsia="楷体_GB2312" w:cs="Times New Roman"/>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74" w:gutter="0"/>
          <w:pgNumType w:fmt="decimal"/>
          <w:cols w:space="425" w:num="1"/>
          <w:docGrid w:type="linesAndChars" w:linePitch="435" w:charSpace="0"/>
        </w:sectPr>
      </w:pPr>
    </w:p>
    <w:p w14:paraId="5B790E5E">
      <w:pPr>
        <w:pStyle w:val="2"/>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工作背景</w:t>
      </w:r>
    </w:p>
    <w:p w14:paraId="4CC0EFAA">
      <w:pPr>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eastAsia="zh-CN"/>
        </w:rPr>
        <w:t>为深入贯彻落实自然资源部、省自然资源厅关于国土空间总体规划动态调整完善工作的系列部署，切实保障“十五五”时期</w:t>
      </w:r>
      <w:r>
        <w:rPr>
          <w:rFonts w:hint="eastAsia" w:ascii="仿宋_GB2312" w:hAnsi="仿宋_GB2312" w:eastAsia="仿宋_GB2312" w:cs="仿宋_GB2312"/>
          <w:color w:val="auto"/>
          <w:sz w:val="32"/>
          <w:highlight w:val="none"/>
          <w:lang w:val="en-US" w:eastAsia="zh-CN"/>
        </w:rPr>
        <w:t>峨边彝族自治县</w:t>
      </w:r>
      <w:r>
        <w:rPr>
          <w:rFonts w:hint="eastAsia" w:ascii="仿宋_GB2312" w:hAnsi="仿宋_GB2312" w:eastAsia="仿宋_GB2312" w:cs="仿宋_GB2312"/>
          <w:color w:val="auto"/>
          <w:sz w:val="32"/>
          <w:highlight w:val="none"/>
          <w:lang w:eastAsia="zh-CN"/>
        </w:rPr>
        <w:t>经济社会高质量发展空间需求，依据《四川省自然资源厅关于开展国土空间总体规划动态调整完善工作的通知》（川自然资函〔2026〕25号）及《四川省国土空间总体规划动态维护工作技术方案（2026年3月版）》（川自然资办函〔2026〕16号）等文件要求，</w:t>
      </w:r>
      <w:r>
        <w:rPr>
          <w:rFonts w:hint="eastAsia" w:ascii="仿宋_GB2312" w:hAnsi="仿宋_GB2312" w:eastAsia="仿宋_GB2312" w:cs="仿宋_GB2312"/>
          <w:color w:val="auto"/>
          <w:sz w:val="32"/>
          <w:highlight w:val="none"/>
          <w:lang w:val="en-US" w:eastAsia="zh-CN"/>
        </w:rPr>
        <w:t>我</w:t>
      </w:r>
      <w:r>
        <w:rPr>
          <w:rFonts w:hint="eastAsia" w:ascii="仿宋_GB2312" w:hAnsi="仿宋_GB2312" w:cs="仿宋_GB2312"/>
          <w:color w:val="auto"/>
          <w:sz w:val="32"/>
          <w:highlight w:val="none"/>
          <w:lang w:val="en-US" w:eastAsia="zh-CN"/>
        </w:rPr>
        <w:t>县</w:t>
      </w:r>
      <w:r>
        <w:rPr>
          <w:rFonts w:hint="eastAsia" w:ascii="仿宋_GB2312" w:hAnsi="仿宋_GB2312" w:eastAsia="仿宋_GB2312" w:cs="仿宋_GB2312"/>
          <w:color w:val="auto"/>
          <w:sz w:val="32"/>
          <w:highlight w:val="none"/>
          <w:lang w:val="en-US" w:eastAsia="zh-CN"/>
        </w:rPr>
        <w:t>组织编制了《峨边彝族自治县国土空间总体规划（2021—2035年）2026年度动态维护方案》（以下简称《方案》）。</w:t>
      </w:r>
    </w:p>
    <w:p w14:paraId="799B3071">
      <w:pPr>
        <w:pStyle w:val="2"/>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编制依据</w:t>
      </w:r>
    </w:p>
    <w:p w14:paraId="6D448F3B">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1.</w:t>
      </w:r>
      <w:r>
        <w:rPr>
          <w:rFonts w:hint="default" w:ascii="仿宋_GB2312" w:hAnsi="仿宋_GB2312" w:eastAsia="仿宋_GB2312" w:cs="仿宋_GB2312"/>
          <w:color w:val="auto"/>
          <w:sz w:val="32"/>
          <w:highlight w:val="none"/>
          <w:lang w:eastAsia="zh-CN"/>
        </w:rPr>
        <w:t>《中共中央</w:t>
      </w:r>
      <w:r>
        <w:rPr>
          <w:rFonts w:hint="eastAsia" w:ascii="仿宋_GB2312" w:hAnsi="仿宋_GB2312" w:eastAsia="仿宋_GB2312" w:cs="仿宋_GB2312"/>
          <w:color w:val="auto"/>
          <w:sz w:val="32"/>
          <w:highlight w:val="none"/>
          <w:lang w:val="en-US" w:eastAsia="zh-CN"/>
        </w:rPr>
        <w:t xml:space="preserve"> </w:t>
      </w:r>
      <w:r>
        <w:rPr>
          <w:rFonts w:hint="default" w:ascii="仿宋_GB2312" w:hAnsi="仿宋_GB2312" w:eastAsia="仿宋_GB2312" w:cs="仿宋_GB2312"/>
          <w:color w:val="auto"/>
          <w:sz w:val="32"/>
          <w:highlight w:val="none"/>
          <w:lang w:eastAsia="zh-CN"/>
        </w:rPr>
        <w:t>国务院关于建立国土空间规划体系并监督实施的若干意见》（中发〔2019〕18号）</w:t>
      </w:r>
    </w:p>
    <w:p w14:paraId="7A37BEA5">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2.</w:t>
      </w:r>
      <w:r>
        <w:rPr>
          <w:rFonts w:hint="default" w:ascii="仿宋_GB2312" w:hAnsi="仿宋_GB2312" w:eastAsia="仿宋_GB2312" w:cs="仿宋_GB2312"/>
          <w:color w:val="auto"/>
          <w:sz w:val="32"/>
          <w:highlight w:val="none"/>
          <w:lang w:eastAsia="zh-CN"/>
        </w:rPr>
        <w:t>《自然资源部国家林业和草原局关于进一步做好自然资源要素保障的通知》（自然资发〔2026〕38号）</w:t>
      </w:r>
    </w:p>
    <w:p w14:paraId="4799B5A7">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3.</w:t>
      </w:r>
      <w:r>
        <w:rPr>
          <w:rFonts w:hint="default" w:ascii="仿宋_GB2312" w:hAnsi="仿宋_GB2312" w:eastAsia="仿宋_GB2312" w:cs="仿宋_GB2312"/>
          <w:color w:val="auto"/>
          <w:sz w:val="32"/>
          <w:highlight w:val="none"/>
          <w:lang w:eastAsia="zh-CN"/>
        </w:rPr>
        <w:t>《自然资源部关于印发〈城镇开发边界管理办法（试行）〉的通知》（自然资规〔2026〕1号）</w:t>
      </w:r>
    </w:p>
    <w:p w14:paraId="6EDAAF4B">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4.</w:t>
      </w:r>
      <w:r>
        <w:rPr>
          <w:rFonts w:hint="default" w:ascii="仿宋_GB2312" w:hAnsi="仿宋_GB2312" w:eastAsia="仿宋_GB2312" w:cs="仿宋_GB2312"/>
          <w:color w:val="auto"/>
          <w:sz w:val="32"/>
          <w:highlight w:val="none"/>
          <w:lang w:eastAsia="zh-CN"/>
        </w:rPr>
        <w:t>《永久基本农田保护红线管理办法》（自然资源部、农业农村部令第17号）</w:t>
      </w:r>
    </w:p>
    <w:p w14:paraId="5683B21A">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5.</w:t>
      </w:r>
      <w:r>
        <w:rPr>
          <w:rFonts w:hint="default" w:ascii="仿宋_GB2312" w:hAnsi="仿宋_GB2312" w:eastAsia="仿宋_GB2312" w:cs="仿宋_GB2312"/>
          <w:color w:val="auto"/>
          <w:sz w:val="32"/>
          <w:highlight w:val="none"/>
          <w:lang w:eastAsia="zh-CN"/>
        </w:rPr>
        <w:t>《自然资源部办公厅 国家林业和草原局办公室 关于印发〈耕地保护和国土绿化空间专项规划编制工作方案〉的函》（自然资办函〔2026〕124号）</w:t>
      </w:r>
    </w:p>
    <w:p w14:paraId="155471FB">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6.</w:t>
      </w:r>
      <w:r>
        <w:rPr>
          <w:rFonts w:hint="default" w:ascii="仿宋_GB2312" w:hAnsi="仿宋_GB2312" w:eastAsia="仿宋_GB2312" w:cs="仿宋_GB2312"/>
          <w:color w:val="auto"/>
          <w:sz w:val="32"/>
          <w:highlight w:val="none"/>
          <w:lang w:eastAsia="zh-CN"/>
        </w:rPr>
        <w:t>《四川省耕地保护工作领导小组办公室 关于印发〈四川省耕地保护和国土绿化空间专项规划编制工作方案〉的通知》（川耕保领办〔2026〕4号）</w:t>
      </w:r>
    </w:p>
    <w:p w14:paraId="63A55830">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7.</w:t>
      </w:r>
      <w:r>
        <w:rPr>
          <w:rFonts w:hint="default" w:ascii="仿宋_GB2312" w:hAnsi="仿宋_GB2312" w:eastAsia="仿宋_GB2312" w:cs="仿宋_GB2312"/>
          <w:color w:val="auto"/>
          <w:sz w:val="32"/>
          <w:highlight w:val="none"/>
          <w:lang w:eastAsia="zh-CN"/>
        </w:rPr>
        <w:t>《四川省自然资源办公室 四川省林业和草原局办公室关于印发〈四川省耕地保护和国土绿化空间专项规划编制技术方案〉的通知》（川自然资办函〔2026〕15号）</w:t>
      </w:r>
    </w:p>
    <w:p w14:paraId="59351782">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8.</w:t>
      </w:r>
      <w:r>
        <w:rPr>
          <w:rFonts w:hint="default" w:ascii="仿宋_GB2312" w:hAnsi="仿宋_GB2312" w:eastAsia="仿宋_GB2312" w:cs="仿宋_GB2312"/>
          <w:color w:val="auto"/>
          <w:sz w:val="32"/>
          <w:highlight w:val="none"/>
          <w:lang w:eastAsia="zh-CN"/>
        </w:rPr>
        <w:t>《自然资源部国土空间规划局关于国土空间总体规划动态调整完善工作有关问题的答复》（自然资空间规划函〔2025〕411号）</w:t>
      </w:r>
    </w:p>
    <w:p w14:paraId="64D3A98B">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val="en-US" w:eastAsia="zh-CN"/>
        </w:rPr>
        <w:t>9.</w:t>
      </w:r>
      <w:r>
        <w:rPr>
          <w:rFonts w:hint="default" w:ascii="仿宋_GB2312" w:hAnsi="仿宋_GB2312" w:eastAsia="仿宋_GB2312" w:cs="仿宋_GB2312"/>
          <w:color w:val="auto"/>
          <w:sz w:val="32"/>
          <w:highlight w:val="none"/>
          <w:lang w:eastAsia="zh-CN"/>
        </w:rPr>
        <w:t>《自然资源部国土空间规划局关于国土空间总体规划动态调整完善工作有关问题的答复（第二版）》（自然资空间规划函〔2026〕37号）</w:t>
      </w:r>
    </w:p>
    <w:p w14:paraId="271C391A">
      <w:pPr>
        <w:rPr>
          <w:rFonts w:hint="default" w:ascii="Times New Roman" w:hAnsi="Times New Roman" w:cs="Times New Roman"/>
          <w:color w:val="auto"/>
          <w:highlight w:val="none"/>
          <w:lang w:val="en-US"/>
        </w:rPr>
      </w:pPr>
      <w:r>
        <w:rPr>
          <w:rFonts w:hint="default" w:ascii="仿宋_GB2312" w:hAnsi="仿宋_GB2312" w:eastAsia="仿宋_GB2312" w:cs="仿宋_GB2312"/>
          <w:color w:val="auto"/>
          <w:sz w:val="32"/>
          <w:highlight w:val="none"/>
          <w:lang w:val="en-US" w:eastAsia="zh-CN"/>
        </w:rPr>
        <w:t>10.</w:t>
      </w:r>
      <w:r>
        <w:rPr>
          <w:rFonts w:hint="default" w:ascii="仿宋_GB2312" w:hAnsi="仿宋_GB2312" w:eastAsia="仿宋_GB2312" w:cs="仿宋_GB2312"/>
          <w:color w:val="auto"/>
          <w:sz w:val="32"/>
          <w:highlight w:val="none"/>
          <w:lang w:eastAsia="zh-CN"/>
        </w:rPr>
        <w:t>《四川省自然资源厅关于开展国土空间总体规划动态调整完善工作的通知》（川自然资函〔2026〕25号）</w:t>
      </w:r>
      <w:r>
        <w:rPr>
          <w:rFonts w:hint="eastAsia" w:ascii="仿宋_GB2312" w:hAnsi="仿宋_GB2312" w:cs="仿宋_GB2312"/>
          <w:color w:val="auto"/>
          <w:sz w:val="32"/>
          <w:highlight w:val="none"/>
          <w:lang w:val="en-US" w:eastAsia="zh-CN"/>
        </w:rPr>
        <w:t>等</w:t>
      </w:r>
    </w:p>
    <w:p w14:paraId="70057CB0">
      <w:pPr>
        <w:pStyle w:val="2"/>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编制范围</w:t>
      </w:r>
    </w:p>
    <w:p w14:paraId="1F136657">
      <w:pPr>
        <w:rPr>
          <w:rFonts w:hint="default" w:ascii="仿宋_GB2312" w:hAnsi="仿宋_GB2312" w:eastAsia="仿宋_GB2312" w:cs="仿宋_GB2312"/>
          <w:color w:val="auto"/>
          <w:sz w:val="32"/>
          <w:highlight w:val="none"/>
          <w:lang w:eastAsia="zh-CN"/>
        </w:rPr>
      </w:pPr>
      <w:r>
        <w:rPr>
          <w:rFonts w:hint="default" w:ascii="仿宋_GB2312" w:hAnsi="仿宋_GB2312" w:eastAsia="仿宋_GB2312" w:cs="仿宋_GB2312"/>
          <w:color w:val="auto"/>
          <w:sz w:val="32"/>
          <w:highlight w:val="none"/>
          <w:lang w:eastAsia="zh-CN"/>
        </w:rPr>
        <w:t>规划范围为</w:t>
      </w:r>
      <w:r>
        <w:rPr>
          <w:rFonts w:hint="eastAsia" w:ascii="仿宋_GB2312" w:hAnsi="仿宋_GB2312" w:eastAsia="仿宋_GB2312" w:cs="仿宋_GB2312"/>
          <w:color w:val="auto"/>
          <w:sz w:val="32"/>
          <w:highlight w:val="none"/>
          <w:lang w:val="en-US" w:eastAsia="zh-CN"/>
        </w:rPr>
        <w:t>峨边彝族自治县</w:t>
      </w:r>
      <w:r>
        <w:rPr>
          <w:rFonts w:hint="default" w:ascii="仿宋_GB2312" w:hAnsi="仿宋_GB2312" w:eastAsia="仿宋_GB2312" w:cs="仿宋_GB2312"/>
          <w:color w:val="auto"/>
          <w:sz w:val="32"/>
          <w:highlight w:val="none"/>
          <w:lang w:eastAsia="zh-CN"/>
        </w:rPr>
        <w:t>行政辖区全域，包括</w:t>
      </w:r>
      <w:r>
        <w:rPr>
          <w:rFonts w:hint="eastAsia" w:ascii="仿宋_GB2312" w:hAnsi="仿宋_GB2312" w:eastAsia="仿宋_GB2312" w:cs="仿宋_GB2312"/>
          <w:color w:val="auto"/>
          <w:sz w:val="32"/>
          <w:highlight w:val="none"/>
          <w:lang w:val="en-US" w:eastAsia="zh-CN"/>
        </w:rPr>
        <w:t>含沙坪镇、大堡镇、毛坪镇、五渡镇、新林镇、黑竹沟镇、红旗镇7个镇，宜坪乡、杨河乡、新场乡、平等乡、金岩乡、勒乌乡6个乡</w:t>
      </w:r>
      <w:r>
        <w:rPr>
          <w:rFonts w:hint="default" w:ascii="仿宋_GB2312" w:hAnsi="仿宋_GB2312" w:eastAsia="仿宋_GB2312" w:cs="仿宋_GB2312"/>
          <w:color w:val="auto"/>
          <w:sz w:val="32"/>
          <w:highlight w:val="none"/>
          <w:lang w:eastAsia="zh-CN"/>
        </w:rPr>
        <w:t>，总面积</w:t>
      </w:r>
      <w:r>
        <w:rPr>
          <w:rFonts w:hint="eastAsia" w:ascii="仿宋_GB2312" w:hAnsi="仿宋_GB2312" w:eastAsia="仿宋_GB2312" w:cs="仿宋_GB2312"/>
          <w:color w:val="auto"/>
          <w:sz w:val="32"/>
          <w:highlight w:val="none"/>
          <w:lang w:val="en-US" w:eastAsia="zh-CN"/>
        </w:rPr>
        <w:t>2382</w:t>
      </w:r>
      <w:r>
        <w:rPr>
          <w:rFonts w:hint="default" w:ascii="仿宋_GB2312" w:hAnsi="仿宋_GB2312" w:eastAsia="仿宋_GB2312" w:cs="仿宋_GB2312"/>
          <w:color w:val="auto"/>
          <w:sz w:val="32"/>
          <w:highlight w:val="none"/>
          <w:lang w:eastAsia="zh-CN"/>
        </w:rPr>
        <w:t>平方千米。</w:t>
      </w:r>
    </w:p>
    <w:p w14:paraId="3F19EA57">
      <w:pPr>
        <w:pStyle w:val="2"/>
        <w:ind w:firstLine="643"/>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主要内容</w:t>
      </w:r>
    </w:p>
    <w:p w14:paraId="169E2C1F">
      <w:pPr>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《方案》重点对三条控制线（永久基本农田、生态保护红线、城镇开发边界</w:t>
      </w:r>
      <w:r>
        <w:rPr>
          <w:rFonts w:hint="eastAsia" w:ascii="仿宋_GB2312" w:hAnsi="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、规划分区、</w:t>
      </w:r>
      <w:r>
        <w:rPr>
          <w:rFonts w:hint="eastAsia" w:ascii="仿宋_GB2312" w:hAnsi="仿宋_GB2312" w:eastAsia="仿宋_GB2312" w:cs="仿宋_GB2312"/>
          <w:color w:val="auto"/>
          <w:sz w:val="32"/>
          <w:highlight w:val="none"/>
          <w:lang w:val="en-US" w:eastAsia="zh-CN"/>
        </w:rPr>
        <w:t>城市重要控制线、</w:t>
      </w:r>
      <w:r>
        <w:rPr>
          <w:rFonts w:hint="default" w:ascii="仿宋_GB2312" w:hAnsi="仿宋_GB2312" w:eastAsia="仿宋_GB2312" w:cs="仿宋_GB2312"/>
          <w:color w:val="auto"/>
          <w:sz w:val="32"/>
          <w:highlight w:val="none"/>
          <w:lang w:val="en-US" w:eastAsia="zh-CN"/>
        </w:rPr>
        <w:t>中心城区用地规划布局等进行正向优化，同时衔接“十五五”规划和专项规划，更新重点项目建设清单，保障“十五五”建设项目落地实施。《方案》主要内容如下：</w:t>
      </w:r>
    </w:p>
    <w:p w14:paraId="5E3B759F">
      <w:pPr>
        <w:pStyle w:val="3"/>
        <w:ind w:firstLine="643"/>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空间管控边界维护</w:t>
      </w:r>
    </w:p>
    <w:p w14:paraId="3DF40304">
      <w:pPr>
        <w:rPr>
          <w:rFonts w:hint="default"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1.</w:t>
      </w:r>
      <w:r>
        <w:rPr>
          <w:rFonts w:hint="default" w:ascii="仿宋_GB2312" w:hAnsi="仿宋_GB2312" w:eastAsia="仿宋_GB2312" w:cs="仿宋_GB2312"/>
          <w:b/>
          <w:bCs/>
          <w:color w:val="auto"/>
          <w:sz w:val="32"/>
          <w:highlight w:val="none"/>
          <w:lang w:val="en-US" w:eastAsia="zh-CN"/>
        </w:rPr>
        <w:t>永久基本农田正向优化</w:t>
      </w:r>
    </w:p>
    <w:p w14:paraId="495874F1">
      <w:pPr>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本次动态维护坚持“数量不减少、质量不降低、布局有优化、生态有改善”的原则，严格落实耕地保护制度相关要求。将零星破碎、不适宜耕种、稳定性较差的耕地等调出永久基本农田</w:t>
      </w:r>
      <w:r>
        <w:rPr>
          <w:rFonts w:hint="eastAsia" w:ascii="仿宋_GB2312" w:hAnsi="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将可长期稳定利用的优质耕地及已建成的高标准农田优先划入永久基本农田。调整后，永久基本农田内零散破碎图斑明显减少，集中连片度提高，水田水浇地占比提升，进一步实现了耕地“优进劣出”，切实保障了粮食安全。</w:t>
      </w:r>
    </w:p>
    <w:p w14:paraId="4B1B9DE2">
      <w:pPr>
        <w:rPr>
          <w:rFonts w:hint="default"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2.</w:t>
      </w:r>
      <w:r>
        <w:rPr>
          <w:rFonts w:hint="default" w:ascii="仿宋_GB2312" w:hAnsi="仿宋_GB2312" w:eastAsia="仿宋_GB2312" w:cs="仿宋_GB2312"/>
          <w:b/>
          <w:bCs/>
          <w:color w:val="auto"/>
          <w:sz w:val="32"/>
          <w:highlight w:val="none"/>
          <w:lang w:val="en-US" w:eastAsia="zh-CN"/>
        </w:rPr>
        <w:t>生态保护红线正向优化</w:t>
      </w:r>
    </w:p>
    <w:p w14:paraId="32F3B499">
      <w:pPr>
        <w:rPr>
          <w:rFonts w:hint="default" w:ascii="Times New Roman" w:hAnsi="Times New Roman" w:eastAsia="仿宋_GB2312" w:cs="Times New Roman"/>
          <w:color w:val="auto"/>
          <w:highlight w:val="none"/>
          <w:lang w:val="en-US" w:eastAsia="zh-CN"/>
        </w:rPr>
      </w:pPr>
      <w:r>
        <w:rPr>
          <w:rFonts w:hint="default" w:ascii="仿宋_GB2312" w:hAnsi="仿宋_GB2312" w:eastAsia="仿宋_GB2312" w:cs="仿宋_GB2312"/>
          <w:color w:val="auto"/>
          <w:sz w:val="32"/>
          <w:highlight w:val="none"/>
          <w:lang w:val="en-US" w:eastAsia="zh-CN"/>
        </w:rPr>
        <w:t>本次动态维护不涉及生态保护红线调整。</w:t>
      </w:r>
    </w:p>
    <w:p w14:paraId="72A2A1FA">
      <w:pPr>
        <w:rPr>
          <w:rFonts w:hint="default"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3.</w:t>
      </w:r>
      <w:r>
        <w:rPr>
          <w:rFonts w:hint="default" w:ascii="仿宋_GB2312" w:hAnsi="仿宋_GB2312" w:eastAsia="仿宋_GB2312" w:cs="仿宋_GB2312"/>
          <w:b/>
          <w:bCs/>
          <w:color w:val="auto"/>
          <w:sz w:val="32"/>
          <w:highlight w:val="none"/>
          <w:lang w:val="en-US" w:eastAsia="zh-CN"/>
        </w:rPr>
        <w:t>城镇开发边界正向优化</w:t>
      </w:r>
    </w:p>
    <w:p w14:paraId="53862D67">
      <w:pPr>
        <w:rPr>
          <w:rFonts w:hint="eastAsia"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本次城镇开发边界动态维护工作，在严守空间安全底线的前提下，按照《城镇开发边界管理办法</w:t>
      </w:r>
      <w:r>
        <w:rPr>
          <w:rFonts w:hint="eastAsia" w:ascii="仿宋_GB2312" w:hAnsi="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试行</w:t>
      </w:r>
      <w:r>
        <w:rPr>
          <w:rFonts w:hint="eastAsia" w:ascii="仿宋_GB2312" w:hAnsi="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对城镇开发边界进行统筹优化，严格遵循“总量不突破、布局更集聚、城镇功能品质有提升”的正向优化原则。城镇开发边界调入主要为不计入扩展倍数的单列特殊情形。维护后，城镇开发边界总面积（不含单列情形）不超过维护前开发边界规模，扩展倍数不突破维护前</w:t>
      </w:r>
      <w:r>
        <w:rPr>
          <w:rFonts w:hint="eastAsia" w:ascii="仿宋_GB2312" w:hAnsi="仿宋_GB2312" w:eastAsia="仿宋_GB2312" w:cs="仿宋_GB2312"/>
          <w:color w:val="auto"/>
          <w:sz w:val="32"/>
          <w:highlight w:val="none"/>
          <w:lang w:val="en-US" w:eastAsia="zh-CN"/>
        </w:rPr>
        <w:t>扩展倍数</w:t>
      </w:r>
      <w:r>
        <w:rPr>
          <w:rFonts w:hint="default" w:ascii="仿宋_GB2312" w:hAnsi="仿宋_GB2312" w:eastAsia="仿宋_GB2312" w:cs="仿宋_GB2312"/>
          <w:color w:val="auto"/>
          <w:sz w:val="32"/>
          <w:highlight w:val="none"/>
          <w:lang w:val="en-US" w:eastAsia="zh-CN"/>
        </w:rPr>
        <w:t>，未产生新的“天窗”或破碎图斑，进一步推动了城镇集约紧凑发展，符合正向优化的标准要求。</w:t>
      </w:r>
    </w:p>
    <w:p w14:paraId="2192C029">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规划分区维护</w:t>
      </w:r>
    </w:p>
    <w:p w14:paraId="1724DC52">
      <w:pPr>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本次动态维护充分衔接乡村全面振兴、找矿突破战略行动等重点工作需求，结合三条控制线动态维护方案，对农田保护区、城镇发展区、乡村发展区等进行同步调整。</w:t>
      </w:r>
    </w:p>
    <w:p w14:paraId="5CE5F362">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中心城区用地规划布局维护</w:t>
      </w:r>
    </w:p>
    <w:p w14:paraId="1B9C3221">
      <w:pPr>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本次动态维护聚焦规划实施评估中发现的主要问题及“十五五”时期城市发展重点，在保持布局规模与空间结构基本稳定的前提下，按照有利于规划实施的原则，对中心城区用地规划布局进行动态调整。调整后，空间结构和用地布局得到进一步优化，资源配置水平与利用效率有效提升。</w:t>
      </w:r>
    </w:p>
    <w:p w14:paraId="45967931">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城市重要控制线维护</w:t>
      </w:r>
    </w:p>
    <w:p w14:paraId="0E2F6308">
      <w:pPr>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本次动态维护结合城镇开发边界动态维护及</w:t>
      </w:r>
      <w:r>
        <w:rPr>
          <w:rFonts w:hint="eastAsia" w:ascii="仿宋_GB2312" w:hAnsi="仿宋_GB2312" w:cs="仿宋_GB2312"/>
          <w:color w:val="auto"/>
          <w:sz w:val="32"/>
          <w:highlight w:val="none"/>
          <w:lang w:val="en-US" w:eastAsia="zh-CN"/>
        </w:rPr>
        <w:t>“十五五”</w:t>
      </w:r>
      <w:r>
        <w:rPr>
          <w:rFonts w:hint="default" w:ascii="仿宋_GB2312" w:hAnsi="仿宋_GB2312" w:eastAsia="仿宋_GB2312" w:cs="仿宋_GB2312"/>
          <w:color w:val="auto"/>
          <w:sz w:val="32"/>
          <w:highlight w:val="none"/>
          <w:lang w:val="en-US" w:eastAsia="zh-CN"/>
        </w:rPr>
        <w:t>重大建设项目落地建设需求，在确保城</w:t>
      </w:r>
      <w:r>
        <w:rPr>
          <w:rFonts w:hint="eastAsia" w:ascii="仿宋_GB2312" w:hAnsi="仿宋_GB2312" w:eastAsia="仿宋_GB2312" w:cs="仿宋_GB2312"/>
          <w:color w:val="auto"/>
          <w:sz w:val="32"/>
          <w:highlight w:val="none"/>
          <w:lang w:val="en-US" w:eastAsia="zh-CN"/>
        </w:rPr>
        <w:t>市</w:t>
      </w:r>
      <w:r>
        <w:rPr>
          <w:rFonts w:hint="default" w:ascii="仿宋_GB2312" w:hAnsi="仿宋_GB2312" w:eastAsia="仿宋_GB2312" w:cs="仿宋_GB2312"/>
          <w:color w:val="auto"/>
          <w:sz w:val="32"/>
          <w:highlight w:val="none"/>
          <w:lang w:val="en-US" w:eastAsia="zh-CN"/>
        </w:rPr>
        <w:t>重要控制线布局和规模基本稳定、功能不降低、服务范围不改变的前提下，对城市绿线、城市黄线等进行优化调整，符合《四川省国土空间总体规划动态维护工作技术方案》优化要求。</w:t>
      </w:r>
    </w:p>
    <w:p w14:paraId="45EC3B45">
      <w:pPr>
        <w:pStyle w:val="3"/>
        <w:ind w:firstLine="64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重点项目建设清单维护</w:t>
      </w:r>
    </w:p>
    <w:p w14:paraId="34DF2A54">
      <w:pPr>
        <w:rPr>
          <w:rFonts w:hint="default" w:ascii="Times New Roman" w:hAnsi="Times New Roman" w:eastAsia="仿宋_GB2312" w:cs="Times New Roman"/>
          <w:color w:val="auto"/>
          <w:highlight w:val="none"/>
          <w:lang w:val="en-US" w:eastAsia="zh-CN"/>
        </w:rPr>
      </w:pPr>
      <w:r>
        <w:rPr>
          <w:rFonts w:hint="default" w:ascii="仿宋_GB2312" w:hAnsi="仿宋_GB2312" w:eastAsia="仿宋_GB2312" w:cs="仿宋_GB2312"/>
          <w:color w:val="auto"/>
          <w:sz w:val="32"/>
          <w:highlight w:val="none"/>
          <w:lang w:val="en-US" w:eastAsia="zh-CN"/>
        </w:rPr>
        <w:t>本次动态维护衔接落实国</w:t>
      </w:r>
      <w:r>
        <w:rPr>
          <w:rFonts w:hint="eastAsia" w:ascii="仿宋_GB2312" w:hAnsi="仿宋_GB2312" w:cs="仿宋_GB2312"/>
          <w:color w:val="auto"/>
          <w:sz w:val="32"/>
          <w:highlight w:val="none"/>
          <w:lang w:val="en-US" w:eastAsia="zh-CN"/>
        </w:rPr>
        <w:t>家、</w:t>
      </w:r>
      <w:r>
        <w:rPr>
          <w:rFonts w:hint="default" w:ascii="仿宋_GB2312" w:hAnsi="仿宋_GB2312" w:eastAsia="仿宋_GB2312" w:cs="仿宋_GB2312"/>
          <w:color w:val="auto"/>
          <w:sz w:val="32"/>
          <w:highlight w:val="none"/>
          <w:lang w:val="en-US" w:eastAsia="zh-CN"/>
        </w:rPr>
        <w:t>省</w:t>
      </w:r>
      <w:r>
        <w:rPr>
          <w:rFonts w:hint="eastAsia" w:ascii="仿宋_GB2312" w:hAnsi="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市</w:t>
      </w:r>
      <w:r>
        <w:rPr>
          <w:rFonts w:hint="eastAsia" w:ascii="仿宋_GB2312" w:hAnsi="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县</w:t>
      </w:r>
      <w:r>
        <w:rPr>
          <w:rFonts w:hint="default" w:ascii="仿宋_GB2312" w:hAnsi="仿宋_GB2312" w:eastAsia="仿宋_GB2312" w:cs="仿宋_GB2312"/>
          <w:color w:val="auto"/>
          <w:sz w:val="32"/>
          <w:highlight w:val="none"/>
          <w:lang w:val="en-US" w:eastAsia="zh-CN"/>
        </w:rPr>
        <w:t>“十五五”规划和专项规划空间需求，对</w:t>
      </w:r>
      <w:r>
        <w:rPr>
          <w:rFonts w:hint="eastAsia" w:ascii="仿宋_GB2312" w:hAnsi="仿宋_GB2312" w:eastAsia="仿宋_GB2312" w:cs="仿宋_GB2312"/>
          <w:color w:val="auto"/>
          <w:sz w:val="32"/>
          <w:highlight w:val="none"/>
          <w:lang w:val="en-US" w:eastAsia="zh-CN"/>
        </w:rPr>
        <w:t>峨边彝族自治县</w:t>
      </w:r>
      <w:r>
        <w:rPr>
          <w:rFonts w:hint="eastAsia" w:ascii="仿宋_GB2312" w:hAnsi="仿宋_GB2312" w:cs="仿宋_GB2312"/>
          <w:color w:val="auto"/>
          <w:sz w:val="32"/>
          <w:highlight w:val="none"/>
          <w:lang w:val="en-US" w:eastAsia="zh-CN"/>
        </w:rPr>
        <w:t>国土空间</w:t>
      </w:r>
      <w:r>
        <w:rPr>
          <w:rFonts w:hint="default" w:ascii="仿宋_GB2312" w:hAnsi="仿宋_GB2312" w:eastAsia="仿宋_GB2312" w:cs="仿宋_GB2312"/>
          <w:color w:val="auto"/>
          <w:sz w:val="32"/>
          <w:highlight w:val="none"/>
          <w:lang w:val="en-US" w:eastAsia="zh-CN"/>
        </w:rPr>
        <w:t>总体规划中的重点建设项目清单进行动态维护</w:t>
      </w:r>
      <w:r>
        <w:rPr>
          <w:rFonts w:hint="default" w:ascii="仿宋_GB2312" w:hAnsi="仿宋_GB2312" w:eastAsia="仿宋_GB2312" w:cs="仿宋_GB2312"/>
          <w:color w:val="auto"/>
          <w:sz w:val="32"/>
          <w:highlight w:val="none"/>
          <w:lang w:eastAsia="zh-CN"/>
        </w:rPr>
        <w:t>。</w:t>
      </w:r>
    </w:p>
    <w:p w14:paraId="077CE7C6">
      <w:pPr>
        <w:pStyle w:val="5"/>
        <w:rPr>
          <w:rFonts w:hint="default" w:ascii="Times New Roman" w:hAnsi="Times New Roman" w:cs="Times New Roman"/>
          <w:lang w:val="en-US" w:eastAsia="zh-CN"/>
        </w:rPr>
      </w:pPr>
    </w:p>
    <w:p w14:paraId="4E958333">
      <w:pPr>
        <w:pStyle w:val="5"/>
        <w:rPr>
          <w:rFonts w:hint="default" w:ascii="Times New Roman" w:hAnsi="Times New Roman" w:cs="Times New Roman"/>
          <w:lang w:val="en-US" w:eastAsia="zh-CN"/>
        </w:rPr>
      </w:pPr>
    </w:p>
    <w:p w14:paraId="16E50A6A">
      <w:pPr>
        <w:pStyle w:val="5"/>
        <w:rPr>
          <w:rFonts w:hint="default" w:ascii="Times New Roman" w:hAnsi="Times New Roman" w:cs="Times New Roman"/>
          <w:lang w:val="en-US" w:eastAsia="zh-CN"/>
        </w:rPr>
      </w:pPr>
    </w:p>
    <w:p w14:paraId="3BCB64DE">
      <w:pPr>
        <w:pStyle w:val="5"/>
        <w:rPr>
          <w:rFonts w:hint="default" w:ascii="Times New Roman" w:hAnsi="Times New Roman" w:cs="Times New Roman"/>
          <w:lang w:val="en-US" w:eastAsia="zh-CN"/>
        </w:rPr>
      </w:pPr>
    </w:p>
    <w:p w14:paraId="22B79ADE">
      <w:pPr>
        <w:pStyle w:val="5"/>
        <w:rPr>
          <w:rFonts w:hint="default" w:ascii="Times New Roman" w:hAnsi="Times New Roman" w:cs="Times New Roman"/>
          <w:lang w:val="en-US" w:eastAsia="zh-CN"/>
        </w:rPr>
      </w:pPr>
    </w:p>
    <w:p w14:paraId="7E4FCBA3">
      <w:pPr>
        <w:pStyle w:val="5"/>
        <w:rPr>
          <w:rFonts w:hint="default" w:ascii="Times New Roman" w:hAnsi="Times New Roman" w:cs="Times New Roman"/>
          <w:lang w:val="en-US" w:eastAsia="zh-CN"/>
        </w:rPr>
      </w:pPr>
    </w:p>
    <w:p w14:paraId="5BE68E76">
      <w:pPr>
        <w:pStyle w:val="5"/>
        <w:rPr>
          <w:rFonts w:hint="default" w:ascii="Times New Roman" w:hAnsi="Times New Roman" w:cs="Times New Roman"/>
          <w:lang w:val="en-US" w:eastAsia="zh-CN"/>
        </w:rPr>
      </w:pPr>
    </w:p>
    <w:p w14:paraId="02687ECB">
      <w:pPr>
        <w:pStyle w:val="5"/>
        <w:rPr>
          <w:rFonts w:hint="default" w:ascii="Times New Roman" w:hAnsi="Times New Roman" w:cs="Times New Roman"/>
          <w:lang w:val="en-US" w:eastAsia="zh-CN"/>
        </w:rPr>
      </w:pPr>
    </w:p>
    <w:p w14:paraId="6709DF36">
      <w:pPr>
        <w:pStyle w:val="5"/>
        <w:rPr>
          <w:rFonts w:hint="default" w:ascii="Times New Roman" w:hAnsi="Times New Roman" w:cs="Times New Roman"/>
          <w:lang w:val="en-US" w:eastAsia="zh-CN"/>
        </w:rPr>
      </w:pPr>
    </w:p>
    <w:p w14:paraId="10ECA033">
      <w:pPr>
        <w:rPr>
          <w:rFonts w:hint="default" w:ascii="Times New Roman" w:hAnsi="Times New Roman" w:eastAsia="仿宋_GB2312" w:cs="Times New Roman"/>
          <w:b/>
          <w:bCs/>
          <w:kern w:val="2"/>
          <w:sz w:val="32"/>
          <w:szCs w:val="32"/>
          <w:highlight w:val="none"/>
          <w:lang w:val="en-US" w:eastAsia="zh-CN" w:bidi="ar-SA"/>
        </w:rPr>
      </w:pPr>
      <w:r>
        <w:rPr>
          <w:rFonts w:hint="eastAsia" w:cs="Times New Roman"/>
          <w:b/>
          <w:bCs/>
          <w:kern w:val="2"/>
          <w:sz w:val="32"/>
          <w:szCs w:val="32"/>
          <w:highlight w:val="none"/>
          <w:lang w:val="en-US" w:eastAsia="zh-CN" w:bidi="ar-SA"/>
        </w:rPr>
        <w:br w:type="page"/>
      </w:r>
    </w:p>
    <w:p w14:paraId="67264ACA">
      <w:pPr>
        <w:pStyle w:val="2"/>
        <w:numPr>
          <w:ilvl w:val="0"/>
          <w:numId w:val="0"/>
        </w:numPr>
        <w:ind w:leftChars="200"/>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cs="Times New Roman"/>
          <w:lang w:val="en-US" w:eastAsia="zh-CN"/>
        </w:rPr>
        <w:t>附图</w:t>
      </w:r>
      <w:r>
        <w:rPr>
          <w:rFonts w:hint="eastAsia" w:cs="Times New Roman"/>
          <w:lang w:val="en-US" w:eastAsia="zh-CN"/>
        </w:rPr>
        <w:t>：</w:t>
      </w:r>
      <w:r>
        <w:rPr>
          <w:rFonts w:hint="eastAsia" w:ascii="Times New Roman" w:hAnsi="Times New Roman" w:eastAsia="仿宋_GB2312" w:cs="Times New Roman"/>
          <w:b/>
          <w:bCs/>
          <w:kern w:val="2"/>
          <w:sz w:val="32"/>
          <w:szCs w:val="32"/>
          <w:highlight w:val="none"/>
          <w:lang w:val="en-US" w:eastAsia="zh-CN" w:bidi="ar-SA"/>
        </w:rPr>
        <w:t>城镇开发边界动态维护示意图</w:t>
      </w:r>
    </w:p>
    <w:p w14:paraId="62B1014B">
      <w:pPr>
        <w:keepNext/>
        <w:keepLines/>
        <w:widowControl w:val="0"/>
        <w:numPr>
          <w:ilvl w:val="0"/>
          <w:numId w:val="0"/>
        </w:numPr>
        <w:spacing w:line="240" w:lineRule="auto"/>
        <w:ind w:left="643" w:leftChars="0"/>
        <w:jc w:val="both"/>
        <w:outlineLvl w:val="2"/>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-237490</wp:posOffset>
            </wp:positionH>
            <wp:positionV relativeFrom="paragraph">
              <wp:posOffset>85725</wp:posOffset>
            </wp:positionV>
            <wp:extent cx="5697855" cy="8065770"/>
            <wp:effectExtent l="0" t="0" r="17145" b="11430"/>
            <wp:wrapSquare wrapText="bothSides"/>
            <wp:docPr id="1" name="图片 1" descr="城镇开发边界示意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镇开发边界示意图2"/>
                    <pic:cNvPicPr>
                      <a:picLocks noChangeAspect="1"/>
                    </pic:cNvPicPr>
                  </pic:nvPicPr>
                  <pic:blipFill>
                    <a:blip r:embed="rId13"/>
                    <a:stretch>
                      <a:fillRect/>
                    </a:stretch>
                  </pic:blipFill>
                  <pic:spPr>
                    <a:xfrm>
                      <a:off x="0" y="0"/>
                      <a:ext cx="5697855" cy="8065770"/>
                    </a:xfrm>
                    <a:prstGeom prst="rect">
                      <a:avLst/>
                    </a:prstGeom>
                  </pic:spPr>
                </pic:pic>
              </a:graphicData>
            </a:graphic>
          </wp:anchor>
        </w:drawing>
      </w: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23FF">
    <w:pPr>
      <w:tabs>
        <w:tab w:val="center" w:pos="4153"/>
        <w:tab w:val="right" w:pos="8306"/>
      </w:tabs>
      <w:snapToGrid w:val="0"/>
      <w:spacing w:line="240" w:lineRule="auto"/>
      <w:ind w:firstLine="0" w:firstLineChars="0"/>
      <w:rPr>
        <w:rFonts w:hint="eastAsia" w:ascii="宋体" w:hAnsi="宋体" w:eastAsia="宋体" w:cs="Times New Roman"/>
        <w:sz w:val="28"/>
        <w:szCs w:val="28"/>
        <w14:ligatures w14:val="standardContextu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sz w:val="18"/>
        <w:szCs w:val="18"/>
        <w14:ligatures w14:val="standardContextual"/>
      </w:rPr>
      <w:id w:val="823943205"/>
    </w:sdtPr>
    <w:sdtEndPr>
      <w:rPr>
        <w:rFonts w:ascii="宋体" w:hAnsi="宋体" w:eastAsia="宋体" w:cs="Times New Roman"/>
        <w:sz w:val="28"/>
        <w:szCs w:val="28"/>
        <w14:ligatures w14:val="standardContextual"/>
      </w:rPr>
    </w:sdtEndPr>
    <w:sdtContent>
      <w:p w14:paraId="360A89B9">
        <w:pPr>
          <w:tabs>
            <w:tab w:val="center" w:pos="4153"/>
            <w:tab w:val="right" w:pos="8306"/>
          </w:tabs>
          <w:snapToGrid w:val="0"/>
          <w:spacing w:line="240" w:lineRule="auto"/>
          <w:ind w:firstLine="0" w:firstLineChars="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4</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0E4B">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00A2">
    <w:pPr>
      <w:tabs>
        <w:tab w:val="center" w:pos="4153"/>
        <w:tab w:val="right" w:pos="8306"/>
      </w:tabs>
      <w:snapToGrid w:val="0"/>
      <w:spacing w:line="240" w:lineRule="auto"/>
      <w:ind w:firstLine="0" w:firstLineChars="0"/>
      <w:jc w:val="right"/>
      <w:rPr>
        <w:rFonts w:hint="eastAsia" w:ascii="宋体" w:hAnsi="宋体" w:eastAsia="宋体" w:cs="Times New Roman"/>
        <w:sz w:val="28"/>
        <w:szCs w:val="28"/>
        <w14:ligatures w14:val="standardContextual"/>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cs="Times New Roman"/>
                              <w:sz w:val="18"/>
                              <w:szCs w:val="18"/>
                              <w14:ligatures w14:val="standardContextual"/>
                            </w:rPr>
                            <w:id w:val="147453235"/>
                          </w:sdtPr>
                          <w:sdtEndPr>
                            <w:rPr>
                              <w:rFonts w:ascii="宋体" w:hAnsi="宋体" w:eastAsia="宋体" w:cs="Times New Roman"/>
                              <w:sz w:val="28"/>
                              <w:szCs w:val="28"/>
                              <w14:ligatures w14:val="standardContextual"/>
                            </w:rPr>
                          </w:sdtEndPr>
                          <w:sdtContent>
                            <w:p w14:paraId="37707EA4">
                              <w:pPr>
                                <w:tabs>
                                  <w:tab w:val="center" w:pos="4153"/>
                                  <w:tab w:val="right" w:pos="8306"/>
                                </w:tabs>
                                <w:snapToGrid w:val="0"/>
                                <w:spacing w:line="240" w:lineRule="auto"/>
                                <w:ind w:firstLine="0" w:firstLineChars="0"/>
                                <w:jc w:val="righ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1</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p w14:paraId="37EDEA4A">
                          <w:pPr>
                            <w:rPr>
                              <w:rFonts w:ascii="宋体" w:hAnsi="宋体" w:eastAsia="宋体" w:cs="Times New Roman"/>
                              <w:sz w:val="28"/>
                              <w:szCs w:val="28"/>
                              <w14:ligatures w14:val="standardContextual"/>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cs="Times New Roman"/>
                        <w:sz w:val="18"/>
                        <w:szCs w:val="18"/>
                        <w14:ligatures w14:val="standardContextual"/>
                      </w:rPr>
                      <w:id w:val="147453235"/>
                    </w:sdtPr>
                    <w:sdtEndPr>
                      <w:rPr>
                        <w:rFonts w:ascii="宋体" w:hAnsi="宋体" w:eastAsia="宋体" w:cs="Times New Roman"/>
                        <w:sz w:val="28"/>
                        <w:szCs w:val="28"/>
                        <w14:ligatures w14:val="standardContextual"/>
                      </w:rPr>
                    </w:sdtEndPr>
                    <w:sdtContent>
                      <w:p w14:paraId="37707EA4">
                        <w:pPr>
                          <w:tabs>
                            <w:tab w:val="center" w:pos="4153"/>
                            <w:tab w:val="right" w:pos="8306"/>
                          </w:tabs>
                          <w:snapToGrid w:val="0"/>
                          <w:spacing w:line="240" w:lineRule="auto"/>
                          <w:ind w:firstLine="0" w:firstLineChars="0"/>
                          <w:jc w:val="right"/>
                          <w:rPr>
                            <w:rFonts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w:t>
                        </w:r>
                        <w:r>
                          <w:rPr>
                            <w:rFonts w:ascii="宋体" w:hAnsi="宋体" w:eastAsia="宋体" w:cs="Times New Roman"/>
                            <w:sz w:val="28"/>
                            <w:szCs w:val="28"/>
                            <w14:ligatures w14:val="standardContextual"/>
                          </w:rPr>
                          <w:fldChar w:fldCharType="begin"/>
                        </w:r>
                        <w:r>
                          <w:rPr>
                            <w:rFonts w:ascii="宋体" w:hAnsi="宋体" w:eastAsia="宋体" w:cs="Times New Roman"/>
                            <w:sz w:val="28"/>
                            <w:szCs w:val="28"/>
                            <w14:ligatures w14:val="standardContextual"/>
                          </w:rPr>
                          <w:instrText xml:space="preserve">PAGE   \* MERGEFORMAT</w:instrText>
                        </w:r>
                        <w:r>
                          <w:rPr>
                            <w:rFonts w:ascii="宋体" w:hAnsi="宋体" w:eastAsia="宋体" w:cs="Times New Roman"/>
                            <w:sz w:val="28"/>
                            <w:szCs w:val="28"/>
                            <w14:ligatures w14:val="standardContextual"/>
                          </w:rPr>
                          <w:fldChar w:fldCharType="separate"/>
                        </w:r>
                        <w:r>
                          <w:rPr>
                            <w:rFonts w:ascii="宋体" w:hAnsi="宋体" w:eastAsia="宋体" w:cs="Times New Roman"/>
                            <w:sz w:val="28"/>
                            <w:szCs w:val="28"/>
                            <w14:ligatures w14:val="standardContextual"/>
                          </w:rPr>
                          <w:t>1</w:t>
                        </w:r>
                        <w:r>
                          <w:rPr>
                            <w:rFonts w:ascii="宋体" w:hAnsi="宋体" w:eastAsia="宋体" w:cs="Times New Roman"/>
                            <w:sz w:val="28"/>
                            <w:szCs w:val="28"/>
                            <w14:ligatures w14:val="standardContextual"/>
                          </w:rPr>
                          <w:fldChar w:fldCharType="end"/>
                        </w:r>
                        <w:r>
                          <w:rPr>
                            <w:rFonts w:hint="eastAsia" w:ascii="宋体" w:hAnsi="宋体" w:eastAsia="宋体" w:cs="Times New Roman"/>
                            <w:sz w:val="28"/>
                            <w:szCs w:val="28"/>
                            <w14:ligatures w14:val="standardContextual"/>
                          </w:rPr>
                          <w:t>—</w:t>
                        </w:r>
                      </w:p>
                    </w:sdtContent>
                  </w:sdt>
                  <w:p w14:paraId="37EDEA4A">
                    <w:pPr>
                      <w:rPr>
                        <w:rFonts w:ascii="宋体" w:hAnsi="宋体" w:eastAsia="宋体" w:cs="Times New Roman"/>
                        <w:sz w:val="28"/>
                        <w:szCs w:val="28"/>
                        <w14:ligatures w14:val="standardContextua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8747">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31DC">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7DEF">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84C03"/>
    <w:multiLevelType w:val="multilevel"/>
    <w:tmpl w:val="36D84C03"/>
    <w:lvl w:ilvl="0" w:tentative="0">
      <w:start w:val="1"/>
      <w:numFmt w:val="taiwaneseCountingThousand"/>
      <w:pStyle w:val="2"/>
      <w:suff w:val="nothing"/>
      <w:lvlText w:val="%1、"/>
      <w:lvlJc w:val="left"/>
      <w:pPr>
        <w:ind w:left="0" w:firstLine="641"/>
      </w:pPr>
      <w:rPr>
        <w:rFonts w:hint="eastAsia" w:eastAsia="黑体"/>
        <w:b w:val="0"/>
        <w:i w:val="0"/>
        <w:sz w:val="32"/>
      </w:rPr>
    </w:lvl>
    <w:lvl w:ilvl="1" w:tentative="0">
      <w:start w:val="1"/>
      <w:numFmt w:val="taiwaneseCountingThousand"/>
      <w:pStyle w:val="3"/>
      <w:suff w:val="nothing"/>
      <w:lvlText w:val="（%2）"/>
      <w:lvlJc w:val="left"/>
      <w:pPr>
        <w:ind w:left="0" w:firstLine="641"/>
      </w:pPr>
      <w:rPr>
        <w:rFonts w:hint="eastAsia"/>
      </w:rPr>
    </w:lvl>
    <w:lvl w:ilvl="2" w:tentative="0">
      <w:start w:val="1"/>
      <w:numFmt w:val="decimal"/>
      <w:lvlText w:val="%1.%2.%3"/>
      <w:lvlJc w:val="left"/>
      <w:pPr>
        <w:ind w:left="0" w:firstLine="641"/>
      </w:pPr>
      <w:rPr>
        <w:rFonts w:hint="eastAsia"/>
      </w:rPr>
    </w:lvl>
    <w:lvl w:ilvl="3" w:tentative="0">
      <w:start w:val="1"/>
      <w:numFmt w:val="decimal"/>
      <w:lvlText w:val="%1.%2.%3.%4"/>
      <w:lvlJc w:val="left"/>
      <w:pPr>
        <w:ind w:left="0" w:firstLine="641"/>
      </w:pPr>
      <w:rPr>
        <w:rFonts w:hint="eastAsia"/>
      </w:rPr>
    </w:lvl>
    <w:lvl w:ilvl="4" w:tentative="0">
      <w:start w:val="1"/>
      <w:numFmt w:val="decimal"/>
      <w:lvlText w:val="%1.%2.%3.%4.%5"/>
      <w:lvlJc w:val="left"/>
      <w:pPr>
        <w:ind w:left="0" w:firstLine="641"/>
      </w:pPr>
      <w:rPr>
        <w:rFonts w:hint="eastAsia"/>
      </w:r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abstractNum w:abstractNumId="1">
    <w:nsid w:val="79DC44FC"/>
    <w:multiLevelType w:val="multilevel"/>
    <w:tmpl w:val="79DC44FC"/>
    <w:lvl w:ilvl="0" w:tentative="0">
      <w:start w:val="1"/>
      <w:numFmt w:val="taiwaneseCountingThousand"/>
      <w:suff w:val="nothing"/>
      <w:lvlText w:val="%1、"/>
      <w:lvlJc w:val="left"/>
      <w:pPr>
        <w:ind w:left="0" w:firstLine="641"/>
      </w:pPr>
      <w:rPr>
        <w:rFonts w:hint="eastAsia" w:eastAsia="黑体"/>
        <w:b w:val="0"/>
        <w:i w:val="0"/>
        <w:sz w:val="32"/>
      </w:rPr>
    </w:lvl>
    <w:lvl w:ilvl="1" w:tentative="0">
      <w:start w:val="1"/>
      <w:numFmt w:val="taiwaneseCountingThousand"/>
      <w:suff w:val="nothing"/>
      <w:lvlText w:val="（%2）"/>
      <w:lvlJc w:val="left"/>
      <w:pPr>
        <w:ind w:left="0" w:firstLine="641"/>
      </w:pPr>
      <w:rPr>
        <w:rFonts w:hint="eastAsia"/>
      </w:rPr>
    </w:lvl>
    <w:lvl w:ilvl="2" w:tentative="0">
      <w:start w:val="1"/>
      <w:numFmt w:val="decimal"/>
      <w:suff w:val="space"/>
      <w:lvlText w:val="%3."/>
      <w:lvlJc w:val="left"/>
      <w:pPr>
        <w:ind w:left="0" w:firstLine="641"/>
      </w:pPr>
      <w:rPr>
        <w:rFonts w:hint="eastAsia"/>
      </w:rPr>
    </w:lvl>
    <w:lvl w:ilvl="3" w:tentative="0">
      <w:start w:val="1"/>
      <w:numFmt w:val="decimal"/>
      <w:pStyle w:val="4"/>
      <w:suff w:val="nothing"/>
      <w:lvlText w:val="（%4）"/>
      <w:lvlJc w:val="left"/>
      <w:pPr>
        <w:ind w:left="0" w:firstLine="641"/>
      </w:pPr>
      <w:rPr>
        <w:rFonts w:hint="eastAsia"/>
      </w:rPr>
    </w:lvl>
    <w:lvl w:ilvl="4" w:tentative="0">
      <w:start w:val="1"/>
      <w:numFmt w:val="decimal"/>
      <w:lvlText w:val="%5）"/>
      <w:lvlJc w:val="left"/>
      <w:pPr>
        <w:ind w:left="0" w:firstLine="641"/>
      </w:pPr>
    </w:lvl>
    <w:lvl w:ilvl="5" w:tentative="0">
      <w:start w:val="1"/>
      <w:numFmt w:val="decimal"/>
      <w:lvlText w:val="%1.%2.%3.%4.%5.%6"/>
      <w:lvlJc w:val="left"/>
      <w:pPr>
        <w:ind w:left="0" w:firstLine="641"/>
      </w:pPr>
      <w:rPr>
        <w:rFonts w:hint="eastAsia"/>
      </w:rPr>
    </w:lvl>
    <w:lvl w:ilvl="6" w:tentative="0">
      <w:start w:val="1"/>
      <w:numFmt w:val="decimal"/>
      <w:lvlText w:val="%1.%2.%3.%4.%5.%6.%7"/>
      <w:lvlJc w:val="left"/>
      <w:pPr>
        <w:ind w:left="0" w:firstLine="641"/>
      </w:pPr>
      <w:rPr>
        <w:rFonts w:hint="eastAsia"/>
      </w:rPr>
    </w:lvl>
    <w:lvl w:ilvl="7" w:tentative="0">
      <w:start w:val="1"/>
      <w:numFmt w:val="decimal"/>
      <w:lvlText w:val="%1.%2.%3.%4.%5.%6.%7.%8"/>
      <w:lvlJc w:val="left"/>
      <w:pPr>
        <w:ind w:left="0" w:firstLine="641"/>
      </w:pPr>
      <w:rPr>
        <w:rFonts w:hint="eastAsia"/>
      </w:rPr>
    </w:lvl>
    <w:lvl w:ilvl="8" w:tentative="0">
      <w:start w:val="1"/>
      <w:numFmt w:val="decimal"/>
      <w:lvlText w:val="%1.%2.%3.%4.%5.%6.%7.%8.%9"/>
      <w:lvlJc w:val="left"/>
      <w:pPr>
        <w:ind w:left="0" w:firstLine="64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646E1"/>
    <w:rsid w:val="06294409"/>
    <w:rsid w:val="06F96A96"/>
    <w:rsid w:val="080A5070"/>
    <w:rsid w:val="09AB63DF"/>
    <w:rsid w:val="09ED69F7"/>
    <w:rsid w:val="09EF451D"/>
    <w:rsid w:val="0A9B5F64"/>
    <w:rsid w:val="0BBC7C56"/>
    <w:rsid w:val="0C4843B9"/>
    <w:rsid w:val="0DB00467"/>
    <w:rsid w:val="0E4E0651"/>
    <w:rsid w:val="0E8F2473"/>
    <w:rsid w:val="0F2C1D70"/>
    <w:rsid w:val="107B1C21"/>
    <w:rsid w:val="121F796A"/>
    <w:rsid w:val="138B7147"/>
    <w:rsid w:val="140E7C96"/>
    <w:rsid w:val="16E55626"/>
    <w:rsid w:val="172F68A1"/>
    <w:rsid w:val="17D82A95"/>
    <w:rsid w:val="189C1F0B"/>
    <w:rsid w:val="1A705206"/>
    <w:rsid w:val="1B9C51FF"/>
    <w:rsid w:val="1BB50563"/>
    <w:rsid w:val="1DA5394B"/>
    <w:rsid w:val="21836423"/>
    <w:rsid w:val="21F07959"/>
    <w:rsid w:val="22AA11B9"/>
    <w:rsid w:val="239857CE"/>
    <w:rsid w:val="27D257D1"/>
    <w:rsid w:val="286C7B41"/>
    <w:rsid w:val="28BB735A"/>
    <w:rsid w:val="29455AB0"/>
    <w:rsid w:val="29A615E1"/>
    <w:rsid w:val="29CB78C9"/>
    <w:rsid w:val="2A331DAD"/>
    <w:rsid w:val="2A461AE0"/>
    <w:rsid w:val="2B464198"/>
    <w:rsid w:val="2B856638"/>
    <w:rsid w:val="2C866B0B"/>
    <w:rsid w:val="2E21674A"/>
    <w:rsid w:val="2EA817CB"/>
    <w:rsid w:val="2EAA0E80"/>
    <w:rsid w:val="3002294D"/>
    <w:rsid w:val="30782C0F"/>
    <w:rsid w:val="32DF2AD1"/>
    <w:rsid w:val="34A57D4B"/>
    <w:rsid w:val="37BF7375"/>
    <w:rsid w:val="38797524"/>
    <w:rsid w:val="392E1474"/>
    <w:rsid w:val="3BE178BA"/>
    <w:rsid w:val="408429AF"/>
    <w:rsid w:val="41B95CFE"/>
    <w:rsid w:val="41D13F2D"/>
    <w:rsid w:val="41E33C60"/>
    <w:rsid w:val="424566C9"/>
    <w:rsid w:val="42562465"/>
    <w:rsid w:val="42F36678"/>
    <w:rsid w:val="44D206E8"/>
    <w:rsid w:val="45014B29"/>
    <w:rsid w:val="465C5277"/>
    <w:rsid w:val="46B65CD9"/>
    <w:rsid w:val="48790E7B"/>
    <w:rsid w:val="4A253068"/>
    <w:rsid w:val="4BC15012"/>
    <w:rsid w:val="4E4F4B24"/>
    <w:rsid w:val="4E9B459D"/>
    <w:rsid w:val="51E67581"/>
    <w:rsid w:val="5257047F"/>
    <w:rsid w:val="53896E88"/>
    <w:rsid w:val="556709D9"/>
    <w:rsid w:val="563F1955"/>
    <w:rsid w:val="5BF82712"/>
    <w:rsid w:val="5CF54B1C"/>
    <w:rsid w:val="5DFB43B4"/>
    <w:rsid w:val="5E0F1C0D"/>
    <w:rsid w:val="5E6A153A"/>
    <w:rsid w:val="5F7E0CDA"/>
    <w:rsid w:val="601D1B6C"/>
    <w:rsid w:val="608A3BE5"/>
    <w:rsid w:val="632E2B36"/>
    <w:rsid w:val="637F3391"/>
    <w:rsid w:val="64001C23"/>
    <w:rsid w:val="65827169"/>
    <w:rsid w:val="660670F6"/>
    <w:rsid w:val="68144B13"/>
    <w:rsid w:val="694EC355"/>
    <w:rsid w:val="6AC01C29"/>
    <w:rsid w:val="6AC9176D"/>
    <w:rsid w:val="6C831372"/>
    <w:rsid w:val="70313C65"/>
    <w:rsid w:val="7053600D"/>
    <w:rsid w:val="7249173A"/>
    <w:rsid w:val="750E27C7"/>
    <w:rsid w:val="752814FA"/>
    <w:rsid w:val="754937FF"/>
    <w:rsid w:val="75EA6D90"/>
    <w:rsid w:val="77A80CB1"/>
    <w:rsid w:val="783F0EE9"/>
    <w:rsid w:val="787E1A12"/>
    <w:rsid w:val="790243F1"/>
    <w:rsid w:val="7B3B1E3C"/>
    <w:rsid w:val="7B8E4662"/>
    <w:rsid w:val="7C7364DD"/>
    <w:rsid w:val="7CC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numPr>
        <w:ilvl w:val="0"/>
        <w:numId w:val="1"/>
      </w:numPr>
      <w:ind w:firstLine="200"/>
      <w:outlineLvl w:val="0"/>
    </w:pPr>
    <w:rPr>
      <w:rFonts w:eastAsia="黑体"/>
      <w:b/>
      <w:bCs/>
      <w:kern w:val="44"/>
      <w:szCs w:val="44"/>
    </w:rPr>
  </w:style>
  <w:style w:type="paragraph" w:styleId="3">
    <w:name w:val="heading 2"/>
    <w:basedOn w:val="1"/>
    <w:next w:val="1"/>
    <w:unhideWhenUsed/>
    <w:qFormat/>
    <w:uiPriority w:val="9"/>
    <w:pPr>
      <w:keepNext/>
      <w:keepLines/>
      <w:numPr>
        <w:ilvl w:val="1"/>
        <w:numId w:val="1"/>
      </w:numPr>
      <w:ind w:firstLine="200"/>
      <w:outlineLvl w:val="1"/>
    </w:pPr>
    <w:rPr>
      <w:rFonts w:eastAsia="楷体_GB2312" w:asciiTheme="majorHAnsi" w:hAnsiTheme="majorHAnsi" w:cstheme="majorBidi"/>
      <w:b/>
      <w:bCs/>
      <w:szCs w:val="32"/>
    </w:rPr>
  </w:style>
  <w:style w:type="paragraph" w:styleId="4">
    <w:name w:val="heading 4"/>
    <w:basedOn w:val="1"/>
    <w:next w:val="1"/>
    <w:unhideWhenUsed/>
    <w:qFormat/>
    <w:uiPriority w:val="9"/>
    <w:pPr>
      <w:keepNext/>
      <w:keepLines/>
      <w:numPr>
        <w:ilvl w:val="3"/>
        <w:numId w:val="2"/>
      </w:numPr>
      <w:ind w:firstLine="200"/>
      <w:outlineLvl w:val="3"/>
    </w:pPr>
    <w:rPr>
      <w:rFonts w:cs="Times New Roman"/>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2"/>
    <w:basedOn w:val="1"/>
    <w:qFormat/>
    <w:uiPriority w:val="0"/>
    <w:pPr>
      <w:spacing w:line="440" w:lineRule="exact"/>
      <w:ind w:firstLine="703"/>
    </w:pPr>
    <w:rPr>
      <w:sz w:val="3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019ef-21fd-4e27-aa7a-96d1b2d1ba4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Words>
  <Characters>303</Characters>
  <Lines>0</Lines>
  <Paragraphs>0</Paragraphs>
  <TotalTime>886</TotalTime>
  <ScaleCrop>false</ScaleCrop>
  <LinksUpToDate>false</LinksUpToDate>
  <CharactersWithSpaces>305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2026-04-16T09:02:00Z</dcterms:created>
  <dc:creator>zx</dc:creator>
  <cp:lastModifiedBy>碧云天</cp:lastModifiedBy>
  <cp:lastPrinted>2026-04-30T02:12:00Z</cp:lastPrinted>
  <dcterms:modified xsi:type="dcterms:W3CDTF">2026-05-09T03:41:07Z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9482F3FE9DA34B5EBEB279BF797175D6_13</vt:lpwstr>
  </property>
</Properties>
</file>