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4AC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峨边彝族自治县沙坪镇S309线“6・24”     荣成气体运输分公司车辆轮胎维修爆炸事故一般生产安全事故评估报告</w:t>
      </w:r>
    </w:p>
    <w:p w14:paraId="43A7AAA7">
      <w:pPr>
        <w:rPr>
          <w:rFonts w:hint="eastAsia" w:ascii="方正小标宋简体" w:hAnsi="方正小标宋简体" w:eastAsia="方正小标宋简体" w:cs="方正小标宋简体"/>
          <w:b w:val="0"/>
          <w:bCs w:val="0"/>
          <w:kern w:val="2"/>
          <w:sz w:val="44"/>
          <w:szCs w:val="44"/>
          <w:lang w:val="en-US" w:eastAsia="zh-CN" w:bidi="ar-SA"/>
        </w:rPr>
      </w:pPr>
    </w:p>
    <w:p w14:paraId="567D36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2025年6月24日，四川峨边荣成气体有限公司运输分公司在沙坪镇S309线羊竹坝桥头开展危化品运输车辆轮胎维修热切割作业时发生轮胎爆炸事故，造成1人死亡、2人受伤，根据上级指示要求，现将调查处理情况报告如下：</w:t>
      </w:r>
    </w:p>
    <w:p w14:paraId="2511391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一、总体情况</w:t>
      </w:r>
      <w:bookmarkStart w:id="0" w:name="_GoBack"/>
      <w:bookmarkEnd w:id="0"/>
    </w:p>
    <w:p w14:paraId="7B27C2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事故发生后，自治县委、县政府高度重视，主要领导作出重要批示，要求全力救治伤者、做好善后、查明原因、全面排查隐患。自治县政府分管领导率县应急管理局、县交通运输局、县公安局交管大队等部门主要负责人第一时间赶赴现场，开展现场调查处置工作。根据《生产安全事故报告和调查处理条例》（国务院令第493号令）相关规定，经自治县人民政府批准，成立事故调查组，邀请县纪委监委、县检察院参与事故调查。涉事企业与死者家属就赔偿事宜已达成一致意见，无不稳定因素。</w:t>
      </w:r>
    </w:p>
    <w:p w14:paraId="637CAE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二、责任追究落实情况</w:t>
      </w:r>
    </w:p>
    <w:p w14:paraId="676D8F8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峨边彝族自治县应急管理局对四川峨边荣成气体有限公司运输分公司处人民币600000元（大写：陆拾万元整）罚款的行政处罚。</w:t>
      </w:r>
    </w:p>
    <w:p w14:paraId="11EAC7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firstLine="320" w:firstLineChars="1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 xml:space="preserve">杨来俊已移交司法机关依法查处。          </w:t>
      </w:r>
    </w:p>
    <w:p w14:paraId="123D64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责成县交通运输局道路交通服务中心负责人向县交通运输局党组作出书面检讨，县交通运输局党组向自治县委、县政府作出书面检讨。</w:t>
      </w:r>
    </w:p>
    <w:p w14:paraId="7383CE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三、事故防范和整改措施落实情况</w:t>
      </w:r>
    </w:p>
    <w:p w14:paraId="35CCFD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对该事故防范和整改，事故调查组对照事故调查报告提出的防范整改建议，逐项推进落实，具体措施及落实情况如下：</w:t>
      </w:r>
    </w:p>
    <w:p w14:paraId="1ED370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（一）强化政治担当，树牢安全发展理念</w:t>
      </w:r>
    </w:p>
    <w:p w14:paraId="55FFBA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整改措施建议：深入贯彻安全生产重要指示精神，落实属地管理和行业监管责任，督促企业履行安全生产主体责任，守住安全发展底线。</w:t>
      </w:r>
    </w:p>
    <w:p w14:paraId="299F74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落实情况：已组织全县各部门、各企业学习安全生产重要指示精神，层层压实属地监管、行业监管和企业主体责任，开展安全生产责任落实专项督查，坚决遏制同类事故发生。</w:t>
      </w:r>
    </w:p>
    <w:p w14:paraId="65E09C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（二）深入开展道路交通专项整治行动</w:t>
      </w:r>
    </w:p>
    <w:p w14:paraId="4A2D48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 xml:space="preserve">整改措施建议：聚焦道路运输、汽车维修等重点领域，开展全县道路交通领域专项整治，防范化解重大安全风险。       </w:t>
      </w:r>
    </w:p>
    <w:p w14:paraId="125937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落实情况：已在全县范围内开展危化品运输、汽车维修行业安全隐患专项排查治理，重点核查车辆定点维修、作业安全防护等内容，建立隐患台账并限期整改闭环。</w:t>
      </w:r>
    </w:p>
    <w:p w14:paraId="7B3882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（三）加强道路交通监管执法，严打非法违法行为</w:t>
      </w:r>
    </w:p>
    <w:p w14:paraId="20561A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整改措施建议：开展安全生产 “打非治违” 专项执法，综合运用处罚、曝光、联合惩戒等措施，严厉打击违法违规作业行为。</w:t>
      </w:r>
    </w:p>
    <w:p w14:paraId="7A378E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落实情况：已加大道路运输、汽修领域执法力度，严查无证特种作业、违规动火、危化品车辆非定点维修等行为，保持 “打非治违” 高压态势，确保隐患整改到位。</w:t>
      </w:r>
    </w:p>
    <w:p w14:paraId="73AFCF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（四）加强警示教育，筑牢安全思想防线</w:t>
      </w:r>
    </w:p>
    <w:p w14:paraId="795AF3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整改措施建议：组织道路运输、车辆维修企业开展针对性警示教育，全县排查同类隐患，形成长效机制。</w:t>
      </w:r>
    </w:p>
    <w:p w14:paraId="73B33B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落实情况：已在全县安全生产会议上通报该起事故，组织所有道路运输、汽车维修企业开展警示教育，全面排查轮胎维修、热切割作业安全隐患，做到举一反三、整改闭环。</w:t>
      </w:r>
    </w:p>
    <w:p w14:paraId="06939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四、存在的问题</w:t>
      </w:r>
    </w:p>
    <w:p w14:paraId="7BE7A0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（一）企业安全生产主体责任落实不到位，主要负责人安全意识淡薄，无证违规开展热切割特种作业，未按规定将危化品车辆送至定点维修单位维修。</w:t>
      </w:r>
    </w:p>
    <w:p w14:paraId="116D4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 xml:space="preserve">（二）特种作业安全管理缺失，未落实轮胎维修前泄压、动火作业安全管控等关键措施，现场违规组织多人围观作业。    </w:t>
      </w:r>
    </w:p>
    <w:p w14:paraId="611485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（三）行业监管责任落实有差距，县交通运输局道路运输领域安全监管执法力度不足，对企业违法违规行为监督不到位。</w:t>
      </w:r>
    </w:p>
    <w:p w14:paraId="1FD57E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（四）安全培训教育缺失，企业未对从业人员开展特种作业、危化品车辆维修等针对性安全培训。</w:t>
      </w:r>
    </w:p>
    <w:p w14:paraId="790015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五、工作建议</w:t>
      </w:r>
    </w:p>
    <w:p w14:paraId="721945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（一）督促企业压实安全生产主体责任，严格落实危化品运输车辆全流程管理规定，必须到具备资质的定点单位开展维修作业。</w:t>
      </w:r>
    </w:p>
    <w:p w14:paraId="4F8963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（二）督促企业强化特种作业安全管理，严格执行持证上岗制度，落实作业前风险辨识、安全防护、泄压清场等关键措施。</w:t>
      </w:r>
    </w:p>
    <w:p w14:paraId="0D6ACE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（三）督促行业部门加强监管执法，加大危化品运输、汽车维修领域检查频次，严厉打击无证作业、违规维修等违法行为。</w:t>
      </w:r>
    </w:p>
    <w:p w14:paraId="448BE9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（四）督促企业开展“靶向式”安全培训，重点强化轮胎维修、热切割作业、危化品运输等安全知识与实操技能培训。</w:t>
      </w:r>
    </w:p>
    <w:p w14:paraId="5B4C3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firstLineChars="200"/>
        <w:jc w:val="left"/>
        <w:rPr>
          <w:rFonts w:hint="eastAsia" w:ascii="仿宋_GB2312" w:hAnsi="仿宋_GB2312" w:eastAsia="仿宋_GB2312" w:cs="仿宋_GB2312"/>
          <w:b w:val="0"/>
          <w:bCs w:val="0"/>
          <w:color w:val="auto"/>
          <w:kern w:val="2"/>
          <w:sz w:val="32"/>
          <w:szCs w:val="28"/>
          <w:lang w:val="en-US" w:eastAsia="zh-CN" w:bidi="ar-SA"/>
        </w:rPr>
      </w:pPr>
      <w:r>
        <w:rPr>
          <w:rFonts w:hint="eastAsia" w:ascii="仿宋_GB2312" w:hAnsi="仿宋_GB2312" w:eastAsia="仿宋_GB2312" w:cs="仿宋_GB2312"/>
          <w:b w:val="0"/>
          <w:bCs w:val="0"/>
          <w:color w:val="auto"/>
          <w:kern w:val="2"/>
          <w:sz w:val="32"/>
          <w:szCs w:val="28"/>
          <w:lang w:val="en-US" w:eastAsia="zh-CN" w:bidi="ar-SA"/>
        </w:rPr>
        <w:t>（五）督促企业严格执行事故报告制度，事故发生后1小时内上报属地监管部门，杜绝迟报、漏报、瞒报。</w:t>
      </w:r>
    </w:p>
    <w:p w14:paraId="287F51AF">
      <w:pPr>
        <w:rPr>
          <w:rFonts w:hint="eastAsia" w:ascii="仿宋_GB2312" w:hAnsi="仿宋_GB2312" w:eastAsia="仿宋_GB2312" w:cs="仿宋_GB2312"/>
          <w:b w:val="0"/>
          <w:bCs w:val="0"/>
          <w:color w:val="auto"/>
          <w:kern w:val="2"/>
          <w:sz w:val="32"/>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30255"/>
    <w:rsid w:val="32CA1AF6"/>
    <w:rsid w:val="4D730255"/>
    <w:rsid w:val="50006C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f4db612-77c5-490a-854c-41a7df8d124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1646</Words>
  <Characters>1664</Characters>
  <Lines>0</Lines>
  <Paragraphs>0</Paragraphs>
  <TotalTime>14</TotalTime>
  <ScaleCrop>false</ScaleCrop>
  <LinksUpToDate>false</LinksUpToDate>
  <CharactersWithSpaces>1694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2026-04-20T02:50:00Z</dcterms:created>
  <dc:creator>一只婷仔</dc:creator>
  <cp:lastModifiedBy>碧云天</cp:lastModifiedBy>
  <dcterms:modified xsi:type="dcterms:W3CDTF">2026-05-06T06:21:49Z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C2B18F7F6AA540D6AD431AA2573E484E_11</vt:lpwstr>
  </property>
  <property fmtid="{D5CDD505-2E9C-101B-9397-08002B2CF9AE}" pid="4" name="KSOTemplateDocerSaveRecord">
    <vt:lpwstr>eyJoZGlkIjoiNzI2ZGI0OGUzMDAzMzk0YmE1OTYyMDVlZGMwMmYyODYiLCJ1c2VySWQiOiIxMTM5NjM2MTk5In0=</vt:lpwstr>
  </property>
</Properties>
</file>