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01CB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峨边恒安矿业有限公司“7·21”一般爆破事故一般生产安全事故评估报告</w:t>
      </w:r>
    </w:p>
    <w:p w14:paraId="4F3AD6BD">
      <w:pPr>
        <w:jc w:val="center"/>
        <w:rPr>
          <w:rFonts w:hint="eastAsia" w:ascii="方正小标宋简体" w:hAnsi="方正小标宋简体" w:eastAsia="方正小标宋简体" w:cs="方正小标宋简体"/>
          <w:sz w:val="44"/>
          <w:szCs w:val="44"/>
          <w:lang w:val="en-US" w:eastAsia="zh-CN"/>
        </w:rPr>
      </w:pPr>
    </w:p>
    <w:p w14:paraId="548462BD">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2025年7月21日，峨边恒安矿业有限公司五渡长石矿+ 675m平台工作面发生爆破事故，造成1人死亡，根据上级指示要求，现将调查处理情况报告如下：</w:t>
      </w:r>
    </w:p>
    <w:p w14:paraId="1E23AD8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一、总体情况</w:t>
      </w:r>
    </w:p>
    <w:p w14:paraId="09ACC7E5">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事故发生后，省、市、县各级高度重视，自治县委、县政府主要领导作出批示，要求全力救治伤员、做好善后、查明原因。自治县委常委、县政府常务副县长率县应急管理局、县公安局、县经信局、五渡镇主要负责人第一时间赶赴现场处置。根据《生产安全事故报告和调查处理条例》（国务院令第493号令）相关规定，经自治县人民政府批准成立事故调查组，邀请县纪委监委、县检察院参与，市安办对事故挂牌督办。涉事企业与死者家属就赔偿事宜已达成一致意见，无不稳定因素。</w:t>
      </w:r>
    </w:p>
    <w:p w14:paraId="3408AF8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二、责任追究落实情况</w:t>
      </w:r>
    </w:p>
    <w:p w14:paraId="51F505D5">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峨边彝族自治县应急管理局对乐山市沙湾区昌平爆破工程有限公司峨边分公司处人民币600000元（大写：陆拾万元整）罚款的行政处罚。</w:t>
      </w:r>
    </w:p>
    <w:p w14:paraId="3AB4B277">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峨边彝族自治县应急管理局对峨边恒安矿业有限公司处人民币300000元（大写：叁拾万元整）罚款的行政处罚。</w:t>
      </w:r>
    </w:p>
    <w:p w14:paraId="10ED9DC0">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峨边彝族自治县应急管理局对昌平爆破峨边分公司法定代表人刘李惠、安全员艾治明、郑建，恒安矿业主要负责人曾洪、矿长夏利刚分别处以相应罚款。</w:t>
      </w:r>
    </w:p>
    <w:p w14:paraId="0DA6415F">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徐振海已移交司法机关依法查处。</w:t>
      </w:r>
    </w:p>
    <w:p w14:paraId="03F72A0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三、事故防范和整改措施落实情况</w:t>
      </w:r>
    </w:p>
    <w:p w14:paraId="77128CA7">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对该事故防范和整改，事故调查组对照事故调查报告提出的防范整改建议，逐项推进落实，具体措施及落实情况如下：</w:t>
      </w:r>
    </w:p>
    <w:p w14:paraId="04AEC271">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（一）深入开展保安全促发展攻坚月行动</w:t>
      </w:r>
    </w:p>
    <w:p w14:paraId="5CE0E6F1">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整改措施建议：组织开展安全生产攻坚月行动，压实各方责任，聚焦矿山、民爆领域开展隐患大排查大整治。</w:t>
      </w:r>
    </w:p>
    <w:p w14:paraId="200EBA74">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落实情况：县安办已牵头开展 “保安全促发展攻坚月” 行动，全县矿山、民爆企业全面开展安全隐患排查治理，构建全链条安全责任体系，确保隐患整改闭环。</w:t>
      </w:r>
    </w:p>
    <w:p w14:paraId="1749A712">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（二）加强爆破作业安全管理</w:t>
      </w:r>
    </w:p>
    <w:p w14:paraId="4CC29CF9">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整改措施建议：公安机关强化爆破作业和民爆物品监管，督促涉爆单位落实安全制度，严厉整治违规操作行为。</w:t>
      </w:r>
    </w:p>
    <w:p w14:paraId="6FE1EB17">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落实情况：县公安局已加强矿山爆破作业现场监管，严格监控民爆物品流向，督促涉爆单位落实警戒、清场、起爆确认等爆破安全规程，严查违规爆破行为。</w:t>
      </w:r>
    </w:p>
    <w:p w14:paraId="36230C15">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（三）加强警示教育，筑牢安全思想防线</w:t>
      </w:r>
    </w:p>
    <w:p w14:paraId="6B2C9F94">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整改措施建议：组织矿山、涉爆企业开展警示教育，全县排查同类隐患，建立长效机制。</w:t>
      </w:r>
    </w:p>
    <w:p w14:paraId="60B41BC0">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落实情况：已在全县矿山、民爆领域通报该起事故，组织企业开展警示教育大会，深入剖析事故原因，全面排查爆破作业安全隐患，杜绝同类事故重复发生。</w:t>
      </w:r>
    </w:p>
    <w:p w14:paraId="16B6A620">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（四）</w:t>
      </w:r>
      <w:bookmarkStart w:id="0" w:name="_GoBack"/>
      <w:r>
        <w:rPr>
          <w:rFonts w:hint="eastAsia" w:ascii="仿宋_GB2312" w:hAnsi="仿宋_GB2312" w:eastAsia="仿宋_GB2312" w:cs="仿宋_GB2312"/>
          <w:kern w:val="2"/>
          <w:sz w:val="32"/>
          <w:szCs w:val="28"/>
          <w:lang w:val="en-US" w:eastAsia="zh-CN" w:bidi="ar-SA"/>
        </w:rPr>
        <w:t>加大</w:t>
      </w:r>
      <w:bookmarkEnd w:id="0"/>
      <w:r>
        <w:rPr>
          <w:rFonts w:hint="eastAsia" w:ascii="仿宋_GB2312" w:hAnsi="仿宋_GB2312" w:eastAsia="仿宋_GB2312" w:cs="仿宋_GB2312"/>
          <w:kern w:val="2"/>
          <w:sz w:val="32"/>
          <w:szCs w:val="28"/>
          <w:lang w:val="en-US" w:eastAsia="zh-CN" w:bidi="ar-SA"/>
        </w:rPr>
        <w:t>外包工程安全管理力度</w:t>
      </w:r>
    </w:p>
    <w:p w14:paraId="5D5D35EB">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整改措施建议：督促矿山企业将外包单位纳入统一安全管理体系，对施工现场实行统一协调、监督检查。</w:t>
      </w:r>
    </w:p>
    <w:p w14:paraId="72663F62">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落实情况：已督促全县矿山企业落实外包安全管理主体责任，将爆破、劳务等外包单位纳入统一管理，开展外包工程安全专项检查，及时整改安全管理漏洞。</w:t>
      </w:r>
    </w:p>
    <w:p w14:paraId="3949E05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四、存在的问题</w:t>
      </w:r>
    </w:p>
    <w:p w14:paraId="51572CA2">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一）企业安全风险分级管控和隐患排查治理双重预防机制落实不力，爆破作业风险辨识不足，现场未按规程设置警戒、开展清场。（二）安全教育培训针对性不强，爆破单位未开展专业技术培训，矿山企业未将劳务派遣人员纳入统一安全培训。（三）外包安全管理缺失，恒安矿业未对爆破、劳务外包单位实施统一协调、安全管理，现场违规爆破未及时制止。（四）爆破作业现场管控严重缺位，现场指挥人员未确认人员撤离即违规起爆，导致事故发生。（五）属地与行业部门监管协同不足，五渡镇、县公安局、经信局、应急管理局监管合力不强，日常监督检查不到位。</w:t>
      </w:r>
    </w:p>
    <w:p w14:paraId="60BB967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五、工作建议</w:t>
      </w:r>
    </w:p>
    <w:p w14:paraId="395466AE">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一）督促企业强化矿山爆破作业风险管控，完善双重预防机制，严格执行《爆破安全规程》，落实警戒、清场、起爆确认全流程管控。（二）督促企业规范外包工程安全管理，将所有外包单位纳入本单位安全管理体系，实行统一协调、统一培训、统一检查。（三）督促企业提升安全培训实效性，重点强化爆破作业人员专业技能培训，将劳务派遣人员全员纳入三级安全教育培训。（四）督促属地和行业部门健全协同监管机制，压实非煤矿山、民爆物品监管责任，加大现场检查频次，及时消除监管盲区。（五）督促企业严格落实安全投入要求，配备机械破碎设备，严禁使用爆破方式进行矿岩二次破碎。</w:t>
      </w:r>
    </w:p>
    <w:p w14:paraId="169F5910">
      <w:pPr>
        <w:ind w:firstLine="640" w:firstLineChars="200"/>
        <w:jc w:val="both"/>
        <w:rPr>
          <w:rFonts w:hint="eastAsia" w:ascii="仿宋_GB2312" w:hAnsi="仿宋_GB2312" w:eastAsia="仿宋_GB2312" w:cs="仿宋_GB2312"/>
          <w:kern w:val="2"/>
          <w:sz w:val="32"/>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82C11"/>
    <w:rsid w:val="154B3017"/>
    <w:rsid w:val="1B582C11"/>
    <w:rsid w:val="2F864E35"/>
    <w:rsid w:val="4C985308"/>
    <w:rsid w:val="64CB61AF"/>
    <w:rsid w:val="74BB0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303409a2-2af5-47cd-8378-53a7de7c467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1637</Words>
  <Characters>1657</Characters>
  <Lines>0</Lines>
  <Paragraphs>0</Paragraphs>
  <TotalTime>2</TotalTime>
  <ScaleCrop>false</ScaleCrop>
  <LinksUpToDate>false</LinksUpToDate>
  <CharactersWithSpaces>1660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2026-04-20T02:59:00Z</dcterms:created>
  <dc:creator>一只婷仔</dc:creator>
  <cp:lastModifiedBy>碧云天</cp:lastModifiedBy>
  <dcterms:modified xsi:type="dcterms:W3CDTF">2026-05-06T06:23:44Z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8F10D40C28EB4274B1B45FE9257A6927_11</vt:lpwstr>
  </property>
  <property fmtid="{D5CDD505-2E9C-101B-9397-08002B2CF9AE}" pid="4" name="KSOTemplateDocerSaveRecord">
    <vt:lpwstr>eyJoZGlkIjoiNzI2ZGI0OGUzMDAzMzk0YmE1OTYyMDVlZGMwMmYyODYiLCJ1c2VySWQiOiIxMTM5NjM2MTk5In0=</vt:lpwstr>
  </property>
</Properties>
</file>