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9BCB7">
      <w:pPr>
        <w:pStyle w:val="8"/>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77425"/>
      <w:bookmarkStart w:id="2" w:name="_Toc15377193"/>
      <w:bookmarkStart w:id="3" w:name="_Toc15306267"/>
      <w:bookmarkStart w:id="4" w:name="_Toc15396475"/>
      <w:bookmarkStart w:id="5" w:name="_Toc15378441"/>
    </w:p>
    <w:p w14:paraId="667E177D">
      <w:pPr>
        <w:pStyle w:val="8"/>
        <w:rPr>
          <w:rFonts w:hint="eastAsia" w:ascii="Times New Roman" w:hAnsi="Times New Roman" w:eastAsia="方正小标宋简体" w:cs="Times New Roman"/>
          <w:color w:val="auto"/>
          <w:kern w:val="2"/>
          <w:sz w:val="72"/>
          <w:szCs w:val="72"/>
          <w:highlight w:val="none"/>
          <w:lang w:val="en-US" w:eastAsia="zh-CN" w:bidi="ar-SA"/>
        </w:rPr>
      </w:pPr>
    </w:p>
    <w:p w14:paraId="586D6503">
      <w:pPr>
        <w:pStyle w:val="8"/>
        <w:rPr>
          <w:rFonts w:hint="eastAsia" w:ascii="Times New Roman" w:hAnsi="Times New Roman" w:eastAsia="方正小标宋简体" w:cs="Times New Roman"/>
          <w:color w:val="auto"/>
          <w:kern w:val="2"/>
          <w:sz w:val="72"/>
          <w:szCs w:val="72"/>
          <w:highlight w:val="none"/>
          <w:lang w:val="en-US" w:eastAsia="zh-CN" w:bidi="ar-SA"/>
        </w:rPr>
      </w:pPr>
    </w:p>
    <w:p w14:paraId="6C40E206">
      <w:pPr>
        <w:widowControl/>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中共峨边彝族自治县委社会工作部</w:t>
      </w:r>
    </w:p>
    <w:p w14:paraId="5154E4FE">
      <w:pPr>
        <w:widowControl/>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w:t>
      </w:r>
      <w:r>
        <w:rPr>
          <w:rFonts w:hint="eastAsia" w:eastAsia="方正小标宋简体" w:cs="Times New Roman"/>
          <w:color w:val="auto"/>
          <w:kern w:val="2"/>
          <w:sz w:val="44"/>
          <w:szCs w:val="44"/>
          <w:highlight w:val="none"/>
          <w:lang w:val="en-US" w:eastAsia="zh-CN" w:bidi="ar-SA"/>
        </w:rPr>
        <w:t>度单位</w:t>
      </w:r>
      <w:r>
        <w:rPr>
          <w:rFonts w:hint="eastAsia" w:ascii="Times New Roman" w:hAnsi="Times New Roman" w:eastAsia="方正小标宋简体" w:cs="Times New Roman"/>
          <w:color w:val="auto"/>
          <w:kern w:val="2"/>
          <w:sz w:val="44"/>
          <w:szCs w:val="44"/>
          <w:highlight w:val="none"/>
          <w:lang w:val="en-US" w:eastAsia="zh-CN" w:bidi="ar-SA"/>
        </w:rPr>
        <w:t>决算公开</w:t>
      </w:r>
      <w:bookmarkEnd w:id="0"/>
      <w:bookmarkEnd w:id="1"/>
      <w:bookmarkEnd w:id="2"/>
      <w:bookmarkEnd w:id="3"/>
      <w:bookmarkEnd w:id="4"/>
      <w:bookmarkEnd w:id="5"/>
    </w:p>
    <w:p w14:paraId="44D861D0">
      <w:pP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br w:type="page"/>
      </w:r>
    </w:p>
    <w:p w14:paraId="66503E67">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719B96BE">
      <w:pPr>
        <w:widowControl/>
        <w:jc w:val="center"/>
        <w:rPr>
          <w:rFonts w:ascii="Times New Roman" w:hAnsi="Times New Roman" w:eastAsia="黑体" w:cstheme="minorBidi"/>
          <w:color w:val="auto"/>
          <w:sz w:val="28"/>
          <w:szCs w:val="28"/>
          <w:highlight w:val="none"/>
        </w:rPr>
      </w:pPr>
    </w:p>
    <w:p w14:paraId="7F7B9C8F">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11</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28</w:t>
      </w:r>
      <w:r>
        <w:rPr>
          <w:rFonts w:hint="eastAsia" w:ascii="Times New Roman" w:hAnsi="Times New Roman" w:eastAsia="仿宋_GB2312" w:cs="仿宋_GB2312"/>
          <w:color w:val="auto"/>
          <w:sz w:val="32"/>
          <w:szCs w:val="32"/>
          <w:highlight w:val="none"/>
        </w:rPr>
        <w:t>日</w:t>
      </w:r>
    </w:p>
    <w:p w14:paraId="4166C1AF">
      <w:pPr>
        <w:rPr>
          <w:rFonts w:ascii="Times New Roman" w:hAnsi="Times New Roman"/>
          <w:color w:val="auto"/>
          <w:highlight w:val="none"/>
        </w:rPr>
      </w:pPr>
    </w:p>
    <w:p w14:paraId="23A93F41">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概况</w:t>
      </w:r>
      <w:r>
        <w:rPr>
          <w:rFonts w:hint="eastAsia" w:ascii="Times New Roman" w:hAnsi="Times New Roman" w:eastAsia="黑体" w:cs="黑体"/>
          <w:color w:val="auto"/>
          <w:sz w:val="32"/>
          <w:szCs w:val="32"/>
          <w:highlight w:val="none"/>
          <w:lang w:val="en-US" w:eastAsia="zh-CN"/>
        </w:rPr>
        <w:tab/>
      </w:r>
      <w:r>
        <w:rPr>
          <w:rFonts w:hint="eastAsia" w:ascii="黑体" w:hAnsi="黑体" w:eastAsia="黑体" w:cs="黑体"/>
          <w:color w:val="auto"/>
          <w:sz w:val="32"/>
          <w:szCs w:val="32"/>
          <w:highlight w:val="none"/>
          <w:lang w:val="en-US" w:eastAsia="zh-CN"/>
        </w:rPr>
        <w:t>1</w:t>
      </w:r>
    </w:p>
    <w:p w14:paraId="7F6A9639">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val="en-US" w:eastAsia="zh-CN"/>
        </w:rPr>
        <w:t>主要</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w:t>
      </w:r>
    </w:p>
    <w:p w14:paraId="601E0228">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w:t>
      </w:r>
    </w:p>
    <w:p w14:paraId="189A4989">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2024年度单位</w:t>
      </w:r>
      <w:r>
        <w:rPr>
          <w:rFonts w:hint="eastAsia" w:ascii="Times New Roman" w:hAnsi="Times New Roman" w:eastAsia="黑体" w:cs="黑体"/>
          <w:color w:val="auto"/>
          <w:sz w:val="32"/>
          <w:szCs w:val="32"/>
          <w:highlight w:val="none"/>
        </w:rPr>
        <w:t>决算情况说明</w:t>
      </w:r>
      <w:r>
        <w:rPr>
          <w:rFonts w:hint="eastAsia" w:ascii="Times New Roman" w:hAnsi="Times New Roman" w:eastAsia="黑体" w:cs="黑体"/>
          <w:color w:val="auto"/>
          <w:sz w:val="32"/>
          <w:szCs w:val="32"/>
          <w:highlight w:val="none"/>
          <w:lang w:val="en-US" w:eastAsia="zh-CN"/>
        </w:rPr>
        <w:tab/>
      </w:r>
      <w:r>
        <w:rPr>
          <w:rFonts w:hint="eastAsia" w:ascii="黑体" w:hAnsi="黑体" w:eastAsia="黑体" w:cs="黑体"/>
          <w:color w:val="auto"/>
          <w:sz w:val="32"/>
          <w:szCs w:val="32"/>
          <w:highlight w:val="none"/>
          <w:lang w:val="en-US" w:eastAsia="zh-CN"/>
        </w:rPr>
        <w:t>3</w:t>
      </w:r>
    </w:p>
    <w:p w14:paraId="3857C60C">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3</w:t>
      </w:r>
    </w:p>
    <w:p w14:paraId="47BB8C86">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3</w:t>
      </w:r>
    </w:p>
    <w:p w14:paraId="405DC7F5">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4</w:t>
      </w:r>
    </w:p>
    <w:p w14:paraId="154F146D">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4</w:t>
      </w:r>
    </w:p>
    <w:p w14:paraId="3AF8C027">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5</w:t>
      </w:r>
    </w:p>
    <w:p w14:paraId="4D559881">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7</w:t>
      </w:r>
    </w:p>
    <w:p w14:paraId="16AAE627">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7</w:t>
      </w:r>
    </w:p>
    <w:p w14:paraId="77F93D73">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9</w:t>
      </w:r>
    </w:p>
    <w:p w14:paraId="5B2C5CB3">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9</w:t>
      </w:r>
    </w:p>
    <w:p w14:paraId="4D7DD49E">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9</w:t>
      </w:r>
    </w:p>
    <w:p w14:paraId="7B9884C3">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黑体" w:hAnsi="黑体" w:eastAsia="黑体" w:cs="黑体"/>
          <w:color w:val="auto"/>
          <w:sz w:val="32"/>
          <w:szCs w:val="32"/>
          <w:highlight w:val="none"/>
          <w:lang w:val="en-US" w:eastAsia="zh-CN"/>
        </w:rPr>
        <w:t>11</w:t>
      </w:r>
    </w:p>
    <w:p w14:paraId="0C6A8CFA">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黑体" w:hAnsi="黑体" w:eastAsia="黑体" w:cs="黑体"/>
          <w:color w:val="auto"/>
          <w:sz w:val="32"/>
          <w:szCs w:val="32"/>
          <w:highlight w:val="none"/>
          <w:lang w:val="en-US" w:eastAsia="zh-CN"/>
        </w:rPr>
        <w:t>14</w:t>
      </w:r>
    </w:p>
    <w:p w14:paraId="528AB074">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黑体" w:hAnsi="黑体" w:eastAsia="黑体" w:cs="黑体"/>
          <w:color w:val="auto"/>
          <w:sz w:val="32"/>
          <w:szCs w:val="32"/>
          <w:highlight w:val="none"/>
          <w:lang w:val="en-US" w:eastAsia="zh-CN"/>
        </w:rPr>
        <w:t>15</w:t>
      </w:r>
    </w:p>
    <w:p w14:paraId="114760D9">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15</w:t>
      </w:r>
    </w:p>
    <w:p w14:paraId="63645C41">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15</w:t>
      </w:r>
    </w:p>
    <w:p w14:paraId="43DA4B0C">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15</w:t>
      </w:r>
    </w:p>
    <w:p w14:paraId="4A7B659C">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15</w:t>
      </w:r>
    </w:p>
    <w:p w14:paraId="43CC0F6B">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15</w:t>
      </w:r>
    </w:p>
    <w:p w14:paraId="7B873543">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15</w:t>
      </w:r>
    </w:p>
    <w:p w14:paraId="5A32565D">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15</w:t>
      </w:r>
    </w:p>
    <w:p w14:paraId="12C2B919">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15</w:t>
      </w:r>
    </w:p>
    <w:p w14:paraId="0FA92E72">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15</w:t>
      </w:r>
    </w:p>
    <w:p w14:paraId="6C740AA2">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15</w:t>
      </w:r>
    </w:p>
    <w:p w14:paraId="4F7EC92F">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15</w:t>
      </w:r>
    </w:p>
    <w:p w14:paraId="02E5DBEF">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15</w:t>
      </w:r>
    </w:p>
    <w:p w14:paraId="1811F9CA">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15</w:t>
      </w:r>
    </w:p>
    <w:p w14:paraId="2167AA61">
      <w:pPr>
        <w:pStyle w:val="4"/>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方正小标宋简体"/>
          <w:b w:val="0"/>
          <w:color w:val="auto"/>
          <w:highlight w:val="none"/>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bookmarkStart w:id="6" w:name="_Toc15396599"/>
      <w:bookmarkStart w:id="7" w:name="_Toc15377196"/>
    </w:p>
    <w:p w14:paraId="3161CE2F">
      <w:pPr>
        <w:pStyle w:val="4"/>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eastAsia="方正小标宋简体" w:cs="方正小标宋简体"/>
          <w:b w:val="0"/>
          <w:bCs w:val="0"/>
          <w:color w:val="auto"/>
          <w:highlight w:val="none"/>
          <w:lang w:val="en-US" w:eastAsia="zh-CN"/>
        </w:rPr>
        <w:t>单位</w:t>
      </w:r>
      <w:r>
        <w:rPr>
          <w:rStyle w:val="29"/>
          <w:rFonts w:hint="eastAsia" w:ascii="Times New Roman" w:hAnsi="Times New Roman" w:eastAsia="方正小标宋简体" w:cs="方正小标宋简体"/>
          <w:b w:val="0"/>
          <w:bCs w:val="0"/>
          <w:color w:val="auto"/>
          <w:highlight w:val="none"/>
        </w:rPr>
        <w:t>概况</w:t>
      </w:r>
      <w:bookmarkEnd w:id="6"/>
      <w:bookmarkEnd w:id="7"/>
    </w:p>
    <w:p w14:paraId="383349C1">
      <w:pPr>
        <w:pageBreakBefore w:val="0"/>
        <w:kinsoku/>
        <w:wordWrap/>
        <w:overflowPunct/>
        <w:topLinePunct w:val="0"/>
        <w:autoSpaceDE/>
        <w:autoSpaceDN/>
        <w:bidi w:val="0"/>
        <w:spacing w:line="600" w:lineRule="exact"/>
        <w:ind w:firstLine="800" w:firstLineChars="250"/>
        <w:textAlignment w:val="auto"/>
        <w:rPr>
          <w:rFonts w:hint="eastAsia" w:ascii="黑体" w:hAnsi="黑体" w:eastAsia="黑体" w:cs="黑体"/>
          <w:color w:val="auto"/>
          <w:sz w:val="32"/>
          <w:szCs w:val="32"/>
          <w:highlight w:val="none"/>
        </w:rPr>
      </w:pPr>
      <w:bookmarkStart w:id="8" w:name="_Toc15396600"/>
      <w:bookmarkStart w:id="9" w:name="_Toc15377197"/>
    </w:p>
    <w:p w14:paraId="079CF287">
      <w:pPr>
        <w:pageBreakBefore w:val="0"/>
        <w:kinsoku/>
        <w:wordWrap/>
        <w:overflowPunct/>
        <w:topLinePunct w:val="0"/>
        <w:autoSpaceDE/>
        <w:autoSpaceDN/>
        <w:bidi w:val="0"/>
        <w:spacing w:line="600" w:lineRule="exact"/>
        <w:ind w:firstLine="800" w:firstLineChars="25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一、</w:t>
      </w:r>
      <w:bookmarkEnd w:id="8"/>
      <w:bookmarkEnd w:id="9"/>
      <w:r>
        <w:rPr>
          <w:rFonts w:hint="eastAsia" w:ascii="黑体" w:hAnsi="黑体" w:eastAsia="黑体" w:cs="黑体"/>
          <w:color w:val="auto"/>
          <w:sz w:val="32"/>
          <w:szCs w:val="32"/>
          <w:highlight w:val="none"/>
          <w:lang w:val="en-US" w:eastAsia="zh-CN"/>
        </w:rPr>
        <w:t>主要</w:t>
      </w:r>
      <w:r>
        <w:rPr>
          <w:rFonts w:hint="eastAsia" w:ascii="黑体" w:hAnsi="黑体" w:eastAsia="黑体" w:cs="黑体"/>
          <w:color w:val="auto"/>
          <w:sz w:val="32"/>
          <w:szCs w:val="32"/>
          <w:highlight w:val="none"/>
          <w:lang w:eastAsia="zh-CN"/>
        </w:rPr>
        <w:t>职责</w:t>
      </w:r>
    </w:p>
    <w:p w14:paraId="34E178BE">
      <w:pPr>
        <w:pageBreakBefore w:val="0"/>
        <w:kinsoku/>
        <w:wordWrap/>
        <w:overflowPunct/>
        <w:topLinePunct w:val="0"/>
        <w:autoSpaceDE/>
        <w:autoSpaceDN/>
        <w:bidi w:val="0"/>
        <w:spacing w:line="600" w:lineRule="exact"/>
        <w:ind w:firstLine="800" w:firstLineChars="250"/>
        <w:textAlignment w:val="auto"/>
        <w:rPr>
          <w:rFonts w:hint="eastAsia" w:ascii="黑体" w:hAnsi="黑体" w:eastAsia="黑体" w:cs="黑体"/>
          <w:color w:val="auto"/>
          <w:sz w:val="32"/>
          <w:szCs w:val="32"/>
          <w:highlight w:val="none"/>
          <w:lang w:eastAsia="zh-CN"/>
        </w:rPr>
      </w:pPr>
      <w:r>
        <w:rPr>
          <w:rFonts w:hint="eastAsia" w:ascii="Times New Roman" w:hAnsi="Times New Roman" w:eastAsia="仿宋_GB2312" w:cs="仿宋_GB2312"/>
          <w:color w:val="auto"/>
          <w:sz w:val="32"/>
          <w:szCs w:val="32"/>
          <w:highlight w:val="none"/>
        </w:rPr>
        <w:t>研究相关理论、政策和规划，起草相关地方性法规草案及规范性文件并组织实施。深入调查研究，及时向县委报告工作情况并提出建议。指导各乡镇党委、县级相关部门开展社会工作。统筹指导全县群众利益协调、诉求表达、矛盾调处、权益保障等人民信访工作，协调解决人民群众急难愁盼的重大问题。指导人民建议征集工作，负责征集、办理公民、法人和其他组织提出的意见建议，向县委、县政府及时反映公民、法人和其他组织对党和国家事业发展提出的重要意见建议。统筹推进党建引领基层治理和基层政权建设，协调推进城乡社区治理体系、服务体系和治理能力建设</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推动基层民主政治建设，指导监督基层群众自治制度的有效实施，健全基层群众自治机制。指导全县性社会组织党建工作，统一领导全县性行业协会商会党的工作，承办全县性行业协会商会负责人人选的审核。协调推动全县行业协会商会深化改革和转型发展，调查研究相关重大问题。指导全县混合所有制企业、非公有制企业和新经济组织、新社会组</w:t>
      </w:r>
      <w:bookmarkStart w:id="63" w:name="_GoBack"/>
      <w:bookmarkEnd w:id="63"/>
      <w:r>
        <w:rPr>
          <w:rFonts w:hint="eastAsia" w:ascii="Times New Roman" w:hAnsi="Times New Roman" w:eastAsia="仿宋_GB2312" w:cs="仿宋_GB2312"/>
          <w:color w:val="auto"/>
          <w:sz w:val="32"/>
          <w:szCs w:val="32"/>
          <w:highlight w:val="none"/>
        </w:rPr>
        <w:t>织、新就业群体</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以下简称“两企三新”</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党建工作，指导协调相关企业单位、社会组织、就业群体中党员的教育、管理、监督和服务工作，研究完善相关领域群众利益协调机制。负责全县志愿服务工作的统筹规划、协调指导、督促检查，指导推动社会工作人才队伍建设、志愿服务人才队伍建设和阵地建设，协调推动社会工作服务体系和志愿服务体系建设。</w:t>
      </w:r>
    </w:p>
    <w:p w14:paraId="74606720">
      <w:pPr>
        <w:pageBreakBefore w:val="0"/>
        <w:kinsoku/>
        <w:wordWrap/>
        <w:overflowPunct/>
        <w:topLinePunct w:val="0"/>
        <w:autoSpaceDE/>
        <w:autoSpaceDN/>
        <w:bidi w:val="0"/>
        <w:spacing w:line="600" w:lineRule="exact"/>
        <w:ind w:firstLine="800" w:firstLineChars="250"/>
        <w:textAlignment w:val="auto"/>
        <w:rPr>
          <w:rFonts w:hint="eastAsia" w:ascii="黑体" w:hAnsi="黑体" w:eastAsia="黑体" w:cs="黑体"/>
          <w:color w:val="auto"/>
          <w:sz w:val="32"/>
          <w:szCs w:val="32"/>
          <w:highlight w:val="none"/>
          <w:lang w:eastAsia="zh-CN"/>
        </w:rPr>
      </w:pPr>
      <w:bookmarkStart w:id="10" w:name="_Toc15377200"/>
      <w:bookmarkStart w:id="11" w:name="_Toc15396601"/>
      <w:r>
        <w:rPr>
          <w:rFonts w:hint="eastAsia" w:ascii="黑体" w:hAnsi="黑体" w:eastAsia="黑体" w:cs="黑体"/>
          <w:color w:val="auto"/>
          <w:sz w:val="32"/>
          <w:szCs w:val="32"/>
          <w:highlight w:val="none"/>
          <w:lang w:eastAsia="zh-CN"/>
        </w:rPr>
        <w:t>二、机构设置</w:t>
      </w:r>
      <w:bookmarkEnd w:id="10"/>
      <w:bookmarkEnd w:id="11"/>
    </w:p>
    <w:p w14:paraId="2DC1CB77">
      <w:pPr>
        <w:pageBreakBefore w:val="0"/>
        <w:kinsoku/>
        <w:wordWrap/>
        <w:overflowPunct/>
        <w:topLinePunct w:val="0"/>
        <w:autoSpaceDE/>
        <w:autoSpaceDN/>
        <w:bidi w:val="0"/>
        <w:spacing w:line="600" w:lineRule="exact"/>
        <w:ind w:firstLine="800" w:firstLineChars="250"/>
        <w:textAlignment w:val="auto"/>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中共峨边彝</w:t>
      </w:r>
      <w:r>
        <w:rPr>
          <w:rFonts w:hint="eastAsia" w:ascii="仿宋_GB2312" w:hAnsi="仿宋_GB2312" w:eastAsia="仿宋_GB2312" w:cs="仿宋_GB2312"/>
          <w:color w:val="auto"/>
          <w:sz w:val="32"/>
          <w:szCs w:val="32"/>
          <w:highlight w:val="none"/>
        </w:rPr>
        <w:t>族自治县委社会工作部</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117C28DD">
      <w:pPr>
        <w:pStyle w:val="8"/>
        <w:pageBreakBefore w:val="0"/>
        <w:kinsoku/>
        <w:wordWrap/>
        <w:overflowPunct/>
        <w:topLinePunct w:val="0"/>
        <w:autoSpaceDE/>
        <w:autoSpaceDN/>
        <w:bidi w:val="0"/>
        <w:adjustRightInd w:val="0"/>
        <w:snapToGrid w:val="0"/>
        <w:spacing w:before="93" w:line="600" w:lineRule="exact"/>
        <w:ind w:firstLine="672" w:firstLineChars="210"/>
        <w:textAlignment w:val="auto"/>
        <w:rPr>
          <w:rFonts w:ascii="Times New Roman" w:hAnsi="Times New Roman" w:eastAsia="仿宋"/>
          <w:color w:val="auto"/>
          <w:kern w:val="0"/>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中共峨边彝族自治县委社会工作部</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r>
        <w:rPr>
          <w:rFonts w:hint="eastAsia" w:ascii="Times New Roman" w:cs="仿宋_GB2312"/>
          <w:color w:val="auto"/>
          <w:sz w:val="32"/>
          <w:szCs w:val="32"/>
          <w:highlight w:val="none"/>
          <w:lang w:val="en-US" w:eastAsia="zh-CN"/>
        </w:rPr>
        <w:t>无。</w:t>
      </w:r>
      <w:r>
        <w:rPr>
          <w:rFonts w:ascii="Times New Roman" w:hAnsi="Times New Roman" w:eastAsia="仿宋"/>
          <w:color w:val="auto"/>
          <w:sz w:val="32"/>
          <w:szCs w:val="32"/>
          <w:highlight w:val="none"/>
        </w:rPr>
        <w:br w:type="page"/>
      </w:r>
    </w:p>
    <w:p w14:paraId="073C9696">
      <w:pPr>
        <w:pStyle w:val="4"/>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color w:val="auto"/>
          <w:highlight w:val="none"/>
        </w:rPr>
      </w:pPr>
      <w:bookmarkStart w:id="12" w:name="_Toc15377204"/>
      <w:bookmarkStart w:id="13" w:name="_Toc15396602"/>
      <w:r>
        <w:rPr>
          <w:rFonts w:hint="eastAsia" w:ascii="方正小标宋简体" w:hAnsi="方正小标宋简体" w:eastAsia="方正小标宋简体" w:cs="方正小标宋简体"/>
          <w:b w:val="0"/>
          <w:color w:val="auto"/>
          <w:highlight w:val="none"/>
        </w:rPr>
        <w:t>第二部分</w:t>
      </w:r>
      <w:r>
        <w:rPr>
          <w:rFonts w:hint="eastAsia" w:ascii="方正小标宋简体" w:hAnsi="方正小标宋简体" w:eastAsia="方正小标宋简体" w:cs="方正小标宋简体"/>
          <w:b w:val="0"/>
          <w:color w:val="auto"/>
          <w:highlight w:val="none"/>
          <w:lang w:val="en-US" w:eastAsia="zh-CN"/>
        </w:rPr>
        <w:t xml:space="preserve"> </w:t>
      </w:r>
      <w:r>
        <w:rPr>
          <w:rFonts w:hint="eastAsia" w:ascii="方正小标宋简体" w:hAnsi="方正小标宋简体" w:eastAsia="方正小标宋简体" w:cs="方正小标宋简体"/>
          <w:b w:val="0"/>
          <w:color w:val="auto"/>
          <w:highlight w:val="none"/>
        </w:rPr>
        <w:t xml:space="preserve"> </w:t>
      </w:r>
      <w:r>
        <w:rPr>
          <w:rFonts w:hint="eastAsia" w:ascii="方正小标宋简体" w:hAnsi="方正小标宋简体" w:eastAsia="方正小标宋简体" w:cs="方正小标宋简体"/>
          <w:b w:val="0"/>
          <w:color w:val="auto"/>
          <w:highlight w:val="none"/>
          <w:lang w:val="en-US" w:eastAsia="zh-CN"/>
        </w:rPr>
        <w:t>2024年度单位</w:t>
      </w:r>
      <w:r>
        <w:rPr>
          <w:rFonts w:hint="eastAsia" w:ascii="方正小标宋简体" w:hAnsi="方正小标宋简体" w:eastAsia="方正小标宋简体" w:cs="方正小标宋简体"/>
          <w:b w:val="0"/>
          <w:color w:val="auto"/>
          <w:highlight w:val="none"/>
        </w:rPr>
        <w:t>决算情况说明</w:t>
      </w:r>
      <w:bookmarkEnd w:id="12"/>
      <w:bookmarkEnd w:id="13"/>
    </w:p>
    <w:p w14:paraId="125D99AA">
      <w:pPr>
        <w:rPr>
          <w:rFonts w:ascii="Times New Roman" w:hAnsi="Times New Roman"/>
          <w:color w:val="auto"/>
          <w:highlight w:val="none"/>
        </w:rPr>
      </w:pPr>
    </w:p>
    <w:p w14:paraId="06F312D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4" w:name="_Toc15396603"/>
      <w:bookmarkStart w:id="15"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4"/>
      <w:bookmarkEnd w:id="15"/>
    </w:p>
    <w:p w14:paraId="661ED54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94.39</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94.39</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100</w:t>
      </w:r>
      <w:r>
        <w:rPr>
          <w:rFonts w:hint="eastAsia" w:ascii="Times New Roman" w:hAnsi="Times New Roman" w:eastAsia="仿宋_GB2312" w:cs="仿宋_GB2312"/>
          <w:color w:val="auto"/>
          <w:sz w:val="32"/>
          <w:szCs w:val="32"/>
          <w:highlight w:val="none"/>
        </w:rPr>
        <w:t>%。主要变动原因是</w:t>
      </w:r>
      <w:r>
        <w:rPr>
          <w:rFonts w:hint="eastAsia" w:ascii="仿宋_GB2312" w:hAnsi="仿宋_GB2312" w:eastAsia="仿宋_GB2312" w:cs="仿宋_GB2312"/>
          <w:color w:val="auto"/>
          <w:kern w:val="0"/>
          <w:sz w:val="32"/>
          <w:szCs w:val="32"/>
          <w:lang w:eastAsia="zh-CN"/>
        </w:rPr>
        <w:t>我单位为2024年度新成立部门，无202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eastAsia="仿宋_GB2312" w:cs="仿宋_GB2312"/>
          <w:color w:val="auto"/>
          <w:sz w:val="32"/>
          <w:szCs w:val="32"/>
          <w:highlight w:val="none"/>
          <w:lang w:val="en-US" w:eastAsia="zh-CN"/>
        </w:rPr>
        <w:t>数</w:t>
      </w:r>
      <w:r>
        <w:rPr>
          <w:rFonts w:hint="eastAsia" w:ascii="仿宋_GB2312" w:hAnsi="仿宋_GB2312" w:eastAsia="仿宋_GB2312" w:cs="仿宋_GB2312"/>
          <w:color w:val="auto"/>
          <w:kern w:val="0"/>
          <w:sz w:val="32"/>
          <w:szCs w:val="32"/>
        </w:rPr>
        <w:t>。</w:t>
      </w:r>
    </w:p>
    <w:p w14:paraId="2DA830E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zh-CN"/>
        </w:rPr>
      </w:pPr>
      <w:r>
        <w:rPr>
          <w:rFonts w:hint="eastAsia"/>
          <w:lang w:val="zh-CN"/>
        </w:rPr>
        <w:drawing>
          <wp:inline distT="0" distB="0" distL="114300" distR="114300">
            <wp:extent cx="4949190" cy="2414905"/>
            <wp:effectExtent l="4445" t="4445" r="18415" b="1905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09624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2119EBE5">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96604"/>
      <w:bookmarkStart w:id="17" w:name="_Toc15377206"/>
      <w:r>
        <w:rPr>
          <w:rFonts w:hint="eastAsia" w:ascii="Times New Roman" w:hAnsi="Times New Roman" w:eastAsia="黑体"/>
          <w:color w:val="auto"/>
          <w:sz w:val="32"/>
          <w:szCs w:val="32"/>
          <w:highlight w:val="none"/>
          <w:lang w:eastAsia="zh-CN"/>
        </w:rPr>
        <w:t>二、收入决算情况说明</w:t>
      </w:r>
      <w:bookmarkEnd w:id="16"/>
      <w:bookmarkEnd w:id="17"/>
    </w:p>
    <w:p w14:paraId="793E071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94.39万元，其中：一般公共预算财政拨款收入94.39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14:paraId="4653A9F1">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6CBE755C">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6BA16E75">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373DAD5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3158680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eastAsia="仿宋_GB2312"/>
          <w:lang w:eastAsia="zh-CN"/>
        </w:rPr>
        <w:drawing>
          <wp:anchor distT="0" distB="0" distL="114300" distR="114300" simplePos="0" relativeHeight="251659264" behindDoc="0" locked="0" layoutInCell="1" allowOverlap="1">
            <wp:simplePos x="0" y="0"/>
            <wp:positionH relativeFrom="column">
              <wp:posOffset>210820</wp:posOffset>
            </wp:positionH>
            <wp:positionV relativeFrom="page">
              <wp:posOffset>283210</wp:posOffset>
            </wp:positionV>
            <wp:extent cx="3352165" cy="1845945"/>
            <wp:effectExtent l="4445" t="4445" r="15240" b="1651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Times New Roman" w:hAnsi="Times New Roman" w:eastAsia="仿宋_GB2312" w:cs="仿宋_GB2312"/>
          <w:color w:val="auto"/>
          <w:sz w:val="32"/>
          <w:szCs w:val="32"/>
          <w:highlight w:val="none"/>
          <w:lang w:eastAsia="zh-CN"/>
        </w:rPr>
        <w:t>（图2：收入决算结构图）（饼状图）</w:t>
      </w:r>
    </w:p>
    <w:p w14:paraId="5C6F788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8" w:name="_Toc15396605"/>
      <w:bookmarkStart w:id="19"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18"/>
      <w:bookmarkEnd w:id="19"/>
    </w:p>
    <w:p w14:paraId="0AFC73A4">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94.39</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94.39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14:paraId="0752CA51">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 w:hAnsi="仿宋" w:eastAsia="仿宋"/>
          <w:color w:val="auto"/>
          <w:sz w:val="32"/>
          <w:szCs w:val="32"/>
          <w:highlight w:val="none"/>
          <w:shd w:val="pct10" w:color="auto" w:fill="FFFFFF"/>
          <w:lang w:eastAsia="zh-CN"/>
        </w:rPr>
        <w:drawing>
          <wp:anchor distT="0" distB="0" distL="114935" distR="114935" simplePos="0" relativeHeight="251661312" behindDoc="0" locked="0" layoutInCell="1" allowOverlap="1">
            <wp:simplePos x="0" y="0"/>
            <wp:positionH relativeFrom="column">
              <wp:posOffset>575945</wp:posOffset>
            </wp:positionH>
            <wp:positionV relativeFrom="page">
              <wp:posOffset>3734435</wp:posOffset>
            </wp:positionV>
            <wp:extent cx="2391410" cy="2008505"/>
            <wp:effectExtent l="4445" t="4445" r="23495" b="635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Times New Roman" w:hAnsi="Times New Roman" w:eastAsia="仿宋_GB2312" w:cs="仿宋_GB2312"/>
          <w:color w:val="auto"/>
          <w:sz w:val="32"/>
          <w:szCs w:val="32"/>
          <w:highlight w:val="none"/>
          <w:lang w:eastAsia="zh-CN"/>
        </w:rPr>
        <w:t>（图3：支出决算结构图）（饼状图）</w:t>
      </w:r>
    </w:p>
    <w:p w14:paraId="086B99D8">
      <w:pPr>
        <w:spacing w:line="600" w:lineRule="exact"/>
        <w:ind w:firstLine="640" w:firstLineChars="200"/>
        <w:outlineLvl w:val="1"/>
        <w:rPr>
          <w:rStyle w:val="30"/>
          <w:rFonts w:ascii="Times New Roman" w:hAnsi="Times New Roman" w:eastAsia="黑体"/>
          <w:b w:val="0"/>
          <w:color w:val="auto"/>
          <w:highlight w:val="none"/>
        </w:rPr>
      </w:pPr>
      <w:bookmarkStart w:id="20" w:name="_Toc15396606"/>
      <w:bookmarkStart w:id="21" w:name="_Toc15377208"/>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0"/>
      <w:bookmarkEnd w:id="21"/>
    </w:p>
    <w:p w14:paraId="18B39B1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94.39</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94.39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_GB2312" w:hAnsi="仿宋_GB2312" w:eastAsia="仿宋_GB2312" w:cs="仿宋_GB2312"/>
          <w:color w:val="auto"/>
          <w:kern w:val="0"/>
          <w:sz w:val="32"/>
          <w:szCs w:val="32"/>
          <w:lang w:eastAsia="zh-CN"/>
        </w:rPr>
        <w:t>我单位为2024年度新成立部门，无202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w:t>
      </w:r>
      <w:r>
        <w:rPr>
          <w:rFonts w:hint="eastAsia" w:ascii="Times New Roman" w:hAnsi="Times New Roman" w:eastAsia="仿宋_GB2312" w:cs="仿宋_GB2312"/>
          <w:color w:val="auto"/>
          <w:kern w:val="2"/>
          <w:sz w:val="32"/>
          <w:szCs w:val="32"/>
          <w:highlight w:val="none"/>
          <w:lang w:val="en-US" w:eastAsia="zh-CN" w:bidi="ar-SA"/>
        </w:rPr>
        <w:t>财政拨款</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eastAsia="仿宋_GB2312" w:cs="仿宋_GB2312"/>
          <w:color w:val="auto"/>
          <w:sz w:val="32"/>
          <w:szCs w:val="32"/>
          <w:highlight w:val="none"/>
          <w:lang w:val="en-US" w:eastAsia="zh-CN"/>
        </w:rPr>
        <w:t>数</w:t>
      </w:r>
      <w:r>
        <w:rPr>
          <w:rFonts w:hint="eastAsia" w:ascii="仿宋_GB2312" w:hAnsi="仿宋_GB2312" w:eastAsia="仿宋_GB2312" w:cs="仿宋_GB2312"/>
          <w:color w:val="auto"/>
          <w:kern w:val="0"/>
          <w:sz w:val="32"/>
          <w:szCs w:val="32"/>
        </w:rPr>
        <w:t>。</w:t>
      </w:r>
    </w:p>
    <w:p w14:paraId="168D38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2764E85">
      <w:pPr>
        <w:pStyle w:val="14"/>
        <w:rPr>
          <w:rFonts w:hint="eastAsia" w:ascii="Times New Roman" w:hAnsi="Times New Roman" w:eastAsia="仿宋_GB2312" w:cs="仿宋_GB2312"/>
          <w:color w:val="auto"/>
          <w:kern w:val="2"/>
          <w:sz w:val="32"/>
          <w:szCs w:val="32"/>
          <w:highlight w:val="none"/>
          <w:lang w:val="en-US" w:eastAsia="zh-CN" w:bidi="ar-SA"/>
        </w:rPr>
      </w:pPr>
    </w:p>
    <w:p w14:paraId="73489E3A">
      <w:pPr>
        <w:pStyle w:val="2"/>
        <w:rPr>
          <w:rFonts w:hint="eastAsia" w:ascii="Times New Roman" w:hAnsi="Times New Roman" w:eastAsia="仿宋_GB2312" w:cs="仿宋_GB2312"/>
          <w:color w:val="auto"/>
          <w:kern w:val="2"/>
          <w:sz w:val="32"/>
          <w:szCs w:val="32"/>
          <w:highlight w:val="none"/>
          <w:lang w:val="en-US" w:eastAsia="zh-CN" w:bidi="ar-SA"/>
        </w:rPr>
      </w:pPr>
    </w:p>
    <w:p w14:paraId="12A6BEA5">
      <w:pPr>
        <w:pStyle w:val="2"/>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lang w:eastAsia="zh-CN"/>
        </w:rPr>
        <w:drawing>
          <wp:inline distT="0" distB="0" distL="114300" distR="114300">
            <wp:extent cx="3769995" cy="2115185"/>
            <wp:effectExtent l="5080" t="4445" r="15875" b="1397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745ACF">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4CB98891">
      <w:pPr>
        <w:spacing w:line="600" w:lineRule="exact"/>
        <w:ind w:firstLine="640" w:firstLineChars="200"/>
        <w:outlineLvl w:val="1"/>
        <w:rPr>
          <w:rStyle w:val="30"/>
          <w:rFonts w:ascii="Times New Roman" w:hAnsi="Times New Roman" w:eastAsia="黑体"/>
          <w:b w:val="0"/>
          <w:color w:val="auto"/>
          <w:highlight w:val="none"/>
        </w:rPr>
      </w:pPr>
      <w:bookmarkStart w:id="22" w:name="_Toc15377209"/>
      <w:bookmarkStart w:id="23"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2"/>
      <w:bookmarkEnd w:id="23"/>
    </w:p>
    <w:p w14:paraId="57F3E88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14:paraId="73C1BF0B">
      <w:pPr>
        <w:spacing w:line="600" w:lineRule="exact"/>
        <w:ind w:firstLine="640"/>
        <w:rPr>
          <w:rFonts w:hint="eastAsia" w:eastAsia="仿宋_GB2312"/>
          <w:lang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94.39</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%。与2023年度相比，一般公共预算财政拨款支出增加94.39万元，增长100%。主要变动原因是</w:t>
      </w:r>
      <w:r>
        <w:rPr>
          <w:rFonts w:hint="eastAsia" w:ascii="仿宋_GB2312" w:hAnsi="仿宋_GB2312" w:eastAsia="仿宋_GB2312" w:cs="仿宋_GB2312"/>
          <w:color w:val="auto"/>
          <w:kern w:val="0"/>
          <w:sz w:val="32"/>
          <w:szCs w:val="32"/>
          <w:lang w:eastAsia="zh-CN"/>
        </w:rPr>
        <w:t>我单位为2024年度新成立部门，无202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2"/>
          <w:sz w:val="32"/>
          <w:szCs w:val="32"/>
          <w:highlight w:val="none"/>
          <w:lang w:val="en-US" w:eastAsia="zh-CN" w:bidi="ar-SA"/>
        </w:rPr>
        <w:t>度一般公共预算财政拨款支出</w:t>
      </w:r>
      <w:r>
        <w:rPr>
          <w:rFonts w:hint="eastAsia" w:eastAsia="仿宋_GB2312" w:cs="仿宋_GB2312"/>
          <w:color w:val="auto"/>
          <w:sz w:val="32"/>
          <w:szCs w:val="32"/>
          <w:highlight w:val="none"/>
          <w:lang w:val="en-US" w:eastAsia="zh-CN"/>
        </w:rPr>
        <w:t>数。</w:t>
      </w:r>
    </w:p>
    <w:p w14:paraId="1672116A">
      <w:pPr>
        <w:pStyle w:val="2"/>
        <w:rPr>
          <w:rFonts w:hint="eastAsia" w:eastAsia="仿宋_GB2312"/>
          <w:lang w:val="en-US" w:eastAsia="zh-CN"/>
        </w:rPr>
      </w:pPr>
      <w:r>
        <w:rPr>
          <w:rFonts w:hint="eastAsia" w:eastAsia="仿宋_GB2312"/>
          <w:lang w:eastAsia="zh-CN"/>
        </w:rPr>
        <w:drawing>
          <wp:inline distT="0" distB="0" distL="114300" distR="114300">
            <wp:extent cx="3769995" cy="2463165"/>
            <wp:effectExtent l="4445" t="4445" r="16510" b="889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14ACD8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4F95E92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14:paraId="094E8C3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94.39</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75.08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79.5</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11.01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11.7</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6.3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6.7</w:t>
      </w:r>
      <w:r>
        <w:rPr>
          <w:rFonts w:hint="eastAsia" w:ascii="Times New Roman" w:hAnsi="Times New Roman" w:eastAsia="仿宋_GB2312" w:cs="仿宋_GB2312"/>
          <w:color w:val="auto"/>
          <w:kern w:val="2"/>
          <w:sz w:val="32"/>
          <w:szCs w:val="32"/>
          <w:highlight w:val="none"/>
          <w:lang w:val="en-US" w:eastAsia="zh-CN" w:bidi="ar-SA"/>
        </w:rPr>
        <w:t>%。</w:t>
      </w:r>
    </w:p>
    <w:p w14:paraId="43DE5A1C">
      <w:pPr>
        <w:pStyle w:val="14"/>
        <w:rPr>
          <w:rFonts w:hint="default"/>
          <w:lang w:val="en-US" w:eastAsia="zh-CN"/>
        </w:rPr>
      </w:pPr>
      <w:r>
        <w:rPr>
          <w:rFonts w:hint="eastAsia" w:ascii="仿宋" w:hAnsi="仿宋" w:eastAsia="仿宋"/>
          <w:b/>
          <w:color w:val="auto"/>
          <w:sz w:val="32"/>
          <w:szCs w:val="32"/>
          <w:highlight w:val="none"/>
          <w:lang w:eastAsia="zh-CN"/>
        </w:rPr>
        <w:drawing>
          <wp:anchor distT="0" distB="0" distL="114935" distR="114935" simplePos="0" relativeHeight="251662336" behindDoc="0" locked="0" layoutInCell="1" allowOverlap="1">
            <wp:simplePos x="0" y="0"/>
            <wp:positionH relativeFrom="column">
              <wp:posOffset>711200</wp:posOffset>
            </wp:positionH>
            <wp:positionV relativeFrom="page">
              <wp:posOffset>2949575</wp:posOffset>
            </wp:positionV>
            <wp:extent cx="2787015" cy="2108835"/>
            <wp:effectExtent l="4445" t="4445" r="8890" b="20320"/>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632A2B0">
      <w:pPr>
        <w:pStyle w:val="14"/>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b/>
          <w:color w:val="auto"/>
          <w:sz w:val="32"/>
          <w:szCs w:val="32"/>
          <w:highlight w:val="none"/>
          <w:lang w:val="en-US" w:eastAsia="zh-CN"/>
        </w:rPr>
        <w:t xml:space="preserve">  </w:t>
      </w: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44CF79B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14:paraId="765FF42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7" w:name="_Toc15377444"/>
      <w:bookmarkStart w:id="28" w:name="_Toc15377213"/>
      <w:bookmarkStart w:id="29"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94.39</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14:paraId="69BCD970">
      <w:pPr>
        <w:spacing w:line="600" w:lineRule="exact"/>
        <w:ind w:firstLine="640"/>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一般公共服务（类）社会工作事务（款）行政运行（项）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53.8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决算数</w:t>
      </w:r>
      <w:r>
        <w:rPr>
          <w:rFonts w:hint="eastAsia" w:ascii="仿宋_GB2312" w:hAnsi="仿宋_GB2312" w:eastAsia="仿宋_GB2312"/>
          <w:color w:val="000000"/>
          <w:kern w:val="2"/>
          <w:sz w:val="32"/>
          <w:szCs w:val="24"/>
          <w:lang w:val="zh-CN" w:eastAsia="zh-CN"/>
        </w:rPr>
        <w:t>与</w:t>
      </w:r>
      <w:r>
        <w:rPr>
          <w:rFonts w:hint="eastAsia" w:ascii="仿宋_GB2312" w:hAnsi="仿宋_GB2312" w:eastAsia="仿宋_GB2312"/>
          <w:color w:val="000000"/>
          <w:kern w:val="2"/>
          <w:sz w:val="32"/>
          <w:szCs w:val="24"/>
          <w:lang w:val="zh-CN"/>
        </w:rPr>
        <w:t>预算数</w:t>
      </w:r>
      <w:r>
        <w:rPr>
          <w:rFonts w:hint="eastAsia" w:ascii="仿宋_GB2312" w:hAnsi="仿宋_GB2312" w:eastAsia="仿宋_GB2312"/>
          <w:color w:val="000000"/>
          <w:kern w:val="2"/>
          <w:sz w:val="32"/>
          <w:szCs w:val="24"/>
          <w:lang w:val="zh-CN" w:eastAsia="zh-CN"/>
        </w:rPr>
        <w:t>持平</w:t>
      </w:r>
      <w:r>
        <w:rPr>
          <w:rFonts w:hint="eastAsia" w:ascii="仿宋_GB2312" w:hAnsi="仿宋_GB2312" w:eastAsia="仿宋_GB2312"/>
          <w:color w:val="000000"/>
          <w:kern w:val="2"/>
          <w:sz w:val="32"/>
          <w:szCs w:val="24"/>
          <w:lang w:val="zh-CN"/>
        </w:rPr>
        <w:t>。</w:t>
      </w:r>
    </w:p>
    <w:p w14:paraId="441EEB1D">
      <w:pPr>
        <w:spacing w:line="600" w:lineRule="exact"/>
        <w:ind w:firstLine="640"/>
        <w:rPr>
          <w:rFonts w:hint="eastAsia"/>
          <w:lang w:val="zh-CN"/>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一般公共服务（类）社会工作事务（款）事业运行（项）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21.28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决算数</w:t>
      </w:r>
      <w:r>
        <w:rPr>
          <w:rFonts w:hint="eastAsia" w:ascii="仿宋_GB2312" w:hAnsi="仿宋_GB2312" w:eastAsia="仿宋_GB2312"/>
          <w:color w:val="000000"/>
          <w:kern w:val="2"/>
          <w:sz w:val="32"/>
          <w:szCs w:val="24"/>
          <w:lang w:val="zh-CN" w:eastAsia="zh-CN"/>
        </w:rPr>
        <w:t>与</w:t>
      </w:r>
      <w:r>
        <w:rPr>
          <w:rFonts w:hint="eastAsia" w:ascii="仿宋_GB2312" w:hAnsi="仿宋_GB2312" w:eastAsia="仿宋_GB2312"/>
          <w:color w:val="000000"/>
          <w:kern w:val="2"/>
          <w:sz w:val="32"/>
          <w:szCs w:val="24"/>
          <w:lang w:val="zh-CN"/>
        </w:rPr>
        <w:t>预算数</w:t>
      </w:r>
      <w:r>
        <w:rPr>
          <w:rFonts w:hint="eastAsia" w:ascii="仿宋_GB2312" w:hAnsi="仿宋_GB2312" w:eastAsia="仿宋_GB2312"/>
          <w:color w:val="000000"/>
          <w:kern w:val="2"/>
          <w:sz w:val="32"/>
          <w:szCs w:val="24"/>
          <w:lang w:val="zh-CN" w:eastAsia="zh-CN"/>
        </w:rPr>
        <w:t>持平</w:t>
      </w:r>
      <w:r>
        <w:rPr>
          <w:rFonts w:hint="eastAsia" w:ascii="仿宋_GB2312" w:hAnsi="仿宋_GB2312" w:eastAsia="仿宋_GB2312"/>
          <w:color w:val="000000"/>
          <w:kern w:val="2"/>
          <w:sz w:val="32"/>
          <w:szCs w:val="24"/>
          <w:lang w:val="zh-CN"/>
        </w:rPr>
        <w:t>。</w:t>
      </w:r>
    </w:p>
    <w:p w14:paraId="35065C47">
      <w:pPr>
        <w:spacing w:line="600" w:lineRule="exact"/>
        <w:ind w:firstLine="640"/>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color w:val="auto"/>
          <w:kern w:val="2"/>
          <w:sz w:val="32"/>
          <w:szCs w:val="32"/>
          <w:highlight w:val="none"/>
          <w:lang w:val="en-US" w:eastAsia="zh-CN" w:bidi="ar-SA"/>
        </w:rPr>
        <w:t>3.社会保障和就业（类）行政事业单位养老支出（款）机关事业单位基本养老保险缴费支出（项）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7.23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决算数</w:t>
      </w:r>
      <w:r>
        <w:rPr>
          <w:rFonts w:hint="eastAsia" w:ascii="仿宋_GB2312" w:hAnsi="仿宋_GB2312" w:eastAsia="仿宋_GB2312"/>
          <w:color w:val="000000"/>
          <w:kern w:val="2"/>
          <w:sz w:val="32"/>
          <w:szCs w:val="24"/>
          <w:lang w:val="zh-CN" w:eastAsia="zh-CN"/>
        </w:rPr>
        <w:t>与</w:t>
      </w:r>
      <w:r>
        <w:rPr>
          <w:rFonts w:hint="eastAsia" w:ascii="仿宋_GB2312" w:hAnsi="仿宋_GB2312" w:eastAsia="仿宋_GB2312"/>
          <w:color w:val="000000"/>
          <w:kern w:val="2"/>
          <w:sz w:val="32"/>
          <w:szCs w:val="24"/>
          <w:lang w:val="zh-CN"/>
        </w:rPr>
        <w:t>预算数</w:t>
      </w:r>
      <w:r>
        <w:rPr>
          <w:rFonts w:hint="eastAsia" w:ascii="仿宋_GB2312" w:hAnsi="仿宋_GB2312" w:eastAsia="仿宋_GB2312"/>
          <w:color w:val="000000"/>
          <w:kern w:val="2"/>
          <w:sz w:val="32"/>
          <w:szCs w:val="24"/>
          <w:lang w:val="zh-CN" w:eastAsia="zh-CN"/>
        </w:rPr>
        <w:t>持平</w:t>
      </w:r>
      <w:r>
        <w:rPr>
          <w:rFonts w:hint="eastAsia" w:ascii="仿宋_GB2312" w:hAnsi="仿宋_GB2312" w:eastAsia="仿宋_GB2312"/>
          <w:color w:val="000000"/>
          <w:kern w:val="2"/>
          <w:sz w:val="32"/>
          <w:szCs w:val="24"/>
          <w:lang w:val="zh-CN"/>
        </w:rPr>
        <w:t>。</w:t>
      </w:r>
    </w:p>
    <w:p w14:paraId="37AA5A46">
      <w:pPr>
        <w:spacing w:line="600" w:lineRule="exact"/>
        <w:ind w:firstLine="640"/>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color w:val="auto"/>
          <w:kern w:val="2"/>
          <w:sz w:val="32"/>
          <w:szCs w:val="32"/>
          <w:highlight w:val="none"/>
          <w:lang w:val="en-US" w:eastAsia="zh-CN" w:bidi="ar-SA"/>
        </w:rPr>
        <w:t>4.社会保障和就业（类）行政事业单位养老支出（款）机关事业单位职业年金缴费支出（项）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3.61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决算数</w:t>
      </w:r>
      <w:r>
        <w:rPr>
          <w:rFonts w:hint="eastAsia" w:ascii="仿宋_GB2312" w:hAnsi="仿宋_GB2312" w:eastAsia="仿宋_GB2312"/>
          <w:color w:val="000000"/>
          <w:kern w:val="2"/>
          <w:sz w:val="32"/>
          <w:szCs w:val="24"/>
          <w:lang w:val="zh-CN" w:eastAsia="zh-CN"/>
        </w:rPr>
        <w:t>与</w:t>
      </w:r>
      <w:r>
        <w:rPr>
          <w:rFonts w:hint="eastAsia" w:ascii="仿宋_GB2312" w:hAnsi="仿宋_GB2312" w:eastAsia="仿宋_GB2312"/>
          <w:color w:val="000000"/>
          <w:kern w:val="2"/>
          <w:sz w:val="32"/>
          <w:szCs w:val="24"/>
          <w:lang w:val="zh-CN"/>
        </w:rPr>
        <w:t>预算数</w:t>
      </w:r>
      <w:r>
        <w:rPr>
          <w:rFonts w:hint="eastAsia" w:ascii="仿宋_GB2312" w:hAnsi="仿宋_GB2312" w:eastAsia="仿宋_GB2312"/>
          <w:color w:val="000000"/>
          <w:kern w:val="2"/>
          <w:sz w:val="32"/>
          <w:szCs w:val="24"/>
          <w:lang w:val="zh-CN" w:eastAsia="zh-CN"/>
        </w:rPr>
        <w:t>持平</w:t>
      </w:r>
      <w:r>
        <w:rPr>
          <w:rFonts w:hint="eastAsia" w:ascii="仿宋_GB2312" w:hAnsi="仿宋_GB2312" w:eastAsia="仿宋_GB2312"/>
          <w:color w:val="000000"/>
          <w:kern w:val="2"/>
          <w:sz w:val="32"/>
          <w:szCs w:val="24"/>
          <w:lang w:val="zh-CN"/>
        </w:rPr>
        <w:t>。</w:t>
      </w:r>
    </w:p>
    <w:p w14:paraId="47394821">
      <w:pPr>
        <w:spacing w:line="600" w:lineRule="exact"/>
        <w:ind w:firstLine="640"/>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color w:val="auto"/>
          <w:kern w:val="2"/>
          <w:sz w:val="32"/>
          <w:szCs w:val="32"/>
          <w:highlight w:val="none"/>
          <w:lang w:val="en-US" w:eastAsia="zh-CN" w:bidi="ar-SA"/>
        </w:rPr>
        <w:t>5.社会保障和就业（类）其他社会保障和就业支出（款）其他社会保障和就业支出（项）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0.17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决算数</w:t>
      </w:r>
      <w:r>
        <w:rPr>
          <w:rFonts w:hint="eastAsia" w:ascii="仿宋_GB2312" w:hAnsi="仿宋_GB2312" w:eastAsia="仿宋_GB2312"/>
          <w:color w:val="000000"/>
          <w:kern w:val="2"/>
          <w:sz w:val="32"/>
          <w:szCs w:val="24"/>
          <w:lang w:val="zh-CN" w:eastAsia="zh-CN"/>
        </w:rPr>
        <w:t>与</w:t>
      </w:r>
      <w:r>
        <w:rPr>
          <w:rFonts w:hint="eastAsia" w:ascii="仿宋_GB2312" w:hAnsi="仿宋_GB2312" w:eastAsia="仿宋_GB2312"/>
          <w:color w:val="000000"/>
          <w:kern w:val="2"/>
          <w:sz w:val="32"/>
          <w:szCs w:val="24"/>
          <w:lang w:val="zh-CN"/>
        </w:rPr>
        <w:t>预算数</w:t>
      </w:r>
      <w:r>
        <w:rPr>
          <w:rFonts w:hint="eastAsia" w:ascii="仿宋_GB2312" w:hAnsi="仿宋_GB2312" w:eastAsia="仿宋_GB2312"/>
          <w:color w:val="000000"/>
          <w:kern w:val="2"/>
          <w:sz w:val="32"/>
          <w:szCs w:val="24"/>
          <w:lang w:val="zh-CN" w:eastAsia="zh-CN"/>
        </w:rPr>
        <w:t>持平</w:t>
      </w:r>
      <w:r>
        <w:rPr>
          <w:rFonts w:hint="eastAsia" w:ascii="仿宋_GB2312" w:hAnsi="仿宋_GB2312" w:eastAsia="仿宋_GB2312"/>
          <w:color w:val="000000"/>
          <w:kern w:val="2"/>
          <w:sz w:val="32"/>
          <w:szCs w:val="24"/>
          <w:lang w:val="zh-CN"/>
        </w:rPr>
        <w:t>。</w:t>
      </w:r>
    </w:p>
    <w:p w14:paraId="6E73C692">
      <w:pPr>
        <w:spacing w:line="600" w:lineRule="exact"/>
        <w:ind w:firstLine="640"/>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color w:val="auto"/>
          <w:kern w:val="2"/>
          <w:sz w:val="32"/>
          <w:szCs w:val="32"/>
          <w:highlight w:val="none"/>
          <w:lang w:val="en-US" w:eastAsia="zh-CN" w:bidi="ar-SA"/>
        </w:rPr>
        <w:t>6.卫生健康（类）行政事业单位医疗（款）行政单位医疗（项）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决算数</w:t>
      </w:r>
      <w:r>
        <w:rPr>
          <w:rFonts w:hint="eastAsia" w:ascii="仿宋_GB2312" w:hAnsi="仿宋_GB2312" w:eastAsia="仿宋_GB2312"/>
          <w:color w:val="000000"/>
          <w:kern w:val="2"/>
          <w:sz w:val="32"/>
          <w:szCs w:val="24"/>
          <w:lang w:val="zh-CN" w:eastAsia="zh-CN"/>
        </w:rPr>
        <w:t>与</w:t>
      </w:r>
      <w:r>
        <w:rPr>
          <w:rFonts w:hint="eastAsia" w:ascii="仿宋_GB2312" w:hAnsi="仿宋_GB2312" w:eastAsia="仿宋_GB2312"/>
          <w:color w:val="000000"/>
          <w:kern w:val="2"/>
          <w:sz w:val="32"/>
          <w:szCs w:val="24"/>
          <w:lang w:val="zh-CN"/>
        </w:rPr>
        <w:t>预算数</w:t>
      </w:r>
      <w:r>
        <w:rPr>
          <w:rFonts w:hint="eastAsia" w:ascii="仿宋_GB2312" w:hAnsi="仿宋_GB2312" w:eastAsia="仿宋_GB2312"/>
          <w:color w:val="000000"/>
          <w:kern w:val="2"/>
          <w:sz w:val="32"/>
          <w:szCs w:val="24"/>
          <w:lang w:val="zh-CN" w:eastAsia="zh-CN"/>
        </w:rPr>
        <w:t>持平</w:t>
      </w:r>
      <w:r>
        <w:rPr>
          <w:rFonts w:hint="eastAsia" w:ascii="仿宋_GB2312" w:hAnsi="仿宋_GB2312" w:eastAsia="仿宋_GB2312"/>
          <w:color w:val="000000"/>
          <w:kern w:val="2"/>
          <w:sz w:val="32"/>
          <w:szCs w:val="24"/>
          <w:lang w:val="zh-CN"/>
        </w:rPr>
        <w:t>。</w:t>
      </w:r>
    </w:p>
    <w:p w14:paraId="6A166238">
      <w:pPr>
        <w:tabs>
          <w:tab w:val="right" w:pos="8306"/>
        </w:tabs>
        <w:spacing w:line="600" w:lineRule="exact"/>
        <w:ind w:firstLine="640"/>
        <w:outlineLvl w:val="1"/>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color w:val="auto"/>
          <w:kern w:val="2"/>
          <w:sz w:val="32"/>
          <w:szCs w:val="32"/>
          <w:highlight w:val="none"/>
          <w:lang w:val="en-US" w:eastAsia="zh-CN" w:bidi="ar-SA"/>
        </w:rPr>
        <w:t>7.住房保障支出（类）住房改革支出（款）住房公积金（项）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决算数</w:t>
      </w:r>
      <w:r>
        <w:rPr>
          <w:rFonts w:hint="eastAsia" w:ascii="仿宋_GB2312" w:hAnsi="仿宋_GB2312" w:eastAsia="仿宋_GB2312"/>
          <w:color w:val="000000"/>
          <w:kern w:val="2"/>
          <w:sz w:val="32"/>
          <w:szCs w:val="24"/>
          <w:lang w:val="zh-CN" w:eastAsia="zh-CN"/>
        </w:rPr>
        <w:t>与</w:t>
      </w:r>
      <w:r>
        <w:rPr>
          <w:rFonts w:hint="eastAsia" w:ascii="仿宋_GB2312" w:hAnsi="仿宋_GB2312" w:eastAsia="仿宋_GB2312"/>
          <w:color w:val="000000"/>
          <w:kern w:val="2"/>
          <w:sz w:val="32"/>
          <w:szCs w:val="24"/>
          <w:lang w:val="zh-CN"/>
        </w:rPr>
        <w:t>预算数</w:t>
      </w:r>
      <w:r>
        <w:rPr>
          <w:rFonts w:hint="eastAsia" w:ascii="仿宋_GB2312" w:hAnsi="仿宋_GB2312" w:eastAsia="仿宋_GB2312"/>
          <w:color w:val="000000"/>
          <w:kern w:val="2"/>
          <w:sz w:val="32"/>
          <w:szCs w:val="24"/>
          <w:lang w:val="zh-CN" w:eastAsia="zh-CN"/>
        </w:rPr>
        <w:t>持平</w:t>
      </w:r>
      <w:r>
        <w:rPr>
          <w:rFonts w:hint="eastAsia" w:ascii="仿宋_GB2312" w:hAnsi="仿宋_GB2312" w:eastAsia="仿宋_GB2312"/>
          <w:color w:val="000000"/>
          <w:kern w:val="2"/>
          <w:sz w:val="32"/>
          <w:szCs w:val="24"/>
          <w:lang w:val="zh-CN"/>
        </w:rPr>
        <w:t>。</w:t>
      </w:r>
      <w:bookmarkStart w:id="30" w:name="_Toc15396608"/>
      <w:bookmarkStart w:id="31" w:name="_Toc15377214"/>
    </w:p>
    <w:p w14:paraId="694E4FC7">
      <w:pPr>
        <w:tabs>
          <w:tab w:val="right" w:pos="8306"/>
        </w:tabs>
        <w:spacing w:line="600" w:lineRule="exact"/>
        <w:ind w:firstLine="640"/>
        <w:outlineLvl w:val="1"/>
        <w:rPr>
          <w:rStyle w:val="30"/>
          <w:rFonts w:ascii="Times New Roman" w:hAnsi="Times New Roman"/>
          <w:color w:val="auto"/>
          <w:highlight w:val="none"/>
        </w:rPr>
      </w:pPr>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0"/>
      <w:bookmarkEnd w:id="31"/>
      <w:r>
        <w:rPr>
          <w:rStyle w:val="30"/>
          <w:rFonts w:ascii="Times New Roman" w:hAnsi="Times New Roman" w:eastAsia="黑体"/>
          <w:b w:val="0"/>
          <w:color w:val="auto"/>
          <w:highlight w:val="none"/>
        </w:rPr>
        <w:tab/>
      </w:r>
    </w:p>
    <w:p w14:paraId="4A20AB2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94.39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1359856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73.56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元，主要包括：基本工资、津贴补贴、奖金、伙食补助费、绩效工资、机关事业单位基本养老保险缴费、职业年金缴费、职工基本医疗保险缴费</w:t>
      </w:r>
      <w:r>
        <w:rPr>
          <w:rFonts w:hint="eastAsia" w:eastAsia="仿宋_GB2312" w:cs="仿宋_GB2312"/>
          <w:color w:val="auto"/>
          <w:kern w:val="2"/>
          <w:sz w:val="32"/>
          <w:szCs w:val="32"/>
          <w:highlight w:val="none"/>
          <w:lang w:val="en-US" w:eastAsia="zh-CN" w:bidi="ar-SA"/>
        </w:rPr>
        <w:t>、公务员医疗补助缴费、</w:t>
      </w:r>
      <w:r>
        <w:rPr>
          <w:rFonts w:hint="eastAsia" w:ascii="Times New Roman" w:hAnsi="Times New Roman" w:eastAsia="仿宋_GB2312" w:cs="仿宋_GB2312"/>
          <w:color w:val="auto"/>
          <w:kern w:val="2"/>
          <w:sz w:val="32"/>
          <w:szCs w:val="32"/>
          <w:highlight w:val="none"/>
          <w:lang w:val="en-US" w:eastAsia="zh-CN" w:bidi="ar-SA"/>
        </w:rPr>
        <w:t>住房公积金。</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20.84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元，主要包括：办公费、邮电费、差旅费、劳务费、工会经费、福利费、其他交通费。</w:t>
      </w:r>
    </w:p>
    <w:p w14:paraId="354A6EDB">
      <w:pPr>
        <w:spacing w:line="600" w:lineRule="exact"/>
        <w:ind w:firstLine="640"/>
        <w:outlineLvl w:val="1"/>
        <w:rPr>
          <w:rStyle w:val="30"/>
          <w:rFonts w:ascii="Times New Roman" w:hAnsi="Times New Roman" w:eastAsia="黑体"/>
          <w:b w:val="0"/>
          <w:color w:val="auto"/>
          <w:highlight w:val="none"/>
        </w:rPr>
      </w:pPr>
      <w:bookmarkStart w:id="32" w:name="_Toc15377215"/>
      <w:bookmarkStart w:id="33" w:name="_Toc15396609"/>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2"/>
      <w:bookmarkEnd w:id="33"/>
    </w:p>
    <w:p w14:paraId="1F51564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14:paraId="6D5B6709">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14:paraId="55F3C14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14:paraId="1A5A486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14:paraId="67FB196D">
      <w:pPr>
        <w:pStyle w:val="2"/>
        <w:rPr>
          <w:rFonts w:hint="eastAsia"/>
          <w:lang w:val="en-US" w:eastAsia="zh-CN"/>
        </w:rPr>
      </w:pPr>
      <w:r>
        <w:rPr>
          <w:rFonts w:hint="eastAsia" w:ascii="仿宋_GB2312" w:hAnsi="仿宋_GB2312" w:eastAsia="仿宋_GB2312"/>
          <w:color w:val="000000"/>
          <w:kern w:val="2"/>
          <w:sz w:val="32"/>
          <w:szCs w:val="24"/>
          <w:lang w:val="zh-CN"/>
        </w:rPr>
        <w:drawing>
          <wp:inline distT="0" distB="0" distL="114300" distR="114300">
            <wp:extent cx="3104515" cy="2256155"/>
            <wp:effectExtent l="4445" t="5080" r="15240" b="571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7F0F5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050B78B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。因公出国（境）支出决算比2023年增加0万元，增长0%。主要原因是</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color w:val="auto"/>
          <w:kern w:val="2"/>
          <w:sz w:val="32"/>
          <w:szCs w:val="32"/>
          <w:highlight w:val="none"/>
          <w:lang w:val="en-US" w:eastAsia="zh-CN" w:bidi="ar-SA"/>
        </w:rPr>
        <w:t>因公出国（境）支出。</w:t>
      </w:r>
    </w:p>
    <w:p w14:paraId="7E04ED73">
      <w:pPr>
        <w:spacing w:line="600" w:lineRule="exact"/>
        <w:ind w:firstLine="640"/>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开支内容包括：无</w:t>
      </w:r>
    </w:p>
    <w:p w14:paraId="1352931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44900CA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2AF8DAC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w:t>
      </w:r>
    </w:p>
    <w:p w14:paraId="028E703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09C5644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36" w:name="_Toc15396610"/>
      <w:bookmarkStart w:id="37" w:name="_Toc15377218"/>
    </w:p>
    <w:p w14:paraId="4133C24E">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36"/>
      <w:bookmarkEnd w:id="37"/>
    </w:p>
    <w:p w14:paraId="10E5611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2024年度政府性基金预算财政拨款支出0万元，占本年支出合计的0%。与2023年度相比，政府性基金预算财政拨款支出持平。</w:t>
      </w:r>
      <w:bookmarkStart w:id="38" w:name="_Toc15396611"/>
      <w:bookmarkStart w:id="39" w:name="_Toc15377219"/>
    </w:p>
    <w:p w14:paraId="1C0270DF">
      <w:pPr>
        <w:numPr>
          <w:ilvl w:val="0"/>
          <w:numId w:val="0"/>
        </w:numPr>
        <w:spacing w:line="600" w:lineRule="exact"/>
        <w:ind w:left="630" w:leftChars="0"/>
        <w:outlineLvl w:val="1"/>
        <w:rPr>
          <w:rStyle w:val="30"/>
          <w:rFonts w:ascii="Times New Roman" w:hAnsi="Times New Roman" w:eastAsia="黑体"/>
          <w:b w:val="0"/>
          <w:color w:val="auto"/>
          <w:highlight w:val="none"/>
        </w:rPr>
      </w:pPr>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38"/>
      <w:bookmarkEnd w:id="39"/>
    </w:p>
    <w:p w14:paraId="6E949A5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eastAsia="仿宋_GB2312" w:cs="仿宋_GB2312"/>
          <w:color w:val="auto"/>
          <w:kern w:val="2"/>
          <w:sz w:val="32"/>
          <w:szCs w:val="32"/>
          <w:highlight w:val="none"/>
          <w:lang w:val="en-US" w:eastAsia="zh-CN" w:bidi="ar-SA"/>
        </w:rPr>
        <w:t>持平。</w:t>
      </w:r>
    </w:p>
    <w:p w14:paraId="74D000E8">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40" w:name="_Toc15396612"/>
      <w:bookmarkStart w:id="41" w:name="_Toc15377221"/>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0"/>
      <w:bookmarkEnd w:id="41"/>
    </w:p>
    <w:p w14:paraId="73585E1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14:paraId="39CCCD9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中共峨边彝族自治县委社会工作部</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20.84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20.84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hAnsi="仿宋_GB2312" w:eastAsia="仿宋_GB2312" w:cs="仿宋_GB2312"/>
          <w:color w:val="auto"/>
          <w:kern w:val="0"/>
          <w:sz w:val="32"/>
          <w:szCs w:val="32"/>
          <w:lang w:eastAsia="zh-CN"/>
        </w:rPr>
        <w:t>2024年度新成立部门，无202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2"/>
          <w:sz w:val="32"/>
          <w:szCs w:val="32"/>
          <w:highlight w:val="none"/>
          <w:lang w:val="en-US" w:eastAsia="zh-CN" w:bidi="ar-SA"/>
        </w:rPr>
        <w:t>度机关运行经费</w:t>
      </w:r>
      <w:r>
        <w:rPr>
          <w:rFonts w:hint="eastAsia" w:eastAsia="仿宋_GB2312" w:cs="仿宋_GB2312"/>
          <w:color w:val="auto"/>
          <w:sz w:val="32"/>
          <w:szCs w:val="32"/>
          <w:highlight w:val="none"/>
          <w:lang w:val="en-US" w:eastAsia="zh-CN"/>
        </w:rPr>
        <w:t>。</w:t>
      </w:r>
    </w:p>
    <w:p w14:paraId="2FB0F1A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14:paraId="5B239FF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中共峨边彝族自治县委社会工作部</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27D3D6C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14:paraId="5830F25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中共峨边彝族自治县委社会工作部</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4FA2548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5D1F202">
      <w:pPr>
        <w:spacing w:line="600" w:lineRule="exact"/>
        <w:ind w:firstLine="640"/>
        <w:rPr>
          <w:rFonts w:hint="eastAsia" w:eastAsia="仿宋_GB2312" w:cs="仿宋_GB2312"/>
          <w:color w:val="auto"/>
          <w:kern w:val="2"/>
          <w:sz w:val="32"/>
          <w:szCs w:val="32"/>
          <w:highlight w:val="none"/>
          <w:lang w:val="en-US" w:eastAsia="zh-CN" w:bidi="ar-SA"/>
        </w:rPr>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pPr>
      <w:r>
        <w:rPr>
          <w:rFonts w:hint="eastAsia" w:eastAsia="仿宋_GB2312" w:cs="仿宋_GB2312"/>
          <w:color w:val="auto"/>
          <w:kern w:val="2"/>
          <w:sz w:val="32"/>
          <w:szCs w:val="32"/>
          <w:highlight w:val="none"/>
          <w:lang w:val="en-US" w:eastAsia="zh-CN" w:bidi="ar-SA"/>
        </w:rPr>
        <w:t>我单位</w:t>
      </w:r>
      <w:r>
        <w:rPr>
          <w:rFonts w:hint="eastAsia" w:ascii="Times New Roman" w:hAnsi="Times New Roman" w:eastAsia="仿宋_GB2312" w:cs="仿宋_GB2312"/>
          <w:color w:val="auto"/>
          <w:kern w:val="2"/>
          <w:sz w:val="32"/>
          <w:szCs w:val="32"/>
          <w:highlight w:val="none"/>
          <w:lang w:val="en-US" w:eastAsia="zh-CN" w:bidi="ar-SA"/>
        </w:rPr>
        <w:t>2024年</w:t>
      </w:r>
      <w:r>
        <w:rPr>
          <w:rFonts w:hint="eastAsia" w:eastAsia="仿宋_GB2312" w:cs="仿宋_GB2312"/>
          <w:color w:val="auto"/>
          <w:kern w:val="2"/>
          <w:sz w:val="32"/>
          <w:szCs w:val="32"/>
          <w:highlight w:val="none"/>
          <w:lang w:val="en-US" w:eastAsia="zh-CN" w:bidi="ar-SA"/>
        </w:rPr>
        <w:t>5月挂牌成立，2024年度无</w:t>
      </w:r>
      <w:r>
        <w:rPr>
          <w:rFonts w:hint="eastAsia" w:ascii="Times New Roman" w:hAnsi="Times New Roman" w:eastAsia="仿宋_GB2312" w:cs="仿宋_GB2312"/>
          <w:color w:val="auto"/>
          <w:kern w:val="2"/>
          <w:sz w:val="32"/>
          <w:szCs w:val="32"/>
          <w:highlight w:val="none"/>
          <w:lang w:val="en-US" w:eastAsia="zh-CN" w:bidi="ar-SA"/>
        </w:rPr>
        <w:t>项目</w:t>
      </w:r>
      <w:r>
        <w:rPr>
          <w:rFonts w:hint="eastAsia" w:eastAsia="仿宋_GB2312" w:cs="仿宋_GB2312"/>
          <w:color w:val="auto"/>
          <w:kern w:val="2"/>
          <w:sz w:val="32"/>
          <w:szCs w:val="32"/>
          <w:highlight w:val="none"/>
          <w:lang w:val="en-US" w:eastAsia="zh-CN" w:bidi="ar-SA"/>
        </w:rPr>
        <w:t>预算。</w:t>
      </w:r>
    </w:p>
    <w:p w14:paraId="72F934B8">
      <w:pPr>
        <w:pStyle w:val="2"/>
        <w:rPr>
          <w:rFonts w:hint="eastAsia"/>
          <w:lang w:val="en-US" w:eastAsia="zh-CN"/>
        </w:rPr>
      </w:pPr>
    </w:p>
    <w:p w14:paraId="26E677A4">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5" w:name="_Toc15377225"/>
      <w:bookmarkStart w:id="46"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14:paraId="67920464">
      <w:pPr>
        <w:spacing w:line="600" w:lineRule="exact"/>
        <w:jc w:val="left"/>
        <w:rPr>
          <w:rFonts w:ascii="Times New Roman" w:hAnsi="Times New Roman"/>
          <w:b/>
          <w:color w:val="auto"/>
          <w:sz w:val="44"/>
          <w:szCs w:val="44"/>
          <w:highlight w:val="none"/>
        </w:rPr>
      </w:pPr>
    </w:p>
    <w:p w14:paraId="2E4DF65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6076A4F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337FE7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5F6C0DF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14:paraId="529F7D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2F8B56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3671A48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2D267C4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4F375874">
      <w:pPr>
        <w:pStyle w:val="14"/>
        <w:rPr>
          <w:rFonts w:hint="eastAsia" w:ascii="Times New Roman" w:hAnsi="Times New Roman" w:eastAsia="仿宋_GB2312" w:cs="仿宋_GB2312"/>
          <w:color w:val="auto"/>
          <w:kern w:val="2"/>
          <w:sz w:val="32"/>
          <w:szCs w:val="32"/>
          <w:highlight w:val="none"/>
          <w:lang w:val="en-US" w:eastAsia="zh-CN" w:bidi="ar-SA"/>
        </w:rPr>
      </w:pPr>
    </w:p>
    <w:p w14:paraId="606CE1A8">
      <w:pPr>
        <w:pStyle w:val="2"/>
        <w:rPr>
          <w:rFonts w:hint="eastAsia" w:ascii="Times New Roman" w:hAnsi="Times New Roman" w:eastAsia="仿宋_GB2312" w:cs="仿宋_GB2312"/>
          <w:color w:val="auto"/>
          <w:kern w:val="2"/>
          <w:sz w:val="32"/>
          <w:szCs w:val="32"/>
          <w:highlight w:val="none"/>
          <w:lang w:val="en-US" w:eastAsia="zh-CN" w:bidi="ar-SA"/>
        </w:rPr>
      </w:pPr>
    </w:p>
    <w:p w14:paraId="02C75161">
      <w:pPr>
        <w:pStyle w:val="2"/>
        <w:rPr>
          <w:rFonts w:hint="eastAsia" w:ascii="Times New Roman" w:hAnsi="Times New Roman" w:eastAsia="仿宋_GB2312" w:cs="仿宋_GB2312"/>
          <w:color w:val="auto"/>
          <w:kern w:val="2"/>
          <w:sz w:val="32"/>
          <w:szCs w:val="32"/>
          <w:highlight w:val="none"/>
          <w:lang w:val="en-US" w:eastAsia="zh-CN" w:bidi="ar-SA"/>
        </w:rPr>
      </w:pPr>
    </w:p>
    <w:p w14:paraId="14EF68CA">
      <w:pPr>
        <w:pStyle w:val="2"/>
        <w:rPr>
          <w:rFonts w:hint="eastAsia" w:ascii="Times New Roman" w:hAnsi="Times New Roman" w:eastAsia="仿宋_GB2312" w:cs="仿宋_GB2312"/>
          <w:color w:val="auto"/>
          <w:kern w:val="2"/>
          <w:sz w:val="32"/>
          <w:szCs w:val="32"/>
          <w:highlight w:val="none"/>
          <w:lang w:val="en-US" w:eastAsia="zh-CN" w:bidi="ar-SA"/>
        </w:rPr>
      </w:pPr>
    </w:p>
    <w:p w14:paraId="41DB01E6">
      <w:pPr>
        <w:spacing w:line="600" w:lineRule="exact"/>
        <w:ind w:firstLine="640"/>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color w:val="auto"/>
          <w:kern w:val="2"/>
          <w:sz w:val="32"/>
          <w:szCs w:val="32"/>
          <w:highlight w:val="none"/>
          <w:lang w:val="en-US" w:eastAsia="zh-CN" w:bidi="ar-SA"/>
        </w:rPr>
        <w:t>9</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一般公共服务（类）社会工作事务（款）行政运行（项）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指行政单位的基本支出</w:t>
      </w:r>
      <w:r>
        <w:rPr>
          <w:rFonts w:hint="eastAsia" w:ascii="仿宋_GB2312" w:hAnsi="仿宋_GB2312" w:eastAsia="仿宋_GB2312"/>
          <w:color w:val="000000"/>
          <w:kern w:val="2"/>
          <w:sz w:val="32"/>
          <w:szCs w:val="24"/>
          <w:lang w:val="zh-CN"/>
        </w:rPr>
        <w:t>。</w:t>
      </w:r>
    </w:p>
    <w:p w14:paraId="6384DB52">
      <w:pPr>
        <w:spacing w:line="600" w:lineRule="exact"/>
        <w:ind w:firstLine="640"/>
        <w:rPr>
          <w:rFonts w:hint="eastAsia"/>
          <w:lang w:val="zh-CN"/>
        </w:rPr>
      </w:pPr>
      <w:r>
        <w:rPr>
          <w:rFonts w:hint="eastAsia" w:ascii="Times New Roman" w:hAnsi="Times New Roman" w:eastAsia="仿宋_GB2312" w:cs="仿宋_GB2312"/>
          <w:color w:val="auto"/>
          <w:kern w:val="2"/>
          <w:sz w:val="32"/>
          <w:szCs w:val="32"/>
          <w:highlight w:val="none"/>
          <w:lang w:val="en-US" w:eastAsia="zh-CN" w:bidi="ar-SA"/>
        </w:rPr>
        <w:t>10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一般公共服务（类）社会工作事务（款）事业运行（项）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指事业单位的基本支出。</w:t>
      </w:r>
    </w:p>
    <w:p w14:paraId="40E768A4">
      <w:pPr>
        <w:spacing w:line="600" w:lineRule="exact"/>
        <w:ind w:firstLine="640"/>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color w:val="auto"/>
          <w:kern w:val="2"/>
          <w:sz w:val="32"/>
          <w:szCs w:val="32"/>
          <w:highlight w:val="none"/>
          <w:lang w:val="en-US" w:eastAsia="zh-CN" w:bidi="ar-SA"/>
        </w:rPr>
        <w:t>11.社会保障和就业（类）行政事业单位养老支出（款）机关事业单位基本养老保险缴费支出（项）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仿宋_GB2312" w:eastAsia="仿宋_GB2312"/>
          <w:color w:val="auto"/>
          <w:sz w:val="32"/>
          <w:szCs w:val="32"/>
          <w:highlight w:val="none"/>
          <w:lang w:val="en-US" w:eastAsia="zh-CN"/>
        </w:rPr>
        <w:t>指机关事业单位实施养老保险制度由单位缴纳的基本养老保险费支出</w:t>
      </w:r>
      <w:r>
        <w:rPr>
          <w:rFonts w:hint="eastAsia" w:ascii="仿宋_GB2312" w:hAnsi="仿宋_GB2312" w:eastAsia="仿宋_GB2312"/>
          <w:color w:val="000000"/>
          <w:kern w:val="2"/>
          <w:sz w:val="32"/>
          <w:szCs w:val="24"/>
          <w:lang w:val="zh-CN"/>
        </w:rPr>
        <w:t>。</w:t>
      </w:r>
    </w:p>
    <w:p w14:paraId="3458DF84">
      <w:pPr>
        <w:spacing w:line="600" w:lineRule="exact"/>
        <w:ind w:firstLine="640"/>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color w:val="auto"/>
          <w:kern w:val="2"/>
          <w:sz w:val="32"/>
          <w:szCs w:val="32"/>
          <w:highlight w:val="none"/>
          <w:lang w:val="en-US" w:eastAsia="zh-CN" w:bidi="ar-SA"/>
        </w:rPr>
        <w:t>12.社会保障和就业（类）行政事业单位养老支出（款）机关事业单位职业年金缴费支出（项）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仿宋_GB2312" w:eastAsia="仿宋_GB2312"/>
          <w:color w:val="auto"/>
          <w:sz w:val="32"/>
          <w:szCs w:val="32"/>
          <w:highlight w:val="none"/>
          <w:lang w:val="en-US" w:eastAsia="zh-CN"/>
        </w:rPr>
        <w:t>指机关事业单位实施养老保险制度由单位实际缴纳的职业年金支出。</w:t>
      </w:r>
    </w:p>
    <w:p w14:paraId="538FD749">
      <w:pPr>
        <w:ind w:firstLine="640" w:firstLineChars="200"/>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color w:val="auto"/>
          <w:kern w:val="2"/>
          <w:sz w:val="32"/>
          <w:szCs w:val="32"/>
          <w:highlight w:val="none"/>
          <w:lang w:val="en-US" w:eastAsia="zh-CN" w:bidi="ar-SA"/>
        </w:rPr>
        <w:t>13.社会保障和就业（类）其他社会保障和就业支出（款）其他社会保障和就业支出（项）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仿宋_GB2312" w:eastAsia="仿宋_GB2312"/>
          <w:color w:val="auto"/>
          <w:sz w:val="32"/>
          <w:szCs w:val="32"/>
          <w:highlight w:val="none"/>
          <w:lang w:val="en-US" w:eastAsia="zh-CN"/>
        </w:rPr>
        <w:t>指除上述项目以外其他用于社会保障和就业方面的支出</w:t>
      </w:r>
      <w:r>
        <w:rPr>
          <w:rFonts w:hint="eastAsia" w:ascii="仿宋_GB2312" w:eastAsia="仿宋_GB2312"/>
          <w:color w:val="auto"/>
          <w:sz w:val="32"/>
          <w:szCs w:val="32"/>
          <w:highlight w:val="none"/>
        </w:rPr>
        <w:t>。</w:t>
      </w:r>
    </w:p>
    <w:p w14:paraId="6EED67A7">
      <w:pPr>
        <w:spacing w:line="600" w:lineRule="exact"/>
        <w:ind w:firstLine="640"/>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color w:val="auto"/>
          <w:kern w:val="2"/>
          <w:sz w:val="32"/>
          <w:szCs w:val="32"/>
          <w:highlight w:val="none"/>
          <w:lang w:val="en-US" w:eastAsia="zh-CN" w:bidi="ar-SA"/>
        </w:rPr>
        <w:t>14.卫生健康（类）行政事业单位医疗（款）行政单位医疗（项）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仿宋_GB2312" w:eastAsia="仿宋_GB2312"/>
          <w:color w:val="auto"/>
          <w:sz w:val="32"/>
          <w:szCs w:val="32"/>
          <w:highlight w:val="none"/>
          <w:lang w:val="en-US" w:eastAsia="zh-CN"/>
        </w:rPr>
        <w:t>指财政部门集中安排的行政单位基本医疗缴费经费，未参加医疗保险的行政单位的公费医疗经费，按照国家规定享受离退休人员、红军老战士待遇人员的医疗经费。</w:t>
      </w:r>
    </w:p>
    <w:p w14:paraId="7D8A23A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仿宋_GB2312" w:eastAsia="仿宋_GB2312"/>
          <w:color w:val="auto"/>
          <w:sz w:val="32"/>
          <w:szCs w:val="32"/>
          <w:highlight w:val="none"/>
          <w:lang w:val="en-US" w:eastAsia="zh-CN"/>
        </w:rPr>
        <w:t>指反映行政事业单位按人力资源和社会保障部、财政部规定基本工资和津贴以及规定比例为职工缴纳的住房公积金</w:t>
      </w:r>
      <w:r>
        <w:rPr>
          <w:rFonts w:hint="eastAsia" w:ascii="仿宋_GB2312" w:eastAsia="仿宋_GB2312"/>
          <w:color w:val="auto"/>
          <w:sz w:val="32"/>
          <w:szCs w:val="32"/>
          <w:highlight w:val="none"/>
        </w:rPr>
        <w:t>。</w:t>
      </w:r>
    </w:p>
    <w:p w14:paraId="1598B9D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0B1371B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30AACC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47955F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3DC4C7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20.机关运行经费：为保障行政单位（含参照公务员法管理的事业单位）运行用于购买货物和服务的各项资金，包括办公费、邮电费、差旅费、劳务费、工会费、福利费、其他交通费用。</w:t>
      </w:r>
      <w:bookmarkStart w:id="47" w:name="_Toc15396614"/>
      <w:bookmarkStart w:id="48" w:name="_Toc15377226"/>
    </w:p>
    <w:p w14:paraId="73AC5051">
      <w:pP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br w:type="page"/>
      </w:r>
    </w:p>
    <w:p w14:paraId="4505D700">
      <w:pPr>
        <w:spacing w:line="600" w:lineRule="exact"/>
        <w:jc w:val="center"/>
        <w:rPr>
          <w:rStyle w:val="29"/>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7"/>
    </w:p>
    <w:p w14:paraId="7EBE10DF">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40743CC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both"/>
        <w:textAlignment w:val="auto"/>
        <w:outlineLvl w:val="9"/>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我单位</w:t>
      </w:r>
      <w:r>
        <w:rPr>
          <w:rFonts w:hint="eastAsia" w:ascii="Times New Roman" w:hAnsi="Times New Roman" w:eastAsia="仿宋_GB2312" w:cs="仿宋_GB2312"/>
          <w:color w:val="auto"/>
          <w:kern w:val="2"/>
          <w:sz w:val="32"/>
          <w:szCs w:val="32"/>
          <w:highlight w:val="none"/>
          <w:lang w:val="en-US" w:eastAsia="zh-CN" w:bidi="ar-SA"/>
        </w:rPr>
        <w:t>2024年</w:t>
      </w:r>
      <w:r>
        <w:rPr>
          <w:rFonts w:hint="eastAsia" w:eastAsia="仿宋_GB2312" w:cs="仿宋_GB2312"/>
          <w:color w:val="auto"/>
          <w:kern w:val="2"/>
          <w:sz w:val="32"/>
          <w:szCs w:val="32"/>
          <w:highlight w:val="none"/>
          <w:lang w:val="en-US" w:eastAsia="zh-CN" w:bidi="ar-SA"/>
        </w:rPr>
        <w:t>5月挂牌成立，2024年度无预算</w:t>
      </w:r>
      <w:r>
        <w:rPr>
          <w:rFonts w:hint="eastAsia" w:ascii="Times New Roman" w:hAnsi="Times New Roman" w:eastAsia="仿宋_GB2312" w:cs="仿宋_GB2312"/>
          <w:color w:val="auto"/>
          <w:kern w:val="2"/>
          <w:sz w:val="32"/>
          <w:szCs w:val="32"/>
          <w:highlight w:val="none"/>
          <w:lang w:val="en-US" w:eastAsia="zh-CN" w:bidi="ar-SA"/>
        </w:rPr>
        <w:t>项目</w:t>
      </w:r>
      <w:r>
        <w:rPr>
          <w:rFonts w:hint="eastAsia" w:eastAsia="仿宋_GB2312" w:cs="仿宋_GB2312"/>
          <w:color w:val="auto"/>
          <w:kern w:val="2"/>
          <w:sz w:val="32"/>
          <w:szCs w:val="32"/>
          <w:highlight w:val="none"/>
          <w:lang w:val="en-US" w:eastAsia="zh-CN" w:bidi="ar-SA"/>
        </w:rPr>
        <w:t>，故无</w:t>
      </w:r>
      <w:r>
        <w:rPr>
          <w:rFonts w:hint="eastAsia" w:ascii="Times New Roman" w:hAnsi="Times New Roman" w:eastAsia="仿宋_GB2312" w:cs="Times New Roman"/>
          <w:kern w:val="2"/>
          <w:sz w:val="32"/>
          <w:szCs w:val="32"/>
          <w:u w:val="none"/>
          <w:lang w:val="en-US" w:eastAsia="zh-CN" w:bidi="ar"/>
        </w:rPr>
        <w:t>2024年度部门预算项目支出绩效自评表</w:t>
      </w:r>
      <w:r>
        <w:rPr>
          <w:rFonts w:hint="eastAsia" w:eastAsia="仿宋_GB2312" w:cs="仿宋_GB2312"/>
          <w:color w:val="auto"/>
          <w:kern w:val="2"/>
          <w:sz w:val="32"/>
          <w:szCs w:val="32"/>
          <w:highlight w:val="none"/>
          <w:lang w:val="en-US" w:eastAsia="zh-CN" w:bidi="ar-SA"/>
        </w:rPr>
        <w:t>。</w:t>
      </w:r>
    </w:p>
    <w:p w14:paraId="6077B3F8">
      <w:pPr>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br w:type="page"/>
      </w:r>
    </w:p>
    <w:p w14:paraId="27876855">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仿宋"/>
          <w:b w:val="0"/>
          <w:color w:val="auto"/>
          <w:highlight w:val="none"/>
        </w:rPr>
      </w:pPr>
      <w:bookmarkStart w:id="49" w:name="_Toc15396618"/>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48"/>
      <w:bookmarkEnd w:id="49"/>
      <w:bookmarkStart w:id="50" w:name="_Toc15396619"/>
    </w:p>
    <w:p w14:paraId="38F1BA7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E988AF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14:paraId="0CFA700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14:paraId="0A77B0C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14:paraId="52F8FEA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14:paraId="351F479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14:paraId="38B5C1D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14:paraId="707DEE8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14:paraId="09902AA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14:paraId="444A7AA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14:paraId="1A578CE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14:paraId="6C0A001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159B67E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14:paraId="6CC6895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14:paraId="709E7BC4">
      <w:pPr>
        <w:rPr>
          <w:rFonts w:hint="eastAsia" w:ascii="Times New Roman" w:hAnsi="Times New Roman"/>
          <w:lang w:eastAsia="zh-CN"/>
        </w:rPr>
      </w:pPr>
    </w:p>
    <w:sectPr>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3B5C2">
    <w:pPr>
      <w:pStyle w:val="11"/>
      <w:jc w:val="center"/>
    </w:pPr>
  </w:p>
  <w:p w14:paraId="10955C8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B5757">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9E2EF">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8E5B4">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48E5B4">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14:paraId="71B99ACF">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CD468">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5021E">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FA5021E">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15D18">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19"/>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3C61"/>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17E9C"/>
    <w:rsid w:val="012A5EC2"/>
    <w:rsid w:val="015975B8"/>
    <w:rsid w:val="02FEBE30"/>
    <w:rsid w:val="046D3DB2"/>
    <w:rsid w:val="04916F1E"/>
    <w:rsid w:val="061E35DE"/>
    <w:rsid w:val="066E0107"/>
    <w:rsid w:val="07996F6E"/>
    <w:rsid w:val="07DFD8BA"/>
    <w:rsid w:val="08BB44C5"/>
    <w:rsid w:val="09867E8F"/>
    <w:rsid w:val="0A2032A3"/>
    <w:rsid w:val="0BE0165D"/>
    <w:rsid w:val="0CA8290A"/>
    <w:rsid w:val="0D35B1ED"/>
    <w:rsid w:val="0E254B6B"/>
    <w:rsid w:val="0F1164C8"/>
    <w:rsid w:val="0F8451C7"/>
    <w:rsid w:val="0F916FD6"/>
    <w:rsid w:val="0F98263C"/>
    <w:rsid w:val="101860EC"/>
    <w:rsid w:val="101F47CC"/>
    <w:rsid w:val="10C055FF"/>
    <w:rsid w:val="11694EBD"/>
    <w:rsid w:val="11772AA4"/>
    <w:rsid w:val="118107EC"/>
    <w:rsid w:val="125C0BBE"/>
    <w:rsid w:val="12E24EE2"/>
    <w:rsid w:val="1332191F"/>
    <w:rsid w:val="13D50BC4"/>
    <w:rsid w:val="14B17F78"/>
    <w:rsid w:val="165E0673"/>
    <w:rsid w:val="16B831D5"/>
    <w:rsid w:val="16BB723D"/>
    <w:rsid w:val="178A42BA"/>
    <w:rsid w:val="17E50567"/>
    <w:rsid w:val="186504BB"/>
    <w:rsid w:val="19A445FC"/>
    <w:rsid w:val="1A7D5727"/>
    <w:rsid w:val="1B376B03"/>
    <w:rsid w:val="1BE8440E"/>
    <w:rsid w:val="1BFF07FA"/>
    <w:rsid w:val="1C943E38"/>
    <w:rsid w:val="1D155CEE"/>
    <w:rsid w:val="1D1638FE"/>
    <w:rsid w:val="1E312DEB"/>
    <w:rsid w:val="1E740ACF"/>
    <w:rsid w:val="1FF35744"/>
    <w:rsid w:val="1FF6BC77"/>
    <w:rsid w:val="20873983"/>
    <w:rsid w:val="210973E8"/>
    <w:rsid w:val="217361D3"/>
    <w:rsid w:val="2186353C"/>
    <w:rsid w:val="23860B96"/>
    <w:rsid w:val="240371BF"/>
    <w:rsid w:val="244F3473"/>
    <w:rsid w:val="24C97D99"/>
    <w:rsid w:val="25557DFE"/>
    <w:rsid w:val="25A718F0"/>
    <w:rsid w:val="25BB59F6"/>
    <w:rsid w:val="260F557C"/>
    <w:rsid w:val="26970054"/>
    <w:rsid w:val="27E72145"/>
    <w:rsid w:val="281408E2"/>
    <w:rsid w:val="28BF63BC"/>
    <w:rsid w:val="29FD04D3"/>
    <w:rsid w:val="2A054ADE"/>
    <w:rsid w:val="2AE13EFE"/>
    <w:rsid w:val="2BFF7BC6"/>
    <w:rsid w:val="2C8A61B5"/>
    <w:rsid w:val="2CE830F9"/>
    <w:rsid w:val="2DF04E50"/>
    <w:rsid w:val="2E586DFA"/>
    <w:rsid w:val="2F040D46"/>
    <w:rsid w:val="2F467768"/>
    <w:rsid w:val="2F6B035B"/>
    <w:rsid w:val="2FAE5751"/>
    <w:rsid w:val="2FB1A395"/>
    <w:rsid w:val="2FD9A7D8"/>
    <w:rsid w:val="2FDBF714"/>
    <w:rsid w:val="30AB6865"/>
    <w:rsid w:val="319F7F4E"/>
    <w:rsid w:val="31C84FC9"/>
    <w:rsid w:val="32BD1EF1"/>
    <w:rsid w:val="3304709D"/>
    <w:rsid w:val="33267BB7"/>
    <w:rsid w:val="33A773CB"/>
    <w:rsid w:val="33D91C17"/>
    <w:rsid w:val="349D6851"/>
    <w:rsid w:val="36AA5135"/>
    <w:rsid w:val="36BE0DA7"/>
    <w:rsid w:val="376B6AA6"/>
    <w:rsid w:val="376D39B2"/>
    <w:rsid w:val="37E16F03"/>
    <w:rsid w:val="37F53A3B"/>
    <w:rsid w:val="389B6C89"/>
    <w:rsid w:val="38D469F0"/>
    <w:rsid w:val="39627CCD"/>
    <w:rsid w:val="397BAF1F"/>
    <w:rsid w:val="3A603E0F"/>
    <w:rsid w:val="3A6E4097"/>
    <w:rsid w:val="3AB79AF3"/>
    <w:rsid w:val="3AE834C0"/>
    <w:rsid w:val="3B7EF35A"/>
    <w:rsid w:val="3B9FDB6C"/>
    <w:rsid w:val="3BF5BC2F"/>
    <w:rsid w:val="3C1A4AE5"/>
    <w:rsid w:val="3CEBA265"/>
    <w:rsid w:val="3D98207C"/>
    <w:rsid w:val="3DEE7CF3"/>
    <w:rsid w:val="3E6F0166"/>
    <w:rsid w:val="3E740A63"/>
    <w:rsid w:val="3E78745D"/>
    <w:rsid w:val="3EE17838"/>
    <w:rsid w:val="3F55381A"/>
    <w:rsid w:val="3F7F7599"/>
    <w:rsid w:val="3FF4CAE0"/>
    <w:rsid w:val="3FF7B227"/>
    <w:rsid w:val="40241D87"/>
    <w:rsid w:val="44E268DA"/>
    <w:rsid w:val="450D13D7"/>
    <w:rsid w:val="45506656"/>
    <w:rsid w:val="45E149C4"/>
    <w:rsid w:val="475B4B57"/>
    <w:rsid w:val="486A6C7A"/>
    <w:rsid w:val="48A1636F"/>
    <w:rsid w:val="4A627F82"/>
    <w:rsid w:val="4B0E749A"/>
    <w:rsid w:val="4B2477C4"/>
    <w:rsid w:val="4B4F25DA"/>
    <w:rsid w:val="4BE068DB"/>
    <w:rsid w:val="4CDE3725"/>
    <w:rsid w:val="4D332938"/>
    <w:rsid w:val="4D577224"/>
    <w:rsid w:val="4DBF1CEB"/>
    <w:rsid w:val="4DF0007C"/>
    <w:rsid w:val="4EAB630A"/>
    <w:rsid w:val="4ECE2238"/>
    <w:rsid w:val="4F224AEA"/>
    <w:rsid w:val="4F833267"/>
    <w:rsid w:val="4FE9BD67"/>
    <w:rsid w:val="4FFB052F"/>
    <w:rsid w:val="50191092"/>
    <w:rsid w:val="52FE56F9"/>
    <w:rsid w:val="536B58FF"/>
    <w:rsid w:val="537E6D0A"/>
    <w:rsid w:val="53B76637"/>
    <w:rsid w:val="53F74C96"/>
    <w:rsid w:val="55170BA8"/>
    <w:rsid w:val="553218C9"/>
    <w:rsid w:val="556E620B"/>
    <w:rsid w:val="567E1AA5"/>
    <w:rsid w:val="56E47B74"/>
    <w:rsid w:val="56F032D4"/>
    <w:rsid w:val="57175D52"/>
    <w:rsid w:val="57BD3DD4"/>
    <w:rsid w:val="5AF92295"/>
    <w:rsid w:val="5B250254"/>
    <w:rsid w:val="5BDD79E6"/>
    <w:rsid w:val="5BF561CA"/>
    <w:rsid w:val="5BFF5DFC"/>
    <w:rsid w:val="5CD71FC4"/>
    <w:rsid w:val="5D1F11B5"/>
    <w:rsid w:val="5D695134"/>
    <w:rsid w:val="5DAE1B18"/>
    <w:rsid w:val="5DD07139"/>
    <w:rsid w:val="5DE7D9E5"/>
    <w:rsid w:val="5E917724"/>
    <w:rsid w:val="5ECEC941"/>
    <w:rsid w:val="5FBF9FF3"/>
    <w:rsid w:val="5FCD4E2C"/>
    <w:rsid w:val="5FEF394A"/>
    <w:rsid w:val="5FF67715"/>
    <w:rsid w:val="61413289"/>
    <w:rsid w:val="62BF3928"/>
    <w:rsid w:val="63345CE8"/>
    <w:rsid w:val="63B3701E"/>
    <w:rsid w:val="647F5392"/>
    <w:rsid w:val="65E66580"/>
    <w:rsid w:val="664B1D71"/>
    <w:rsid w:val="664B4E8E"/>
    <w:rsid w:val="66537F13"/>
    <w:rsid w:val="67277B67"/>
    <w:rsid w:val="67AA3209"/>
    <w:rsid w:val="698D0931"/>
    <w:rsid w:val="6A7FE5F3"/>
    <w:rsid w:val="6A8A1AEF"/>
    <w:rsid w:val="6AE772A1"/>
    <w:rsid w:val="6AEB6975"/>
    <w:rsid w:val="6AF07BE1"/>
    <w:rsid w:val="6B053271"/>
    <w:rsid w:val="6BDD78B3"/>
    <w:rsid w:val="6C4A05C8"/>
    <w:rsid w:val="6C8742B8"/>
    <w:rsid w:val="6CCC71B2"/>
    <w:rsid w:val="6D934BE7"/>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C73926"/>
    <w:rsid w:val="74ED5379"/>
    <w:rsid w:val="75DE15DF"/>
    <w:rsid w:val="75DEEEC2"/>
    <w:rsid w:val="75E32345"/>
    <w:rsid w:val="76CC0721"/>
    <w:rsid w:val="76E3355F"/>
    <w:rsid w:val="76FF5125"/>
    <w:rsid w:val="776F6FFA"/>
    <w:rsid w:val="778769C8"/>
    <w:rsid w:val="77A75DCA"/>
    <w:rsid w:val="77BD6F82"/>
    <w:rsid w:val="77DC22F5"/>
    <w:rsid w:val="781926E5"/>
    <w:rsid w:val="783E271A"/>
    <w:rsid w:val="78616DE9"/>
    <w:rsid w:val="78655EE5"/>
    <w:rsid w:val="78E875D7"/>
    <w:rsid w:val="79086DAD"/>
    <w:rsid w:val="79D7FD79"/>
    <w:rsid w:val="79EE5BA4"/>
    <w:rsid w:val="7A894339"/>
    <w:rsid w:val="7ABF6C29"/>
    <w:rsid w:val="7AD284E8"/>
    <w:rsid w:val="7AFF7572"/>
    <w:rsid w:val="7B6C7DFB"/>
    <w:rsid w:val="7BBFBED0"/>
    <w:rsid w:val="7BC3E394"/>
    <w:rsid w:val="7BFE0391"/>
    <w:rsid w:val="7C1F3737"/>
    <w:rsid w:val="7CBFC87B"/>
    <w:rsid w:val="7CFE0F48"/>
    <w:rsid w:val="7D272ABC"/>
    <w:rsid w:val="7D7EC23E"/>
    <w:rsid w:val="7E2E2B5B"/>
    <w:rsid w:val="7E8ADEBF"/>
    <w:rsid w:val="7EEF11D3"/>
    <w:rsid w:val="7EF6132B"/>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0"/>
    <w:pPr>
      <w:spacing w:after="120"/>
      <w:ind w:leftChars="200"/>
    </w:pPr>
    <w:rPr>
      <w:rFonts w:ascii="仿宋_GB2312"/>
      <w:szCs w:val="32"/>
    </w:rPr>
  </w:style>
  <w:style w:type="paragraph" w:styleId="7">
    <w:name w:val="annotation text"/>
    <w:basedOn w:val="1"/>
    <w:semiHidden/>
    <w:unhideWhenUsed/>
    <w:qFormat/>
    <w:uiPriority w:val="99"/>
    <w:pPr>
      <w:jc w:val="left"/>
    </w:p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2"/>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4"/>
    <w:qFormat/>
    <w:uiPriority w:val="9"/>
    <w:rPr>
      <w:rFonts w:ascii="Times New Roman" w:hAnsi="Times New Roman"/>
      <w:b/>
      <w:bCs/>
      <w:kern w:val="44"/>
      <w:sz w:val="44"/>
      <w:szCs w:val="44"/>
    </w:rPr>
  </w:style>
  <w:style w:type="character" w:customStyle="1" w:styleId="30">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6"/>
    <w:qFormat/>
    <w:uiPriority w:val="9"/>
    <w:rPr>
      <w:rFonts w:ascii="Times New Roman" w:hAnsi="Times New Roman"/>
      <w:b/>
      <w:bCs/>
      <w:kern w:val="2"/>
      <w:sz w:val="32"/>
      <w:szCs w:val="32"/>
    </w:r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收入、支出决算总计变动情况图</a:t>
            </a:r>
          </a:p>
        </c:rich>
      </c:tx>
      <c:layout/>
      <c:overlay val="0"/>
      <c:spPr>
        <a:noFill/>
        <a:ln>
          <a:noFill/>
        </a:ln>
        <a:effectLst/>
      </c:spPr>
    </c:title>
    <c:autoTitleDeleted val="0"/>
    <c:plotArea>
      <c:layout>
        <c:manualLayout>
          <c:layoutTarget val="inner"/>
          <c:xMode val="edge"/>
          <c:yMode val="edge"/>
          <c:x val="0.0691044393122915"/>
          <c:y val="0.196949776492243"/>
          <c:w val="0.902668719527842"/>
          <c:h val="0.672469103339469"/>
        </c:manualLayout>
      </c:layout>
      <c:barChart>
        <c:barDir val="col"/>
        <c:grouping val="clustered"/>
        <c:varyColors val="0"/>
        <c:ser>
          <c:idx val="0"/>
          <c:order val="0"/>
          <c:spPr>
            <a:solidFill>
              <a:schemeClr val="accent1"/>
            </a:solidFill>
            <a:ln>
              <a:noFill/>
            </a:ln>
            <a:effectLst/>
          </c:spPr>
          <c:invertIfNegative val="0"/>
          <c:dLbls>
            <c:delete val="1"/>
          </c:dLbls>
          <c:cat>
            <c:strRef>
              <c:f>Sheet1!$A$1:$A$2</c:f>
              <c:strCache>
                <c:ptCount val="2"/>
                <c:pt idx="0">
                  <c:v>2024年度收入、支出总计</c:v>
                </c:pt>
                <c:pt idx="1">
                  <c:v>2023年度收入、支出总计</c:v>
                </c:pt>
              </c:strCache>
            </c:strRef>
          </c:cat>
          <c:val>
            <c:numRef>
              <c:f>Sheet1!$B$1:$B$2</c:f>
              <c:numCache>
                <c:formatCode>General</c:formatCode>
                <c:ptCount val="2"/>
                <c:pt idx="0">
                  <c:v>94.39</c:v>
                </c:pt>
                <c:pt idx="1">
                  <c:v>0</c:v>
                </c:pt>
              </c:numCache>
            </c:numRef>
          </c:val>
        </c:ser>
        <c:dLbls>
          <c:showLegendKey val="0"/>
          <c:showVal val="0"/>
          <c:showCatName val="0"/>
          <c:showSerName val="0"/>
          <c:showPercent val="0"/>
          <c:showBubbleSize val="0"/>
        </c:dLbls>
        <c:gapWidth val="219"/>
        <c:overlap val="-27"/>
        <c:axId val="302641927"/>
        <c:axId val="314528083"/>
      </c:barChart>
      <c:catAx>
        <c:axId val="3026419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4528083"/>
        <c:crosses val="autoZero"/>
        <c:auto val="1"/>
        <c:lblAlgn val="ctr"/>
        <c:lblOffset val="100"/>
        <c:noMultiLvlLbl val="0"/>
      </c:catAx>
      <c:valAx>
        <c:axId val="3145280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2641927"/>
        <c:crosses val="autoZero"/>
        <c:crossBetween val="between"/>
      </c:valAx>
      <c:spPr>
        <a:noFill/>
        <a:ln>
          <a:noFill/>
        </a:ln>
        <a:effectLst/>
      </c:spPr>
    </c:plotArea>
    <c:plotVisOnly val="1"/>
    <c:dispBlanksAs val="gap"/>
    <c:showDLblsOverMax val="0"/>
    <c:extLst>
      <c:ext uri="{0b15fc19-7d7d-44ad-8c2d-2c3a37ce22c3}">
        <chartProps xmlns="https://web.wps.cn/et/2018/main" chartId="{8180426a-a97e-4ce3-bf58-8c3c390f9ac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Lbls>
            <c:numFmt formatCode="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94.39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2f5e9fb-5ac6-439a-98c5-4130f1f52a8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Lbls>
            <c:numFmt formatCode="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基本支出</c:v>
                </c:pt>
              </c:strCache>
            </c:strRef>
          </c:cat>
          <c:val>
            <c:numRef>
              <c:f>Sheet1!$B$2</c:f>
              <c:numCache>
                <c:formatCode>General</c:formatCode>
                <c:ptCount val="1"/>
                <c:pt idx="0">
                  <c:v>94.39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ce91e55-4fa0-4263-bd99-0734296ce0e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manualLayout>
          <c:layoutTarget val="inner"/>
          <c:xMode val="edge"/>
          <c:yMode val="edge"/>
          <c:x val="0.0789287518948964"/>
          <c:y val="0.168718102671871"/>
          <c:w val="0.872225029476166"/>
          <c:h val="0.626058240768538"/>
        </c:manualLayout>
      </c:layout>
      <c:barChart>
        <c:barDir val="col"/>
        <c:grouping val="clustered"/>
        <c:varyColors val="0"/>
        <c:ser>
          <c:idx val="0"/>
          <c:order val="0"/>
          <c:spPr>
            <a:solidFill>
              <a:schemeClr val="accent1"/>
            </a:solidFill>
            <a:ln>
              <a:noFill/>
            </a:ln>
            <a:effectLst/>
          </c:spPr>
          <c:invertIfNegative val="0"/>
          <c:dLbls>
            <c:delete val="1"/>
          </c:dLbls>
          <c:cat>
            <c:strRef>
              <c:f>Sheet1!$A$1:$A$2</c:f>
              <c:strCache>
                <c:ptCount val="2"/>
                <c:pt idx="0">
                  <c:v>2024年财政拨款收、支总计</c:v>
                </c:pt>
                <c:pt idx="1">
                  <c:v>2023年财政拨款收、支总计</c:v>
                </c:pt>
              </c:strCache>
            </c:strRef>
          </c:cat>
          <c:val>
            <c:numRef>
              <c:f>Sheet1!$B$1:$B$2</c:f>
              <c:numCache>
                <c:formatCode>General</c:formatCode>
                <c:ptCount val="2"/>
                <c:pt idx="0">
                  <c:v>94.39</c:v>
                </c:pt>
                <c:pt idx="1">
                  <c:v>0</c:v>
                </c:pt>
              </c:numCache>
            </c:numRef>
          </c:val>
        </c:ser>
        <c:dLbls>
          <c:showLegendKey val="0"/>
          <c:showVal val="0"/>
          <c:showCatName val="0"/>
          <c:showSerName val="0"/>
          <c:showPercent val="0"/>
          <c:showBubbleSize val="0"/>
        </c:dLbls>
        <c:gapWidth val="219"/>
        <c:overlap val="-27"/>
        <c:axId val="686847488"/>
        <c:axId val="754387275"/>
      </c:barChart>
      <c:catAx>
        <c:axId val="6868474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4387275"/>
        <c:crosses val="autoZero"/>
        <c:auto val="1"/>
        <c:lblAlgn val="ctr"/>
        <c:lblOffset val="100"/>
        <c:noMultiLvlLbl val="0"/>
      </c:catAx>
      <c:valAx>
        <c:axId val="7543872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6847488"/>
        <c:crosses val="autoZero"/>
        <c:crossBetween val="between"/>
      </c:valAx>
      <c:spPr>
        <a:noFill/>
        <a:ln>
          <a:noFill/>
        </a:ln>
        <a:effectLst/>
      </c:spPr>
    </c:plotArea>
    <c:plotVisOnly val="1"/>
    <c:dispBlanksAs val="gap"/>
    <c:showDLblsOverMax val="0"/>
    <c:extLst>
      <c:ext uri="{0b15fc19-7d7d-44ad-8c2d-2c3a37ce22c3}">
        <chartProps xmlns="https://web.wps.cn/et/2018/main" chartId="{8c4fcae0-4a86-41fd-ab60-c853b296f54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t>一般公共预算财政拨款支出决算变动情况</a:t>
            </a:r>
            <a:endParaRPr sz="1200"/>
          </a:p>
        </c:rich>
      </c:tx>
      <c:layout/>
      <c:overlay val="0"/>
      <c:spPr>
        <a:noFill/>
        <a:ln>
          <a:noFill/>
        </a:ln>
        <a:effectLst/>
      </c:spPr>
    </c:title>
    <c:autoTitleDeleted val="0"/>
    <c:plotArea>
      <c:layout>
        <c:manualLayout>
          <c:layoutTarget val="inner"/>
          <c:xMode val="edge"/>
          <c:yMode val="edge"/>
          <c:x val="0.0789287518948964"/>
          <c:y val="0.168718102671871"/>
          <c:w val="0.872225029476166"/>
          <c:h val="0.626058240768538"/>
        </c:manualLayout>
      </c:layout>
      <c:barChart>
        <c:barDir val="col"/>
        <c:grouping val="clustered"/>
        <c:varyColors val="0"/>
        <c:ser>
          <c:idx val="0"/>
          <c:order val="0"/>
          <c:spPr>
            <a:solidFill>
              <a:schemeClr val="accent1"/>
            </a:solidFill>
            <a:ln>
              <a:noFill/>
            </a:ln>
            <a:effectLst/>
          </c:spPr>
          <c:invertIfNegative val="0"/>
          <c:dLbls>
            <c:delete val="1"/>
          </c:dLbls>
          <c:cat>
            <c:strRef>
              <c:f>Sheet1!$A$1:$A$2</c:f>
              <c:strCache>
                <c:ptCount val="2"/>
                <c:pt idx="0">
                  <c:v>2024年财政拨款收、支总计</c:v>
                </c:pt>
                <c:pt idx="1">
                  <c:v>2023年财政拨款收、支总计</c:v>
                </c:pt>
              </c:strCache>
            </c:strRef>
          </c:cat>
          <c:val>
            <c:numRef>
              <c:f>Sheet1!$B$1:$B$2</c:f>
              <c:numCache>
                <c:formatCode>General</c:formatCode>
                <c:ptCount val="2"/>
                <c:pt idx="0">
                  <c:v>94.39</c:v>
                </c:pt>
                <c:pt idx="1">
                  <c:v>0</c:v>
                </c:pt>
              </c:numCache>
            </c:numRef>
          </c:val>
        </c:ser>
        <c:dLbls>
          <c:showLegendKey val="0"/>
          <c:showVal val="0"/>
          <c:showCatName val="0"/>
          <c:showSerName val="0"/>
          <c:showPercent val="0"/>
          <c:showBubbleSize val="0"/>
        </c:dLbls>
        <c:gapWidth val="219"/>
        <c:overlap val="-27"/>
        <c:axId val="686847488"/>
        <c:axId val="754387275"/>
      </c:barChart>
      <c:catAx>
        <c:axId val="6868474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4387275"/>
        <c:crosses val="autoZero"/>
        <c:auto val="1"/>
        <c:lblAlgn val="ctr"/>
        <c:lblOffset val="100"/>
        <c:noMultiLvlLbl val="0"/>
      </c:catAx>
      <c:valAx>
        <c:axId val="7543872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6847488"/>
        <c:crosses val="autoZero"/>
        <c:crossBetween val="between"/>
      </c:valAx>
      <c:spPr>
        <a:noFill/>
        <a:ln>
          <a:noFill/>
        </a:ln>
        <a:effectLst/>
      </c:spPr>
    </c:plotArea>
    <c:plotVisOnly val="1"/>
    <c:dispBlanksAs val="gap"/>
    <c:showDLblsOverMax val="0"/>
    <c:extLst>
      <c:ext uri="{0b15fc19-7d7d-44ad-8c2d-2c3a37ce22c3}">
        <chartProps xmlns="https://web.wps.cn/et/2018/main" chartId="{020a4806-f560-4318-8647-0c9558f50b9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列2</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75.08</c:v>
                </c:pt>
                <c:pt idx="1">
                  <c:v>11.01</c:v>
                </c:pt>
                <c:pt idx="2">
                  <c:v>2</c:v>
                </c:pt>
                <c:pt idx="3">
                  <c:v>6.3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26d12c2-4da2-4501-90a5-4bc0a0ae110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经费财政拨款支出结构</a:t>
            </a:r>
            <a:endParaRPr altLang="en-US"/>
          </a:p>
        </c:rich>
      </c:tx>
      <c:layout/>
      <c:overlay val="0"/>
      <c:spPr>
        <a:noFill/>
        <a:ln>
          <a:noFill/>
        </a:ln>
        <a:effectLst/>
      </c:spPr>
    </c:title>
    <c:autoTitleDeleted val="0"/>
    <c:plotArea>
      <c:layout/>
      <c:pieChart>
        <c:varyColors val="1"/>
        <c:ser>
          <c:idx val="0"/>
          <c:order val="0"/>
          <c:tx>
            <c:strRef>
              <c:f>Sheet1!$B$1</c:f>
              <c:strCache>
                <c:ptCount val="1"/>
                <c:pt idx="0">
                  <c:v>列2</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ac8c8a0-5e12-47d2-a4f1-1903b314fc5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faed39bc-b49c-4e54-b963-75576922640a</errorID>
      <errorWord>,</errorWord>
      <group>L1_Format</group>
      <groupName>格式问题</groupName>
      <ability>L2_HalfPunc</ability>
      <abilityName>全半角检查</abilityName>
      <candidateList>
        <item>，</item>
      </candidateList>
      <explain>文本全半角错误。</explain>
      <paraID>34E178BE</paraID>
      <start>254</start>
      <end>255</end>
      <status>modified</status>
      <modifiedWord>，</modifiedWord>
      <trackRevisions>false</trackRevisions>
    </reviewItem>
    <reviewItem>
      <errorID>f2642bdc-b254-4860-a09c-812d63f96ba9</errorID>
      <errorWord>(</errorWord>
      <group>L1_Format</group>
      <groupName>格式问题</groupName>
      <ability>L2_HalfPunc</ability>
      <abilityName>全半角检查</abilityName>
      <candidateList>
        <item>（</item>
      </candidateList>
      <explain>文本全半角错误。</explain>
      <paraID>34E178BE</paraID>
      <start>416</start>
      <end>417</end>
      <status>modified</status>
      <modifiedWord>（</modifiedWord>
      <trackRevisions>false</trackRevisions>
    </reviewItem>
    <reviewItem>
      <errorID>c536e993-2d22-48b9-8774-53d2a617cd92</errorID>
      <errorWord>)</errorWord>
      <group>L1_Format</group>
      <groupName>格式问题</groupName>
      <ability>L2_HalfPunc</ability>
      <abilityName>全半角检查</abilityName>
      <candidateList>
        <item>）</item>
      </candidateList>
      <explain>文本全半角错误。</explain>
      <paraID>34E178BE</paraID>
      <start>427</start>
      <end>428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0050a2-04a8-45ee-a49c-97ef20c06688}">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5017</Words>
  <Characters>5378</Characters>
  <Lines>61</Lines>
  <Paragraphs>17</Paragraphs>
  <TotalTime>0</TotalTime>
  <ScaleCrop>false</ScaleCrop>
  <LinksUpToDate>false</LinksUpToDate>
  <CharactersWithSpaces>5431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2025-10-14T06:58:00Z</cp:lastPrinted>
  <dcterms:modified xsi:type="dcterms:W3CDTF">2026-01-05T02:42:14Z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04787F2533EB45DC91BCDE4AB213247F</vt:lpwstr>
  </property>
  <property fmtid="{D5CDD505-2E9C-101B-9397-08002B2CF9AE}" pid="4" name="KSOTemplateDocerSaveRecord">
    <vt:lpwstr>eyJoZGlkIjoiNzI2ZGI0OGUzMDAzMzk0YmE1OTYyMDVlZGMwMmYyODYiLCJ1c2VySWQiOiIxMTM5NjM2MTk5In0=</vt:lpwstr>
  </property>
</Properties>
</file>