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E677B">
      <w:pPr>
        <w:pStyle w:val="9"/>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597"/>
      <w:bookmarkStart w:id="2" w:name="_Toc15377425"/>
      <w:bookmarkStart w:id="3" w:name="_Toc15306267"/>
      <w:bookmarkStart w:id="4" w:name="_Toc15377193"/>
      <w:bookmarkStart w:id="5" w:name="_Toc15396475"/>
    </w:p>
    <w:p w14:paraId="62C672CE">
      <w:pPr>
        <w:pStyle w:val="9"/>
        <w:rPr>
          <w:rFonts w:hint="eastAsia" w:ascii="Times New Roman" w:hAnsi="Times New Roman" w:eastAsia="方正小标宋简体" w:cs="Times New Roman"/>
          <w:color w:val="auto"/>
          <w:kern w:val="2"/>
          <w:sz w:val="72"/>
          <w:szCs w:val="72"/>
          <w:highlight w:val="none"/>
          <w:lang w:val="en-US" w:eastAsia="zh-CN" w:bidi="ar-SA"/>
        </w:rPr>
      </w:pPr>
    </w:p>
    <w:p w14:paraId="47DA7118">
      <w:pPr>
        <w:pStyle w:val="9"/>
        <w:rPr>
          <w:rFonts w:hint="eastAsia" w:ascii="Times New Roman" w:hAnsi="Times New Roman" w:eastAsia="方正小标宋简体" w:cs="Times New Roman"/>
          <w:color w:val="auto"/>
          <w:kern w:val="2"/>
          <w:sz w:val="72"/>
          <w:szCs w:val="72"/>
          <w:highlight w:val="none"/>
          <w:lang w:val="en-US" w:eastAsia="zh-CN" w:bidi="ar-SA"/>
        </w:rPr>
      </w:pPr>
    </w:p>
    <w:p w14:paraId="2FAFFD8E">
      <w:pPr>
        <w:widowControl/>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w:t>
      </w:r>
      <w:r>
        <w:rPr>
          <w:rFonts w:hint="eastAsia" w:eastAsia="方正小标宋简体" w:cs="Times New Roman"/>
          <w:color w:val="auto"/>
          <w:kern w:val="2"/>
          <w:sz w:val="44"/>
          <w:szCs w:val="44"/>
          <w:highlight w:val="none"/>
          <w:lang w:val="en-US" w:eastAsia="zh-CN" w:bidi="ar-SA"/>
        </w:rPr>
        <w:t>度</w:t>
      </w:r>
      <w:r>
        <w:rPr>
          <w:rFonts w:hint="eastAsia" w:ascii="方正小标宋简体" w:hAnsi="宋体" w:eastAsia="方正小标宋简体" w:cs="Times New Roman"/>
          <w:color w:val="auto"/>
          <w:kern w:val="2"/>
          <w:sz w:val="44"/>
          <w:szCs w:val="44"/>
          <w:highlight w:val="none"/>
          <w:lang w:val="en-US" w:eastAsia="zh-CN" w:bidi="ar-SA"/>
        </w:rPr>
        <w:t>中共峨边彝族自治县委社会工作部</w:t>
      </w:r>
      <w:r>
        <w:rPr>
          <w:rFonts w:hint="eastAsia" w:ascii="Times New Roman" w:hAnsi="Times New Roman" w:eastAsia="方正小标宋简体" w:cs="Times New Roman"/>
          <w:color w:val="auto"/>
          <w:kern w:val="2"/>
          <w:sz w:val="44"/>
          <w:szCs w:val="44"/>
          <w:highlight w:val="none"/>
          <w:lang w:val="en-US" w:eastAsia="zh-CN" w:bidi="ar-SA"/>
        </w:rPr>
        <w:t>部门决算公开</w:t>
      </w:r>
      <w:bookmarkEnd w:id="0"/>
      <w:bookmarkEnd w:id="1"/>
      <w:bookmarkEnd w:id="2"/>
      <w:bookmarkEnd w:id="3"/>
      <w:bookmarkEnd w:id="4"/>
      <w:bookmarkEnd w:id="5"/>
    </w:p>
    <w:p w14:paraId="546EF5EF">
      <w:pP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br w:type="page"/>
      </w:r>
    </w:p>
    <w:p w14:paraId="44DE9CE2">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2CD4956">
      <w:pPr>
        <w:widowControl/>
        <w:jc w:val="center"/>
        <w:rPr>
          <w:rFonts w:ascii="Times New Roman" w:hAnsi="Times New Roman" w:eastAsia="黑体" w:cstheme="minorBidi"/>
          <w:color w:val="auto"/>
          <w:sz w:val="28"/>
          <w:szCs w:val="28"/>
          <w:highlight w:val="none"/>
        </w:rPr>
      </w:pPr>
    </w:p>
    <w:p w14:paraId="2FEB2563">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11</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28</w:t>
      </w:r>
      <w:r>
        <w:rPr>
          <w:rFonts w:hint="eastAsia" w:ascii="Times New Roman" w:hAnsi="Times New Roman" w:eastAsia="仿宋_GB2312" w:cs="仿宋_GB2312"/>
          <w:color w:val="auto"/>
          <w:sz w:val="32"/>
          <w:szCs w:val="32"/>
          <w:highlight w:val="none"/>
        </w:rPr>
        <w:t>日</w:t>
      </w:r>
    </w:p>
    <w:p w14:paraId="03E1B349">
      <w:pPr>
        <w:rPr>
          <w:rFonts w:ascii="Times New Roman" w:hAnsi="Times New Roman"/>
          <w:color w:val="auto"/>
          <w:highlight w:val="none"/>
        </w:rPr>
      </w:pPr>
    </w:p>
    <w:p w14:paraId="491A0FD4">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黑体" w:hAnsi="黑体" w:eastAsia="黑体" w:cs="黑体"/>
          <w:color w:val="auto"/>
          <w:sz w:val="32"/>
          <w:szCs w:val="32"/>
          <w:highlight w:val="none"/>
          <w:lang w:val="en-US" w:eastAsia="zh-CN"/>
        </w:rPr>
        <w:t>1</w:t>
      </w:r>
    </w:p>
    <w:p w14:paraId="6A04FB25">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w:t>
      </w:r>
    </w:p>
    <w:p w14:paraId="0EF8F72E">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2</w:t>
      </w:r>
    </w:p>
    <w:p w14:paraId="10936D6C">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黑体" w:hAnsi="黑体" w:eastAsia="黑体" w:cs="黑体"/>
          <w:color w:val="auto"/>
          <w:sz w:val="32"/>
          <w:szCs w:val="32"/>
          <w:highlight w:val="none"/>
          <w:lang w:val="en-US" w:eastAsia="zh-CN"/>
        </w:rPr>
        <w:t>3</w:t>
      </w:r>
    </w:p>
    <w:p w14:paraId="1FC2C51B">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w:t>
      </w:r>
    </w:p>
    <w:p w14:paraId="46D83CBC">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3</w:t>
      </w:r>
    </w:p>
    <w:p w14:paraId="5F4D6A94">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4</w:t>
      </w:r>
    </w:p>
    <w:p w14:paraId="0CAC4546">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4</w:t>
      </w:r>
    </w:p>
    <w:p w14:paraId="12159A03">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5</w:t>
      </w:r>
    </w:p>
    <w:p w14:paraId="58478776">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7</w:t>
      </w:r>
    </w:p>
    <w:p w14:paraId="797FB6EA">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7</w:t>
      </w:r>
    </w:p>
    <w:p w14:paraId="1E0634F7">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9</w:t>
      </w:r>
    </w:p>
    <w:p w14:paraId="542207A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9</w:t>
      </w:r>
    </w:p>
    <w:p w14:paraId="57ADC7CA">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9</w:t>
      </w:r>
    </w:p>
    <w:p w14:paraId="1DE57634">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黑体" w:hAnsi="黑体" w:eastAsia="黑体" w:cs="黑体"/>
          <w:color w:val="auto"/>
          <w:sz w:val="32"/>
          <w:szCs w:val="32"/>
          <w:highlight w:val="none"/>
          <w:lang w:val="en-US" w:eastAsia="zh-CN"/>
        </w:rPr>
        <w:t>11</w:t>
      </w:r>
    </w:p>
    <w:p w14:paraId="6A4C6486">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黑体" w:hAnsi="黑体" w:eastAsia="黑体" w:cs="黑体"/>
          <w:color w:val="auto"/>
          <w:sz w:val="32"/>
          <w:szCs w:val="32"/>
          <w:highlight w:val="none"/>
          <w:lang w:val="en-US" w:eastAsia="zh-CN"/>
        </w:rPr>
        <w:t>14</w:t>
      </w:r>
    </w:p>
    <w:p w14:paraId="6546D7E6">
      <w:pPr>
        <w:pStyle w:val="14"/>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黑体" w:hAnsi="黑体" w:eastAsia="黑体" w:cs="黑体"/>
          <w:color w:val="auto"/>
          <w:sz w:val="32"/>
          <w:szCs w:val="32"/>
          <w:highlight w:val="none"/>
          <w:lang w:val="en-US" w:eastAsia="zh-CN"/>
        </w:rPr>
        <w:t>19</w:t>
      </w:r>
    </w:p>
    <w:p w14:paraId="25E8DAC1">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19</w:t>
      </w:r>
    </w:p>
    <w:p w14:paraId="467952C4">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19</w:t>
      </w:r>
    </w:p>
    <w:p w14:paraId="72B31DD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19</w:t>
      </w:r>
    </w:p>
    <w:p w14:paraId="5A3174CE">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19</w:t>
      </w:r>
    </w:p>
    <w:p w14:paraId="350D8F8B">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19</w:t>
      </w:r>
    </w:p>
    <w:p w14:paraId="78B78AE2">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19</w:t>
      </w:r>
    </w:p>
    <w:p w14:paraId="6779F85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19</w:t>
      </w:r>
    </w:p>
    <w:p w14:paraId="04D5F9BE">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19</w:t>
      </w:r>
    </w:p>
    <w:p w14:paraId="47519827">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19</w:t>
      </w:r>
    </w:p>
    <w:p w14:paraId="7740D210">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19</w:t>
      </w:r>
    </w:p>
    <w:p w14:paraId="014B9A59">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19</w:t>
      </w:r>
    </w:p>
    <w:p w14:paraId="7B5958D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19</w:t>
      </w:r>
    </w:p>
    <w:p w14:paraId="6D329E7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仿宋_GB2312" w:hAnsi="仿宋_GB2312" w:eastAsia="仿宋_GB2312" w:cs="仿宋_GB2312"/>
          <w:color w:val="auto"/>
          <w:sz w:val="32"/>
          <w:szCs w:val="32"/>
          <w:highlight w:val="none"/>
          <w:lang w:val="en-US" w:eastAsia="zh-CN"/>
        </w:rPr>
        <w:t>19</w:t>
      </w:r>
    </w:p>
    <w:p w14:paraId="76F2C519">
      <w:pPr>
        <w:pStyle w:val="5"/>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b w:val="0"/>
          <w:color w:val="auto"/>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6" w:name="_Toc15396599"/>
      <w:bookmarkStart w:id="7" w:name="_Toc15377196"/>
    </w:p>
    <w:p w14:paraId="56241DF3">
      <w:pPr>
        <w:pStyle w:val="5"/>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14:paraId="7B644E29">
      <w:pPr>
        <w:pageBreakBefore w:val="0"/>
        <w:kinsoku/>
        <w:wordWrap/>
        <w:overflowPunct/>
        <w:topLinePunct w:val="0"/>
        <w:autoSpaceDE/>
        <w:autoSpaceDN/>
        <w:bidi w:val="0"/>
        <w:spacing w:line="600" w:lineRule="exact"/>
        <w:ind w:firstLine="800" w:firstLineChars="250"/>
        <w:textAlignment w:val="auto"/>
        <w:rPr>
          <w:rFonts w:hint="eastAsia" w:ascii="黑体" w:hAnsi="黑体" w:eastAsia="黑体" w:cs="黑体"/>
          <w:color w:val="auto"/>
          <w:sz w:val="32"/>
          <w:szCs w:val="32"/>
          <w:highlight w:val="none"/>
        </w:rPr>
      </w:pPr>
      <w:bookmarkStart w:id="8" w:name="_Toc15377197"/>
      <w:bookmarkStart w:id="9" w:name="_Toc15396600"/>
    </w:p>
    <w:p w14:paraId="6A701CD1">
      <w:pPr>
        <w:pageBreakBefore w:val="0"/>
        <w:kinsoku/>
        <w:wordWrap/>
        <w:overflowPunct/>
        <w:topLinePunct w:val="0"/>
        <w:autoSpaceDE/>
        <w:autoSpaceDN/>
        <w:bidi w:val="0"/>
        <w:spacing w:line="600" w:lineRule="exact"/>
        <w:ind w:firstLine="800" w:firstLineChars="25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一、</w:t>
      </w:r>
      <w:bookmarkEnd w:id="8"/>
      <w:bookmarkEnd w:id="9"/>
      <w:r>
        <w:rPr>
          <w:rFonts w:hint="eastAsia" w:ascii="黑体" w:hAnsi="黑体" w:eastAsia="黑体" w:cs="黑体"/>
          <w:color w:val="auto"/>
          <w:sz w:val="32"/>
          <w:szCs w:val="32"/>
          <w:highlight w:val="none"/>
          <w:lang w:eastAsia="zh-CN"/>
        </w:rPr>
        <w:t>部门职责</w:t>
      </w:r>
    </w:p>
    <w:p w14:paraId="51B27245">
      <w:pPr>
        <w:pageBreakBefore w:val="0"/>
        <w:kinsoku/>
        <w:wordWrap/>
        <w:overflowPunct/>
        <w:topLinePunct w:val="0"/>
        <w:autoSpaceDE/>
        <w:autoSpaceDN/>
        <w:bidi w:val="0"/>
        <w:spacing w:line="600" w:lineRule="exact"/>
        <w:ind w:firstLine="800" w:firstLineChars="250"/>
        <w:textAlignment w:val="auto"/>
        <w:rPr>
          <w:rFonts w:hint="eastAsia" w:ascii="黑体" w:hAnsi="黑体" w:eastAsia="黑体" w:cs="黑体"/>
          <w:color w:val="auto"/>
          <w:sz w:val="32"/>
          <w:szCs w:val="32"/>
          <w:highlight w:val="none"/>
          <w:lang w:eastAsia="zh-CN"/>
        </w:rPr>
      </w:pPr>
      <w:r>
        <w:rPr>
          <w:rFonts w:hint="eastAsia" w:ascii="Times New Roman" w:hAnsi="Times New Roman" w:eastAsia="仿宋_GB2312" w:cs="仿宋_GB2312"/>
          <w:color w:val="auto"/>
          <w:sz w:val="32"/>
          <w:szCs w:val="32"/>
          <w:highlight w:val="none"/>
        </w:rPr>
        <w:t>研究相关理论、政策和规划，起草相关地方性法规草案及规范性文件并组织实施。深入调查研究，及时向县委报告工作情况并提出建议。指导各乡镇党委、县级相关部门开展社会工作。统筹指导全县群众利益协调、诉求表达、矛盾调处、权益保障等人民信访工作，协调解决人民群众急难愁盼的重大问题。指导人民建议征集工作，负责征集、办理公民、法人和其他组织提出的意见建议，向县委、县政府及时反映公民、法人和其他组织对党和国家事业发展提出的重要意见建议。统筹推进党建引领基层治理和基层政权建设，协调推进城乡社区治理体系、服务体系和治理能力建设</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推动基层民主政治建设，指导监督基层群众自治制度的有效实施，健全基层群众自治机制。指导全县性社会组织党建工作，统一领导全县性行业协会商会党的工作，承办全县性行业协会商会负责人人选的审核。协调推动全县行业协会商会深化改革和转型发展，调查研究相关重大问题。指导全县混合所有制企业、非公有制企业和新经济组织、新社会组织、新就业群体</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以下简称“两企三新”</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党建工作，指导协调相关企业单位、社会组织、就业群体中党员的教育、管理、监督和服务工作，研究完善相关领域群众利益协调机制。负责全县志愿服务工作的统筹规划、协调指导、督促检查，指导推动社会工作人才队伍建设、志愿服务人才队伍建设和阵地建设，协调推动社会工作服务体系和志愿服务体系建设。</w:t>
      </w:r>
    </w:p>
    <w:p w14:paraId="062A91D7">
      <w:pPr>
        <w:pageBreakBefore w:val="0"/>
        <w:kinsoku/>
        <w:wordWrap/>
        <w:overflowPunct/>
        <w:topLinePunct w:val="0"/>
        <w:autoSpaceDE/>
        <w:autoSpaceDN/>
        <w:bidi w:val="0"/>
        <w:spacing w:line="600" w:lineRule="exact"/>
        <w:ind w:firstLine="800" w:firstLineChars="250"/>
        <w:textAlignment w:val="auto"/>
        <w:rPr>
          <w:rFonts w:hint="eastAsia" w:ascii="黑体" w:hAnsi="黑体" w:eastAsia="黑体" w:cs="黑体"/>
          <w:color w:val="auto"/>
          <w:sz w:val="32"/>
          <w:szCs w:val="32"/>
          <w:highlight w:val="none"/>
          <w:lang w:eastAsia="zh-CN"/>
        </w:rPr>
      </w:pPr>
      <w:bookmarkStart w:id="10" w:name="_Toc15396601"/>
      <w:bookmarkStart w:id="11" w:name="_Toc15377200"/>
      <w:r>
        <w:rPr>
          <w:rFonts w:hint="eastAsia" w:ascii="黑体" w:hAnsi="黑体" w:eastAsia="黑体" w:cs="黑体"/>
          <w:color w:val="auto"/>
          <w:sz w:val="32"/>
          <w:szCs w:val="32"/>
          <w:highlight w:val="none"/>
          <w:lang w:eastAsia="zh-CN"/>
        </w:rPr>
        <w:t>二、机构设置</w:t>
      </w:r>
      <w:bookmarkEnd w:id="10"/>
      <w:bookmarkEnd w:id="11"/>
    </w:p>
    <w:p w14:paraId="472D63F3">
      <w:pPr>
        <w:pageBreakBefore w:val="0"/>
        <w:kinsoku/>
        <w:wordWrap/>
        <w:overflowPunct/>
        <w:topLinePunct w:val="0"/>
        <w:autoSpaceDE/>
        <w:autoSpaceDN/>
        <w:bidi w:val="0"/>
        <w:spacing w:line="600" w:lineRule="exact"/>
        <w:ind w:firstLine="800" w:firstLineChars="25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中共峨边彝</w:t>
      </w:r>
      <w:r>
        <w:rPr>
          <w:rFonts w:hint="eastAsia" w:ascii="仿宋_GB2312" w:hAnsi="仿宋_GB2312" w:eastAsia="仿宋_GB2312" w:cs="仿宋_GB2312"/>
          <w:color w:val="auto"/>
          <w:sz w:val="32"/>
          <w:szCs w:val="32"/>
          <w:highlight w:val="none"/>
        </w:rPr>
        <w:t>族自治县委社会工作部</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10E0A9C0">
      <w:pPr>
        <w:pStyle w:val="9"/>
        <w:pageBreakBefore w:val="0"/>
        <w:kinsoku/>
        <w:wordWrap/>
        <w:overflowPunct/>
        <w:topLinePunct w:val="0"/>
        <w:autoSpaceDE/>
        <w:autoSpaceDN/>
        <w:bidi w:val="0"/>
        <w:adjustRightInd w:val="0"/>
        <w:snapToGrid w:val="0"/>
        <w:spacing w:before="93" w:line="600" w:lineRule="exact"/>
        <w:ind w:firstLine="672" w:firstLineChars="210"/>
        <w:textAlignment w:val="auto"/>
        <w:rPr>
          <w:rFonts w:ascii="Times New Roman" w:hAnsi="Times New Roman" w:eastAsia="仿宋"/>
          <w:color w:val="auto"/>
          <w:kern w:val="0"/>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中共峨边彝族自治县委社会工作部</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r>
        <w:rPr>
          <w:rFonts w:ascii="Times New Roman" w:hAnsi="Times New Roman" w:eastAsia="仿宋"/>
          <w:color w:val="auto"/>
          <w:sz w:val="32"/>
          <w:szCs w:val="32"/>
          <w:highlight w:val="none"/>
        </w:rPr>
        <w:br w:type="page"/>
      </w:r>
    </w:p>
    <w:p w14:paraId="049C3F3B">
      <w:pPr>
        <w:pStyle w:val="5"/>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color w:val="auto"/>
          <w:highlight w:val="none"/>
        </w:rPr>
      </w:pPr>
      <w:bookmarkStart w:id="12" w:name="_Toc15396602"/>
      <w:bookmarkStart w:id="13" w:name="_Toc15377204"/>
      <w:r>
        <w:rPr>
          <w:rFonts w:hint="eastAsia" w:ascii="方正小标宋简体" w:hAnsi="方正小标宋简体" w:eastAsia="方正小标宋简体" w:cs="方正小标宋简体"/>
          <w:b w:val="0"/>
          <w:color w:val="auto"/>
          <w:highlight w:val="none"/>
        </w:rPr>
        <w:t>第二部分</w:t>
      </w:r>
      <w:r>
        <w:rPr>
          <w:rFonts w:hint="eastAsia" w:ascii="方正小标宋简体" w:hAnsi="方正小标宋简体" w:eastAsia="方正小标宋简体" w:cs="方正小标宋简体"/>
          <w:b w:val="0"/>
          <w:color w:val="auto"/>
          <w:highlight w:val="none"/>
          <w:lang w:val="en-US" w:eastAsia="zh-CN"/>
        </w:rPr>
        <w:t xml:space="preserve"> </w:t>
      </w:r>
      <w:r>
        <w:rPr>
          <w:rFonts w:hint="eastAsia" w:ascii="方正小标宋简体" w:hAnsi="方正小标宋简体" w:eastAsia="方正小标宋简体" w:cs="方正小标宋简体"/>
          <w:b w:val="0"/>
          <w:color w:val="auto"/>
          <w:highlight w:val="none"/>
        </w:rPr>
        <w:t xml:space="preserve"> </w:t>
      </w:r>
      <w:r>
        <w:rPr>
          <w:rFonts w:hint="eastAsia" w:ascii="方正小标宋简体" w:hAnsi="方正小标宋简体" w:eastAsia="方正小标宋简体" w:cs="方正小标宋简体"/>
          <w:b w:val="0"/>
          <w:color w:val="auto"/>
          <w:highlight w:val="none"/>
          <w:lang w:val="en-US" w:eastAsia="zh-CN"/>
        </w:rPr>
        <w:t>2024年度</w:t>
      </w:r>
      <w:r>
        <w:rPr>
          <w:rFonts w:hint="eastAsia" w:ascii="方正小标宋简体" w:hAnsi="方正小标宋简体" w:eastAsia="方正小标宋简体" w:cs="方正小标宋简体"/>
          <w:b w:val="0"/>
          <w:color w:val="auto"/>
          <w:highlight w:val="none"/>
        </w:rPr>
        <w:t>部门决算情况说明</w:t>
      </w:r>
      <w:bookmarkEnd w:id="12"/>
      <w:bookmarkEnd w:id="13"/>
    </w:p>
    <w:p w14:paraId="38C9ED42">
      <w:pPr>
        <w:rPr>
          <w:rFonts w:ascii="Times New Roman" w:hAnsi="Times New Roman"/>
          <w:color w:val="auto"/>
          <w:highlight w:val="none"/>
        </w:rPr>
      </w:pPr>
    </w:p>
    <w:p w14:paraId="6A8DA59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4"/>
      <w:bookmarkEnd w:id="15"/>
    </w:p>
    <w:p w14:paraId="0798623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94.39</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94.39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rPr>
        <w:t>%。主要变动原因是</w:t>
      </w:r>
      <w:r>
        <w:rPr>
          <w:rFonts w:hint="eastAsia" w:ascii="仿宋_GB2312" w:hAnsi="仿宋_GB2312" w:eastAsia="仿宋_GB2312" w:cs="仿宋_GB2312"/>
          <w:color w:val="auto"/>
          <w:kern w:val="0"/>
          <w:sz w:val="32"/>
          <w:szCs w:val="32"/>
          <w:lang w:eastAsia="zh-CN"/>
        </w:rPr>
        <w:t>我单位为2024年度新成立部门，无202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eastAsia="仿宋_GB2312" w:cs="仿宋_GB2312"/>
          <w:color w:val="auto"/>
          <w:sz w:val="32"/>
          <w:szCs w:val="32"/>
          <w:highlight w:val="none"/>
          <w:lang w:val="en-US" w:eastAsia="zh-CN"/>
        </w:rPr>
        <w:t>数</w:t>
      </w:r>
      <w:r>
        <w:rPr>
          <w:rFonts w:hint="eastAsia" w:ascii="仿宋_GB2312" w:hAnsi="仿宋_GB2312" w:eastAsia="仿宋_GB2312" w:cs="仿宋_GB2312"/>
          <w:color w:val="auto"/>
          <w:kern w:val="0"/>
          <w:sz w:val="32"/>
          <w:szCs w:val="32"/>
        </w:rPr>
        <w:t>。</w:t>
      </w:r>
    </w:p>
    <w:p w14:paraId="162CB5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zh-CN"/>
        </w:rPr>
      </w:pPr>
      <w:r>
        <w:rPr>
          <w:rFonts w:hint="eastAsia"/>
          <w:lang w:val="zh-CN"/>
        </w:rPr>
        <w:drawing>
          <wp:inline distT="0" distB="0" distL="114300" distR="114300">
            <wp:extent cx="4949190" cy="2414905"/>
            <wp:effectExtent l="4445" t="4445" r="18415"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9B59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9D4C30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r>
        <w:rPr>
          <w:rFonts w:hint="eastAsia" w:ascii="Times New Roman" w:hAnsi="Times New Roman" w:eastAsia="黑体"/>
          <w:color w:val="auto"/>
          <w:sz w:val="32"/>
          <w:szCs w:val="32"/>
          <w:highlight w:val="none"/>
          <w:lang w:eastAsia="zh-CN"/>
        </w:rPr>
        <w:t>二、收入决算情况说明</w:t>
      </w:r>
      <w:bookmarkEnd w:id="16"/>
      <w:bookmarkEnd w:id="17"/>
    </w:p>
    <w:p w14:paraId="0090233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94.39万元，其中：一般公共预算财政拨款收入94.39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07166B5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6429A6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FC5708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238E43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3AAA1D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eastAsia="仿宋_GB2312"/>
          <w:lang w:eastAsia="zh-CN"/>
        </w:rPr>
        <w:drawing>
          <wp:anchor distT="0" distB="0" distL="114300" distR="114300" simplePos="0" relativeHeight="251659264" behindDoc="0" locked="0" layoutInCell="1" allowOverlap="1">
            <wp:simplePos x="0" y="0"/>
            <wp:positionH relativeFrom="column">
              <wp:posOffset>210820</wp:posOffset>
            </wp:positionH>
            <wp:positionV relativeFrom="page">
              <wp:posOffset>283210</wp:posOffset>
            </wp:positionV>
            <wp:extent cx="3352165" cy="1845945"/>
            <wp:effectExtent l="4445" t="4445" r="15240" b="1651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imes New Roman" w:hAnsi="Times New Roman" w:eastAsia="仿宋_GB2312" w:cs="仿宋_GB2312"/>
          <w:color w:val="auto"/>
          <w:sz w:val="32"/>
          <w:szCs w:val="32"/>
          <w:highlight w:val="none"/>
          <w:lang w:eastAsia="zh-CN"/>
        </w:rPr>
        <w:t>（图2：收入决算结构图）（饼状图）</w:t>
      </w:r>
    </w:p>
    <w:p w14:paraId="0687234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77207"/>
      <w:bookmarkStart w:id="19"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8"/>
      <w:bookmarkEnd w:id="19"/>
    </w:p>
    <w:p w14:paraId="5AAB077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94.39</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94.39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23F0DEB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 w:hAnsi="仿宋" w:eastAsia="仿宋"/>
          <w:color w:val="auto"/>
          <w:sz w:val="32"/>
          <w:szCs w:val="32"/>
          <w:highlight w:val="none"/>
          <w:shd w:val="pct10" w:color="auto" w:fill="FFFFFF"/>
          <w:lang w:eastAsia="zh-CN"/>
        </w:rPr>
        <w:drawing>
          <wp:anchor distT="0" distB="0" distL="114935" distR="114935" simplePos="0" relativeHeight="251661312" behindDoc="0" locked="0" layoutInCell="1" allowOverlap="1">
            <wp:simplePos x="0" y="0"/>
            <wp:positionH relativeFrom="column">
              <wp:posOffset>575945</wp:posOffset>
            </wp:positionH>
            <wp:positionV relativeFrom="page">
              <wp:posOffset>3734435</wp:posOffset>
            </wp:positionV>
            <wp:extent cx="2391410" cy="2008505"/>
            <wp:effectExtent l="4445" t="4445" r="23495" b="635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仿宋_GB2312" w:cs="仿宋_GB2312"/>
          <w:color w:val="auto"/>
          <w:sz w:val="32"/>
          <w:szCs w:val="32"/>
          <w:highlight w:val="none"/>
          <w:lang w:eastAsia="zh-CN"/>
        </w:rPr>
        <w:t>（图3：支出决算结构图）（饼状图）</w:t>
      </w:r>
    </w:p>
    <w:p w14:paraId="13C58BC9">
      <w:pPr>
        <w:spacing w:line="600" w:lineRule="exact"/>
        <w:ind w:firstLine="640" w:firstLineChars="200"/>
        <w:outlineLvl w:val="1"/>
        <w:rPr>
          <w:rStyle w:val="30"/>
          <w:rFonts w:ascii="Times New Roman" w:hAnsi="Times New Roman" w:eastAsia="黑体"/>
          <w:b w:val="0"/>
          <w:color w:val="auto"/>
          <w:highlight w:val="none"/>
        </w:rPr>
      </w:pPr>
      <w:bookmarkStart w:id="20" w:name="_Toc15377208"/>
      <w:bookmarkStart w:id="21"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0"/>
      <w:bookmarkEnd w:id="21"/>
    </w:p>
    <w:p w14:paraId="2D53AA6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94.39</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94.39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_GB2312" w:eastAsia="仿宋_GB2312" w:cs="仿宋_GB2312"/>
          <w:color w:val="auto"/>
          <w:kern w:val="0"/>
          <w:sz w:val="32"/>
          <w:szCs w:val="32"/>
          <w:lang w:eastAsia="zh-CN"/>
        </w:rPr>
        <w:t>我单位为2024年度新成立部门，无202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Times New Roman" w:hAnsi="Times New Roman" w:eastAsia="仿宋_GB2312" w:cs="仿宋_GB2312"/>
          <w:color w:val="auto"/>
          <w:kern w:val="2"/>
          <w:sz w:val="32"/>
          <w:szCs w:val="32"/>
          <w:highlight w:val="none"/>
          <w:lang w:val="en-US" w:eastAsia="zh-CN" w:bidi="ar-SA"/>
        </w:rPr>
        <w:t>财政拨款</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eastAsia="仿宋_GB2312" w:cs="仿宋_GB2312"/>
          <w:color w:val="auto"/>
          <w:sz w:val="32"/>
          <w:szCs w:val="32"/>
          <w:highlight w:val="none"/>
          <w:lang w:val="en-US" w:eastAsia="zh-CN"/>
        </w:rPr>
        <w:t>数</w:t>
      </w:r>
      <w:r>
        <w:rPr>
          <w:rFonts w:hint="eastAsia" w:ascii="仿宋_GB2312" w:hAnsi="仿宋_GB2312" w:eastAsia="仿宋_GB2312" w:cs="仿宋_GB2312"/>
          <w:color w:val="auto"/>
          <w:kern w:val="0"/>
          <w:sz w:val="32"/>
          <w:szCs w:val="32"/>
        </w:rPr>
        <w:t>。</w:t>
      </w:r>
    </w:p>
    <w:p w14:paraId="7278D1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CB91F55">
      <w:pPr>
        <w:pStyle w:val="2"/>
        <w:rPr>
          <w:rFonts w:hint="eastAsia" w:ascii="Times New Roman" w:hAnsi="Times New Roman" w:eastAsia="仿宋_GB2312" w:cs="仿宋_GB2312"/>
          <w:color w:val="auto"/>
          <w:kern w:val="2"/>
          <w:sz w:val="32"/>
          <w:szCs w:val="32"/>
          <w:highlight w:val="none"/>
          <w:lang w:val="en-US" w:eastAsia="zh-CN" w:bidi="ar-SA"/>
        </w:rPr>
      </w:pPr>
    </w:p>
    <w:p w14:paraId="767C4E48">
      <w:pPr>
        <w:pStyle w:val="3"/>
        <w:rPr>
          <w:rFonts w:hint="eastAsia" w:ascii="Times New Roman" w:hAnsi="Times New Roman" w:eastAsia="仿宋_GB2312" w:cs="仿宋_GB2312"/>
          <w:color w:val="auto"/>
          <w:kern w:val="2"/>
          <w:sz w:val="32"/>
          <w:szCs w:val="32"/>
          <w:highlight w:val="none"/>
          <w:lang w:val="en-US" w:eastAsia="zh-CN" w:bidi="ar-SA"/>
        </w:rPr>
      </w:pPr>
    </w:p>
    <w:p w14:paraId="2A50D5AF">
      <w:pPr>
        <w:pStyle w:val="3"/>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lang w:eastAsia="zh-CN"/>
        </w:rPr>
        <w:drawing>
          <wp:inline distT="0" distB="0" distL="114300" distR="114300">
            <wp:extent cx="3769995" cy="2115185"/>
            <wp:effectExtent l="5080" t="4445" r="15875" b="1397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D3612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0C5B7A44">
      <w:pPr>
        <w:spacing w:line="600" w:lineRule="exact"/>
        <w:ind w:firstLine="640" w:firstLineChars="200"/>
        <w:outlineLvl w:val="1"/>
        <w:rPr>
          <w:rStyle w:val="30"/>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2"/>
      <w:bookmarkEnd w:id="23"/>
    </w:p>
    <w:p w14:paraId="2A617A8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350BB5D1">
      <w:pPr>
        <w:spacing w:line="600" w:lineRule="exact"/>
        <w:ind w:firstLine="640"/>
        <w:rPr>
          <w:rFonts w:hint="eastAsia" w:eastAsia="仿宋_GB2312"/>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94.39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%。与2023年度相比，一般公共预算财政拨款支出增加94.39万元，增长100%。主要变动原因是</w:t>
      </w:r>
      <w:r>
        <w:rPr>
          <w:rFonts w:hint="eastAsia" w:ascii="仿宋_GB2312" w:hAnsi="仿宋_GB2312" w:eastAsia="仿宋_GB2312" w:cs="仿宋_GB2312"/>
          <w:color w:val="auto"/>
          <w:kern w:val="0"/>
          <w:sz w:val="32"/>
          <w:szCs w:val="32"/>
          <w:lang w:eastAsia="zh-CN"/>
        </w:rPr>
        <w:t>我单位为2024年度新成立部门，无202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2"/>
          <w:sz w:val="32"/>
          <w:szCs w:val="32"/>
          <w:highlight w:val="none"/>
          <w:lang w:val="en-US" w:eastAsia="zh-CN" w:bidi="ar-SA"/>
        </w:rPr>
        <w:t>度一般公共预算财政拨款支出</w:t>
      </w:r>
      <w:r>
        <w:rPr>
          <w:rFonts w:hint="eastAsia" w:eastAsia="仿宋_GB2312" w:cs="仿宋_GB2312"/>
          <w:color w:val="auto"/>
          <w:sz w:val="32"/>
          <w:szCs w:val="32"/>
          <w:highlight w:val="none"/>
          <w:lang w:val="en-US" w:eastAsia="zh-CN"/>
        </w:rPr>
        <w:t>数。</w:t>
      </w:r>
    </w:p>
    <w:p w14:paraId="4E9037A5">
      <w:pPr>
        <w:pStyle w:val="3"/>
        <w:rPr>
          <w:rFonts w:hint="eastAsia" w:eastAsia="仿宋_GB2312"/>
          <w:lang w:val="en-US" w:eastAsia="zh-CN"/>
        </w:rPr>
      </w:pPr>
      <w:r>
        <w:rPr>
          <w:rFonts w:hint="eastAsia" w:eastAsia="仿宋_GB2312"/>
          <w:lang w:eastAsia="zh-CN"/>
        </w:rPr>
        <w:drawing>
          <wp:inline distT="0" distB="0" distL="114300" distR="114300">
            <wp:extent cx="3769995" cy="2463165"/>
            <wp:effectExtent l="4445" t="4445" r="16510" b="889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7CF4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172AD8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53083F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94.39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75.08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79.5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11.01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6.3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6.7</w:t>
      </w:r>
      <w:r>
        <w:rPr>
          <w:rFonts w:hint="eastAsia" w:ascii="Times New Roman" w:hAnsi="Times New Roman" w:eastAsia="仿宋_GB2312" w:cs="仿宋_GB2312"/>
          <w:color w:val="auto"/>
          <w:kern w:val="2"/>
          <w:sz w:val="32"/>
          <w:szCs w:val="32"/>
          <w:highlight w:val="none"/>
          <w:lang w:val="en-US" w:eastAsia="zh-CN" w:bidi="ar-SA"/>
        </w:rPr>
        <w:t>%。</w:t>
      </w:r>
    </w:p>
    <w:p w14:paraId="5F2F9FBF">
      <w:pPr>
        <w:pStyle w:val="2"/>
        <w:rPr>
          <w:rFonts w:hint="default"/>
          <w:lang w:val="en-US" w:eastAsia="zh-CN"/>
        </w:rPr>
      </w:pPr>
      <w:r>
        <w:rPr>
          <w:rFonts w:hint="eastAsia" w:ascii="仿宋" w:hAnsi="仿宋" w:eastAsia="仿宋"/>
          <w:b/>
          <w:color w:val="auto"/>
          <w:sz w:val="32"/>
          <w:szCs w:val="32"/>
          <w:highlight w:val="none"/>
          <w:lang w:eastAsia="zh-CN"/>
        </w:rPr>
        <w:drawing>
          <wp:anchor distT="0" distB="0" distL="114935" distR="114935" simplePos="0" relativeHeight="251662336" behindDoc="0" locked="0" layoutInCell="1" allowOverlap="1">
            <wp:simplePos x="0" y="0"/>
            <wp:positionH relativeFrom="column">
              <wp:posOffset>711200</wp:posOffset>
            </wp:positionH>
            <wp:positionV relativeFrom="page">
              <wp:posOffset>2949575</wp:posOffset>
            </wp:positionV>
            <wp:extent cx="2787015" cy="2108835"/>
            <wp:effectExtent l="4445" t="4445" r="8890" b="2032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571CF62">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b/>
          <w:color w:val="auto"/>
          <w:sz w:val="32"/>
          <w:szCs w:val="32"/>
          <w:highlight w:val="none"/>
          <w:lang w:val="en-US" w:eastAsia="zh-CN"/>
        </w:rPr>
        <w:t xml:space="preserve">  </w:t>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5702D53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686E92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444"/>
      <w:bookmarkStart w:id="28" w:name="_Toc15378460"/>
      <w:bookmarkStart w:id="2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2024年度一般公共预算财政拨款支出决算数为94.39万元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02E2D808">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一般公共服务（类）社会工作事务（款）行政运行（项）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53.8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14A5B7C9">
      <w:pPr>
        <w:spacing w:line="600" w:lineRule="exact"/>
        <w:ind w:firstLine="640"/>
        <w:rPr>
          <w:rFonts w:hint="eastAsia"/>
          <w:lang w:val="zh-CN"/>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一般公共服务（类）社会工作事务（款）事业运行（项）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21.28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0BF01A85">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3.社会保障和就业（类）行政事业单位养老支出（款）机关事业单位基本养老保险缴费支出（项）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7.23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754B4316">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4.社会保障和就业（类）行政事业单位养老支出（款）机关事业单位职业年金缴费支出（项）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4FC006D0">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5.社会保障和就业（类）其他社会保障和就业支出（款）其他社会保障和就业支出（项）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0.17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22CED31C">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6.卫生健康（类）行政事业单位医疗（款）行政单位医疗（项）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p>
    <w:p w14:paraId="0C1AA898">
      <w:pPr>
        <w:tabs>
          <w:tab w:val="right" w:pos="8306"/>
        </w:tabs>
        <w:spacing w:line="600" w:lineRule="exact"/>
        <w:ind w:firstLine="640"/>
        <w:outlineLvl w:val="1"/>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7.住房保障支出（类）住房改革支出（款）住房公积金（项）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决算数</w:t>
      </w:r>
      <w:r>
        <w:rPr>
          <w:rFonts w:hint="eastAsia" w:ascii="仿宋_GB2312" w:hAnsi="仿宋_GB2312" w:eastAsia="仿宋_GB2312"/>
          <w:color w:val="000000"/>
          <w:kern w:val="2"/>
          <w:sz w:val="32"/>
          <w:szCs w:val="24"/>
          <w:lang w:val="zh-CN" w:eastAsia="zh-CN"/>
        </w:rPr>
        <w:t>与</w:t>
      </w:r>
      <w:r>
        <w:rPr>
          <w:rFonts w:hint="eastAsia" w:ascii="仿宋_GB2312" w:hAnsi="仿宋_GB2312" w:eastAsia="仿宋_GB2312"/>
          <w:color w:val="000000"/>
          <w:kern w:val="2"/>
          <w:sz w:val="32"/>
          <w:szCs w:val="24"/>
          <w:lang w:val="zh-CN"/>
        </w:rPr>
        <w:t>预算数</w:t>
      </w:r>
      <w:r>
        <w:rPr>
          <w:rFonts w:hint="eastAsia" w:ascii="仿宋_GB2312" w:hAnsi="仿宋_GB2312" w:eastAsia="仿宋_GB2312"/>
          <w:color w:val="000000"/>
          <w:kern w:val="2"/>
          <w:sz w:val="32"/>
          <w:szCs w:val="24"/>
          <w:lang w:val="zh-CN" w:eastAsia="zh-CN"/>
        </w:rPr>
        <w:t>持平</w:t>
      </w:r>
      <w:r>
        <w:rPr>
          <w:rFonts w:hint="eastAsia" w:ascii="仿宋_GB2312" w:hAnsi="仿宋_GB2312" w:eastAsia="仿宋_GB2312"/>
          <w:color w:val="000000"/>
          <w:kern w:val="2"/>
          <w:sz w:val="32"/>
          <w:szCs w:val="24"/>
          <w:lang w:val="zh-CN"/>
        </w:rPr>
        <w:t>。</w:t>
      </w:r>
      <w:bookmarkStart w:id="30" w:name="_Toc15377214"/>
      <w:bookmarkStart w:id="31" w:name="_Toc15396608"/>
    </w:p>
    <w:p w14:paraId="6A2EC9BE">
      <w:pPr>
        <w:tabs>
          <w:tab w:val="right" w:pos="8306"/>
        </w:tabs>
        <w:spacing w:line="600" w:lineRule="exact"/>
        <w:ind w:firstLine="640"/>
        <w:outlineLvl w:val="1"/>
        <w:rPr>
          <w:rStyle w:val="30"/>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0"/>
      <w:bookmarkEnd w:id="31"/>
      <w:r>
        <w:rPr>
          <w:rStyle w:val="30"/>
          <w:rFonts w:ascii="Times New Roman" w:hAnsi="Times New Roman" w:eastAsia="黑体"/>
          <w:b w:val="0"/>
          <w:color w:val="auto"/>
          <w:highlight w:val="none"/>
        </w:rPr>
        <w:tab/>
      </w:r>
    </w:p>
    <w:p w14:paraId="026EBC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94.39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3BFB3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73.56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、公务员医疗补助缴费、</w:t>
      </w:r>
      <w:r>
        <w:rPr>
          <w:rFonts w:hint="eastAsia" w:ascii="Times New Roman" w:hAnsi="Times New Roman" w:eastAsia="仿宋_GB2312" w:cs="仿宋_GB2312"/>
          <w:color w:val="auto"/>
          <w:kern w:val="2"/>
          <w:sz w:val="32"/>
          <w:szCs w:val="32"/>
          <w:highlight w:val="none"/>
          <w:lang w:val="en-US" w:eastAsia="zh-CN" w:bidi="ar-SA"/>
        </w:rPr>
        <w:t>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20.84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元，主要包括：办公费、邮电费、差旅费、劳务费、工会经费、福利费、其他交通费。</w:t>
      </w:r>
    </w:p>
    <w:p w14:paraId="6C3CA188">
      <w:pPr>
        <w:spacing w:line="600" w:lineRule="exact"/>
        <w:ind w:firstLine="640"/>
        <w:outlineLvl w:val="1"/>
        <w:rPr>
          <w:rStyle w:val="30"/>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2"/>
      <w:bookmarkEnd w:id="33"/>
    </w:p>
    <w:p w14:paraId="7128129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3903D76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5AB38E5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6276765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5E5C0DEE">
      <w:pPr>
        <w:pStyle w:val="3"/>
        <w:rPr>
          <w:rFonts w:hint="eastAsia"/>
          <w:lang w:val="en-US" w:eastAsia="zh-CN"/>
        </w:rPr>
      </w:pPr>
      <w:r>
        <w:rPr>
          <w:rFonts w:hint="eastAsia" w:ascii="仿宋_GB2312" w:hAnsi="仿宋_GB2312" w:eastAsia="仿宋_GB2312"/>
          <w:color w:val="000000"/>
          <w:kern w:val="2"/>
          <w:sz w:val="32"/>
          <w:szCs w:val="24"/>
          <w:lang w:val="zh-CN"/>
        </w:rPr>
        <w:drawing>
          <wp:inline distT="0" distB="0" distL="114300" distR="114300">
            <wp:extent cx="3104515" cy="2256155"/>
            <wp:effectExtent l="4445" t="5080" r="15240" b="571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F70AE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1BC405B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。因公出国（境）支出决算比2023年增加0万元，增长0%。主要原因是无因公出国（境）支出。</w:t>
      </w:r>
    </w:p>
    <w:p w14:paraId="3D54DE2A">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开支内容包括：无</w:t>
      </w:r>
    </w:p>
    <w:p w14:paraId="6A5724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66D022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6B33453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14:paraId="5B9A0A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4AA462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6" w:name="_Toc15377218"/>
      <w:bookmarkStart w:id="37" w:name="_Toc15396610"/>
    </w:p>
    <w:p w14:paraId="213E3881">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6"/>
      <w:bookmarkEnd w:id="37"/>
    </w:p>
    <w:p w14:paraId="31C629A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2024年度政府性基金预算财政拨款支出0万元，占本年支出合计的0%。与2023年度相比，政府性基金预算财政拨款支出持平。</w:t>
      </w:r>
      <w:bookmarkStart w:id="38" w:name="_Toc15396611"/>
      <w:bookmarkStart w:id="39" w:name="_Toc15377219"/>
    </w:p>
    <w:p w14:paraId="5713A732">
      <w:pPr>
        <w:numPr>
          <w:ilvl w:val="0"/>
          <w:numId w:val="0"/>
        </w:numPr>
        <w:spacing w:line="600" w:lineRule="exact"/>
        <w:ind w:left="630" w:leftChars="0"/>
        <w:outlineLvl w:val="1"/>
        <w:rPr>
          <w:rStyle w:val="30"/>
          <w:rFonts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8"/>
      <w:bookmarkEnd w:id="39"/>
    </w:p>
    <w:p w14:paraId="0BFB2C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持平。</w:t>
      </w:r>
    </w:p>
    <w:p w14:paraId="7F98DF9C">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0" w:name="_Toc15377221"/>
      <w:bookmarkStart w:id="41"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0"/>
      <w:bookmarkEnd w:id="41"/>
    </w:p>
    <w:p w14:paraId="62CF7F0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739A92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中共峨边彝族自治县委社会工作部</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20.84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20.84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hAnsi="仿宋_GB2312" w:eastAsia="仿宋_GB2312" w:cs="仿宋_GB2312"/>
          <w:color w:val="auto"/>
          <w:kern w:val="0"/>
          <w:sz w:val="32"/>
          <w:szCs w:val="32"/>
          <w:lang w:eastAsia="zh-CN"/>
        </w:rPr>
        <w:t>2024年度新成立部门，无202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2"/>
          <w:sz w:val="32"/>
          <w:szCs w:val="32"/>
          <w:highlight w:val="none"/>
          <w:lang w:val="en-US" w:eastAsia="zh-CN" w:bidi="ar-SA"/>
        </w:rPr>
        <w:t>度机关运行经费</w:t>
      </w:r>
      <w:r>
        <w:rPr>
          <w:rFonts w:hint="eastAsia" w:eastAsia="仿宋_GB2312" w:cs="仿宋_GB2312"/>
          <w:color w:val="auto"/>
          <w:sz w:val="32"/>
          <w:szCs w:val="32"/>
          <w:highlight w:val="none"/>
          <w:lang w:val="en-US" w:eastAsia="zh-CN"/>
        </w:rPr>
        <w:t>。</w:t>
      </w:r>
    </w:p>
    <w:p w14:paraId="58F200E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51608D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中共峨边彝族自治县委社会工作部</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1B60CCF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11EB4F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中共峨边彝族自治县委社会工作部</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038205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AD8E382">
      <w:pPr>
        <w:spacing w:line="600" w:lineRule="exact"/>
        <w:ind w:firstLine="640"/>
        <w:rPr>
          <w:rFonts w:hint="eastAsia" w:eastAsia="仿宋_GB2312" w:cs="仿宋_GB2312"/>
          <w:color w:val="auto"/>
          <w:kern w:val="2"/>
          <w:sz w:val="32"/>
          <w:szCs w:val="32"/>
          <w:highlight w:val="none"/>
          <w:lang w:val="en-US" w:eastAsia="zh-CN" w:bidi="ar-SA"/>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r>
        <w:rPr>
          <w:rFonts w:hint="eastAsia" w:eastAsia="仿宋_GB2312" w:cs="仿宋_GB2312"/>
          <w:color w:val="auto"/>
          <w:kern w:val="2"/>
          <w:sz w:val="32"/>
          <w:szCs w:val="32"/>
          <w:highlight w:val="none"/>
          <w:lang w:val="en-US" w:eastAsia="zh-CN" w:bidi="ar-SA"/>
        </w:rPr>
        <w:t>我单位</w:t>
      </w:r>
      <w:r>
        <w:rPr>
          <w:rFonts w:hint="eastAsia" w:ascii="Times New Roman" w:hAnsi="Times New Roman" w:eastAsia="仿宋_GB2312" w:cs="仿宋_GB2312"/>
          <w:color w:val="auto"/>
          <w:kern w:val="2"/>
          <w:sz w:val="32"/>
          <w:szCs w:val="32"/>
          <w:highlight w:val="none"/>
          <w:lang w:val="en-US" w:eastAsia="zh-CN" w:bidi="ar-SA"/>
        </w:rPr>
        <w:t>2024年</w:t>
      </w:r>
      <w:r>
        <w:rPr>
          <w:rFonts w:hint="eastAsia" w:eastAsia="仿宋_GB2312" w:cs="仿宋_GB2312"/>
          <w:color w:val="auto"/>
          <w:kern w:val="2"/>
          <w:sz w:val="32"/>
          <w:szCs w:val="32"/>
          <w:highlight w:val="none"/>
          <w:lang w:val="en-US" w:eastAsia="zh-CN" w:bidi="ar-SA"/>
        </w:rPr>
        <w:t>5月挂牌成立，2024年度无</w:t>
      </w:r>
      <w:r>
        <w:rPr>
          <w:rFonts w:hint="eastAsia" w:ascii="Times New Roman" w:hAnsi="Times New Roman" w:eastAsia="仿宋_GB2312" w:cs="仿宋_GB2312"/>
          <w:color w:val="auto"/>
          <w:kern w:val="2"/>
          <w:sz w:val="32"/>
          <w:szCs w:val="32"/>
          <w:highlight w:val="none"/>
          <w:lang w:val="en-US" w:eastAsia="zh-CN" w:bidi="ar-SA"/>
        </w:rPr>
        <w:t>项目</w:t>
      </w:r>
      <w:r>
        <w:rPr>
          <w:rFonts w:hint="eastAsia" w:eastAsia="仿宋_GB2312" w:cs="仿宋_GB2312"/>
          <w:color w:val="auto"/>
          <w:kern w:val="2"/>
          <w:sz w:val="32"/>
          <w:szCs w:val="32"/>
          <w:highlight w:val="none"/>
          <w:lang w:val="en-US" w:eastAsia="zh-CN" w:bidi="ar-SA"/>
        </w:rPr>
        <w:t>预算。</w:t>
      </w:r>
    </w:p>
    <w:p w14:paraId="305ACC63">
      <w:pPr>
        <w:pStyle w:val="3"/>
        <w:rPr>
          <w:rFonts w:hint="eastAsia"/>
          <w:lang w:val="en-US" w:eastAsia="zh-CN"/>
        </w:rPr>
      </w:pPr>
    </w:p>
    <w:p w14:paraId="0FD77218">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7537E8CB">
      <w:pPr>
        <w:spacing w:line="600" w:lineRule="exact"/>
        <w:jc w:val="left"/>
        <w:rPr>
          <w:rFonts w:ascii="Times New Roman" w:hAnsi="Times New Roman"/>
          <w:b/>
          <w:color w:val="auto"/>
          <w:sz w:val="44"/>
          <w:szCs w:val="44"/>
          <w:highlight w:val="none"/>
        </w:rPr>
      </w:pPr>
    </w:p>
    <w:p w14:paraId="578993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4E9A38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5063D6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238285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412509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4D7E9E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06344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8EEADA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571F941F">
      <w:pPr>
        <w:pStyle w:val="2"/>
        <w:rPr>
          <w:rFonts w:hint="eastAsia" w:ascii="Times New Roman" w:hAnsi="Times New Roman" w:eastAsia="仿宋_GB2312" w:cs="仿宋_GB2312"/>
          <w:color w:val="auto"/>
          <w:kern w:val="2"/>
          <w:sz w:val="32"/>
          <w:szCs w:val="32"/>
          <w:highlight w:val="none"/>
          <w:lang w:val="en-US" w:eastAsia="zh-CN" w:bidi="ar-SA"/>
        </w:rPr>
      </w:pPr>
    </w:p>
    <w:p w14:paraId="7CA6C72E">
      <w:pPr>
        <w:pStyle w:val="3"/>
        <w:rPr>
          <w:rFonts w:hint="eastAsia" w:ascii="Times New Roman" w:hAnsi="Times New Roman" w:eastAsia="仿宋_GB2312" w:cs="仿宋_GB2312"/>
          <w:color w:val="auto"/>
          <w:kern w:val="2"/>
          <w:sz w:val="32"/>
          <w:szCs w:val="32"/>
          <w:highlight w:val="none"/>
          <w:lang w:val="en-US" w:eastAsia="zh-CN" w:bidi="ar-SA"/>
        </w:rPr>
      </w:pPr>
    </w:p>
    <w:p w14:paraId="472828B3">
      <w:pPr>
        <w:pStyle w:val="3"/>
        <w:rPr>
          <w:rFonts w:hint="eastAsia" w:ascii="Times New Roman" w:hAnsi="Times New Roman" w:eastAsia="仿宋_GB2312" w:cs="仿宋_GB2312"/>
          <w:color w:val="auto"/>
          <w:kern w:val="2"/>
          <w:sz w:val="32"/>
          <w:szCs w:val="32"/>
          <w:highlight w:val="none"/>
          <w:lang w:val="en-US" w:eastAsia="zh-CN" w:bidi="ar-SA"/>
        </w:rPr>
      </w:pPr>
    </w:p>
    <w:p w14:paraId="79883CD4">
      <w:pPr>
        <w:pStyle w:val="3"/>
        <w:rPr>
          <w:rFonts w:hint="eastAsia" w:ascii="Times New Roman" w:hAnsi="Times New Roman" w:eastAsia="仿宋_GB2312" w:cs="仿宋_GB2312"/>
          <w:color w:val="auto"/>
          <w:kern w:val="2"/>
          <w:sz w:val="32"/>
          <w:szCs w:val="32"/>
          <w:highlight w:val="none"/>
          <w:lang w:val="en-US" w:eastAsia="zh-CN" w:bidi="ar-SA"/>
        </w:rPr>
      </w:pPr>
    </w:p>
    <w:p w14:paraId="3BB5F6C5">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一般公共服务（类）社会工作事务（款）行政运行（项）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指行政单位的基本支出</w:t>
      </w:r>
      <w:r>
        <w:rPr>
          <w:rFonts w:hint="eastAsia" w:ascii="仿宋_GB2312" w:hAnsi="仿宋_GB2312" w:eastAsia="仿宋_GB2312"/>
          <w:color w:val="000000"/>
          <w:kern w:val="2"/>
          <w:sz w:val="32"/>
          <w:szCs w:val="24"/>
          <w:lang w:val="zh-CN"/>
        </w:rPr>
        <w:t>。</w:t>
      </w:r>
    </w:p>
    <w:p w14:paraId="5C614A43">
      <w:pPr>
        <w:spacing w:line="600" w:lineRule="exact"/>
        <w:ind w:firstLine="640"/>
        <w:rPr>
          <w:rFonts w:hint="eastAsia"/>
          <w:lang w:val="zh-CN"/>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一般公共服务（类）社会工作事务（款）事业运行（项）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指事业单位的基本支出。</w:t>
      </w:r>
    </w:p>
    <w:p w14:paraId="1D98A015">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11.社会保障和就业（类）行政事业单位养老支出（款）机关事业单位基本养老保险缴费支出（项）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lang w:val="en-US" w:eastAsia="zh-CN"/>
        </w:rPr>
        <w:t>指机关事业单位实施养老保险制度由单位缴纳的基本养老保险费支出</w:t>
      </w:r>
      <w:r>
        <w:rPr>
          <w:rFonts w:hint="eastAsia" w:ascii="仿宋_GB2312" w:hAnsi="仿宋_GB2312" w:eastAsia="仿宋_GB2312"/>
          <w:color w:val="000000"/>
          <w:kern w:val="2"/>
          <w:sz w:val="32"/>
          <w:szCs w:val="24"/>
          <w:lang w:val="zh-CN"/>
        </w:rPr>
        <w:t>。</w:t>
      </w:r>
    </w:p>
    <w:p w14:paraId="371EF5B7">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12.社会保障和就业（类）行政事业单位养老支出（款）机关事业单位职业年金缴费支出（项）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lang w:val="en-US" w:eastAsia="zh-CN"/>
        </w:rPr>
        <w:t>指机关事业单位实施养老保险制度由单位实际缴纳的职业年金支出。</w:t>
      </w:r>
    </w:p>
    <w:p w14:paraId="1BFB8284">
      <w:pPr>
        <w:ind w:firstLine="640" w:firstLineChars="20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13.社会保障和就业（类）其他社会保障和就业支出（款）其他社会保障和就业支出（项）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lang w:val="en-US" w:eastAsia="zh-CN"/>
        </w:rPr>
        <w:t>指除上述项目以外其他用于社会保障和就业方面的支出</w:t>
      </w:r>
      <w:r>
        <w:rPr>
          <w:rFonts w:hint="eastAsia" w:ascii="仿宋_GB2312" w:eastAsia="仿宋_GB2312"/>
          <w:color w:val="auto"/>
          <w:sz w:val="32"/>
          <w:szCs w:val="32"/>
          <w:highlight w:val="none"/>
        </w:rPr>
        <w:t>。</w:t>
      </w:r>
    </w:p>
    <w:p w14:paraId="0341529E">
      <w:pPr>
        <w:spacing w:line="600" w:lineRule="exact"/>
        <w:ind w:firstLine="640"/>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14.卫生健康（类）行政事业单位医疗（款）行政单位医疗（项）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lang w:val="en-US" w:eastAsia="zh-CN"/>
        </w:rPr>
        <w:t>指财政部门集中安排的行政单位基本医疗缴费经费，未参加医疗保险的行政单位的公费医疗经费，按照国家规定享受离退休人员、红军老战士待遇人员的医疗经费。</w:t>
      </w:r>
    </w:p>
    <w:p w14:paraId="495A61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lang w:val="en-US" w:eastAsia="zh-CN"/>
        </w:rPr>
        <w:t>指反映行政事业单位按人力资源和社会保障部、财政部规定基本工资和津贴以及规定比例为职工缴纳的住房公积金</w:t>
      </w:r>
      <w:r>
        <w:rPr>
          <w:rFonts w:hint="eastAsia" w:ascii="仿宋_GB2312" w:eastAsia="仿宋_GB2312"/>
          <w:color w:val="auto"/>
          <w:sz w:val="32"/>
          <w:szCs w:val="32"/>
          <w:highlight w:val="none"/>
        </w:rPr>
        <w:t>。</w:t>
      </w:r>
    </w:p>
    <w:p w14:paraId="1847F8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6CC489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450766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297F5CF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5BB17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20.机关运行经费：为保障行政单位（含参照公务员法管理的事业单位）运行用于购买货物和服务的各项资金，包括办公费、邮电费、差旅费、劳务费、工会费、福利费、其他交通费用。</w:t>
      </w:r>
      <w:bookmarkStart w:id="47" w:name="_Toc15396614"/>
      <w:bookmarkStart w:id="48" w:name="_Toc15377226"/>
    </w:p>
    <w:p w14:paraId="630ED720">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79F8E995">
      <w:pPr>
        <w:spacing w:line="600" w:lineRule="exact"/>
        <w:jc w:val="center"/>
        <w:rPr>
          <w:rStyle w:val="29"/>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7"/>
    </w:p>
    <w:p w14:paraId="671FA81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7D6FBE7">
      <w:pPr>
        <w:keepNext w:val="0"/>
        <w:keepLines w:val="0"/>
        <w:pageBreakBefore w:val="0"/>
        <w:kinsoku/>
        <w:wordWrap/>
        <w:overflowPunct/>
        <w:topLinePunct w:val="0"/>
        <w:autoSpaceDE/>
        <w:autoSpaceDN/>
        <w:bidi w:val="0"/>
        <w:spacing w:line="600"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3AE05701">
      <w:pPr>
        <w:keepNext w:val="0"/>
        <w:keepLines w:val="0"/>
        <w:pageBreakBefore w:val="0"/>
        <w:widowControl/>
        <w:kinsoku/>
        <w:wordWrap/>
        <w:overflowPunct/>
        <w:topLinePunct w:val="0"/>
        <w:autoSpaceDE/>
        <w:autoSpaceDN/>
        <w:bidi w:val="0"/>
        <w:spacing w:line="600"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7192E3E8">
      <w:pPr>
        <w:keepNext w:val="0"/>
        <w:keepLines w:val="0"/>
        <w:pageBreakBefore w:val="0"/>
        <w:widowControl/>
        <w:kinsoku/>
        <w:wordWrap/>
        <w:overflowPunct/>
        <w:topLinePunct w:val="0"/>
        <w:autoSpaceDE/>
        <w:autoSpaceDN/>
        <w:bidi w:val="0"/>
        <w:spacing w:line="600"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03A665BC">
      <w:pPr>
        <w:keepNext w:val="0"/>
        <w:keepLines w:val="0"/>
        <w:pageBreakBefore w:val="0"/>
        <w:widowControl/>
        <w:kinsoku/>
        <w:wordWrap/>
        <w:overflowPunct/>
        <w:topLinePunct w:val="0"/>
        <w:autoSpaceDE/>
        <w:autoSpaceDN/>
        <w:bidi w:val="0"/>
        <w:adjustRightInd w:val="0"/>
        <w:snapToGrid w:val="0"/>
        <w:spacing w:line="600"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75F3F5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3716B59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1018A078">
      <w:pPr>
        <w:pStyle w:val="3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中共峨边彝族自治县委社会工作部</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sz w:val="32"/>
          <w:szCs w:val="32"/>
          <w:lang w:val="en-US" w:eastAsia="zh-CN"/>
        </w:rPr>
        <w:t>内设机构：办公室、基层治理和基层政权股、两企三新股、社会工作和志愿服务股，下属股级事业单位县基层治理研究中心。</w:t>
      </w:r>
    </w:p>
    <w:p w14:paraId="6C6E88FC">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7131210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_GB2312" w:hAnsi="仿宋_GB2312" w:eastAsia="仿宋_GB2312" w:cs="仿宋_GB2312"/>
          <w:color w:val="auto"/>
          <w:sz w:val="32"/>
          <w:szCs w:val="32"/>
        </w:rPr>
        <w:t>研究相关理论、政策和规划，起草相关地方性法规草案及规范性文件并组织实施。深入调查研究，及时向县委报告工作情况并提出建议。指导各乡镇党委、县级相关部门开展社会工作。统筹指导全县群众利益协调、诉求表达、矛盾调处、权益保障等人民信访工作，协调解决人民群众急难愁盼的重大问题。指导人民建议征集工作，负责征集、办理公民、法人和其他组织提出的意见建议，向县委、县政府及时反映公民、法人和其他组织对党和国家事业发展提出的重要意见建议。统筹推进党建引领基层治理和基层政权建设，协调推进城乡社区治理体系、服务体系和治理能力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基层民主政治建设，指导监督基层群众自治制度的有效实施，健全基层群众自治机制。指导全县性社会组织党建工作，统一领导全县性行业协会商会党的工作，承办全县性行业协会商会负责人人选的审核。协调推动全县行业协会商会深化改革和转型发展，调查研究相关重大问题。指导全县混合所有制企业、非公有制企业和新经济组织、新社会组织、新就业群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以下简称“两企三新”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党建工作，指导协调相关企业单位、社会组织、就业群体中党员的教育、管理、监督和服务工作，研究完善相关领域群众利益协调机制。负责全县志愿服务工作的统筹规划、协调指导、督促检查，指导推动社会工作人才队伍建设、志愿服务人才队伍建设和阵地建设，协调推动社会工作服务体系和志愿服务体系建设。</w:t>
      </w:r>
    </w:p>
    <w:p w14:paraId="2021218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仿宋_GB2312" w:hAnsi="仿宋_GB2312" w:eastAsia="仿宋_GB2312" w:cs="仿宋_GB2312"/>
          <w:color w:val="auto"/>
          <w:sz w:val="32"/>
          <w:szCs w:val="32"/>
          <w:lang w:val="en-US" w:eastAsia="zh-CN"/>
        </w:rPr>
        <w:t>中共峨边彝族自治县委社会工作部</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名，工勤</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名。离休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p>
    <w:p w14:paraId="58644438">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50443BB">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color w:val="auto"/>
          <w:sz w:val="32"/>
          <w:szCs w:val="32"/>
          <w:lang w:val="en-US" w:eastAsia="zh-CN"/>
        </w:rPr>
        <w:t>中共峨边彝族自治县委社会工作部</w:t>
      </w:r>
      <w:r>
        <w:rPr>
          <w:rFonts w:hint="eastAsia" w:ascii="Times New Roman" w:hAnsi="Times New Roman" w:eastAsia="仿宋_GB2312" w:cs="Times New Roman"/>
          <w:sz w:val="32"/>
          <w:szCs w:val="32"/>
          <w:lang w:val="en-US" w:eastAsia="zh-CN"/>
        </w:rPr>
        <w:t>2024年年初预算收入</w:t>
      </w:r>
      <w:r>
        <w:rPr>
          <w:rFonts w:hint="eastAsia" w:eastAsia="仿宋_GB2312" w:cs="Times New Roman"/>
          <w:sz w:val="32"/>
          <w:szCs w:val="32"/>
          <w:lang w:val="en-US" w:eastAsia="zh-CN"/>
        </w:rPr>
        <w:t>94.39万元</w:t>
      </w:r>
      <w:r>
        <w:rPr>
          <w:rFonts w:hint="eastAsia" w:ascii="Times New Roman" w:hAnsi="Times New Roman" w:eastAsia="仿宋_GB2312" w:cs="Times New Roman"/>
          <w:sz w:val="32"/>
          <w:szCs w:val="32"/>
          <w:lang w:val="en-US" w:eastAsia="zh-CN"/>
        </w:rPr>
        <w:t>、决算报表收入</w:t>
      </w:r>
      <w:r>
        <w:rPr>
          <w:rFonts w:hint="eastAsia" w:eastAsia="仿宋_GB2312" w:cs="Times New Roman"/>
          <w:sz w:val="32"/>
          <w:szCs w:val="32"/>
          <w:lang w:val="en-US" w:eastAsia="zh-CN"/>
        </w:rPr>
        <w:t>94.39万元</w:t>
      </w:r>
      <w:r>
        <w:rPr>
          <w:rFonts w:hint="eastAsia" w:ascii="Times New Roman" w:hAnsi="Times New Roman" w:eastAsia="仿宋_GB2312" w:cs="Times New Roman"/>
          <w:sz w:val="32"/>
          <w:szCs w:val="32"/>
          <w:lang w:val="en-US" w:eastAsia="zh-CN"/>
        </w:rPr>
        <w:t>。</w:t>
      </w:r>
    </w:p>
    <w:p w14:paraId="090501EB">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cs="仿宋_GB2312"/>
          <w:color w:val="auto"/>
          <w:sz w:val="32"/>
          <w:szCs w:val="32"/>
          <w:lang w:val="en-US" w:eastAsia="zh-CN"/>
        </w:rPr>
        <w:t>中共峨边彝族自治县委社会工作部</w:t>
      </w:r>
      <w:r>
        <w:rPr>
          <w:rFonts w:hint="eastAsia" w:ascii="Times New Roman" w:hAnsi="Times New Roman" w:eastAsia="仿宋_GB2312" w:cs="Times New Roman"/>
          <w:sz w:val="32"/>
          <w:szCs w:val="32"/>
          <w:lang w:val="en-US" w:eastAsia="zh-CN"/>
        </w:rPr>
        <w:t>2024年年初预算支出</w:t>
      </w:r>
      <w:r>
        <w:rPr>
          <w:rFonts w:hint="eastAsia" w:eastAsia="仿宋_GB2312" w:cs="Times New Roman"/>
          <w:sz w:val="32"/>
          <w:szCs w:val="32"/>
          <w:lang w:val="en-US" w:eastAsia="zh-CN"/>
        </w:rPr>
        <w:t>94.39万元</w:t>
      </w:r>
      <w:r>
        <w:rPr>
          <w:rFonts w:hint="eastAsia" w:ascii="Times New Roman" w:hAnsi="Times New Roman" w:eastAsia="仿宋_GB2312" w:cs="Times New Roman"/>
          <w:sz w:val="32"/>
          <w:szCs w:val="32"/>
          <w:lang w:val="en-US" w:eastAsia="zh-CN"/>
        </w:rPr>
        <w:t>、决算报表支出</w:t>
      </w:r>
      <w:r>
        <w:rPr>
          <w:rFonts w:hint="eastAsia" w:eastAsia="仿宋_GB2312" w:cs="Times New Roman"/>
          <w:sz w:val="32"/>
          <w:szCs w:val="32"/>
          <w:lang w:val="en-US" w:eastAsia="zh-CN"/>
        </w:rPr>
        <w:t>94.39万元</w:t>
      </w:r>
      <w:r>
        <w:rPr>
          <w:rFonts w:hint="eastAsia" w:ascii="Times New Roman" w:hAnsi="Times New Roman" w:eastAsia="仿宋_GB2312" w:cs="Times New Roman"/>
          <w:sz w:val="32"/>
          <w:szCs w:val="32"/>
          <w:lang w:val="en-US" w:eastAsia="zh-CN"/>
        </w:rPr>
        <w:t>。</w:t>
      </w:r>
    </w:p>
    <w:p w14:paraId="00847A94">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eastAsia="仿宋_GB2312" w:cs="仿宋_GB2312"/>
          <w:color w:val="auto"/>
          <w:sz w:val="32"/>
          <w:szCs w:val="32"/>
          <w:lang w:val="en-US" w:eastAsia="zh-CN"/>
        </w:rPr>
        <w:t>中共峨边彝族自治县委社会工作部</w:t>
      </w:r>
      <w:r>
        <w:rPr>
          <w:rFonts w:hint="eastAsia" w:ascii="Times New Roman" w:hAnsi="Times New Roman" w:eastAsia="仿宋_GB2312" w:cs="Times New Roman"/>
          <w:sz w:val="32"/>
          <w:szCs w:val="32"/>
          <w:lang w:val="en-US" w:eastAsia="zh-CN"/>
        </w:rPr>
        <w:t>2024</w:t>
      </w:r>
      <w:r>
        <w:rPr>
          <w:rFonts w:hint="eastAsia"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决算报表</w:t>
      </w:r>
      <w:r>
        <w:rPr>
          <w:rFonts w:hint="default" w:ascii="Times New Roman" w:hAnsi="Times New Roman" w:eastAsia="仿宋_GB2312" w:cs="Times New Roman"/>
          <w:sz w:val="32"/>
          <w:szCs w:val="32"/>
          <w:lang w:val="en-US" w:eastAsia="zh-CN"/>
        </w:rPr>
        <w:t>结转结余</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w:t>
      </w:r>
    </w:p>
    <w:p w14:paraId="3963B658">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356B5E3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7D5F1C13">
      <w:pPr>
        <w:pStyle w:val="3"/>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eastAsia" w:ascii="仿宋_GB2312" w:hAnsi="仿宋_GB2312" w:eastAsia="仿宋_GB2312" w:cs="仿宋_GB2312"/>
          <w:color w:val="auto"/>
          <w:kern w:val="2"/>
          <w:sz w:val="32"/>
          <w:szCs w:val="32"/>
          <w:highlight w:val="none"/>
          <w:lang w:val="zh-CN" w:eastAsia="zh-CN" w:bidi="ar-SA"/>
        </w:rPr>
        <w:t>2024年</w:t>
      </w:r>
      <w:r>
        <w:rPr>
          <w:rFonts w:hint="eastAsia" w:ascii="Times New Roman" w:hAnsi="Times New Roman" w:eastAsia="仿宋_GB2312" w:cs="仿宋_GB2312"/>
          <w:color w:val="auto"/>
          <w:kern w:val="2"/>
          <w:sz w:val="32"/>
          <w:szCs w:val="32"/>
          <w:highlight w:val="none"/>
          <w:lang w:val="zh-CN" w:eastAsia="zh-CN" w:bidi="ar-SA"/>
        </w:rPr>
        <w:t>度部门支出满足了机关正常运转，加强了党的建设，提高了干部队伍政治素质，始终坚持以习近平新时代中国特色社会主义思想为指导，深入贯彻落实习近平总书记关于社会工作的重要指示精神，切实担负起统筹推进党建引领基层治理和基层政权建设的政治责任，履行推动行业协会商会深化改革和转型发展的使命任务，落实指导推动混合所有制企业、非公有制企业和新经济组织、新社会组织、新就业群体党建工作的职能职责，统筹推进社会工作人才队伍建设和志愿服务常态化体系化，依托人民信访工作机制，发挥“晴雨表”作用，广泛征集人民建议，坚持边探索、边谋划、边推进，把准定位、完善机制、增强本领，推动各项工作再上新台阶。</w:t>
      </w:r>
    </w:p>
    <w:p w14:paraId="3514663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我部</w:t>
      </w:r>
      <w:r>
        <w:rPr>
          <w:rFonts w:hint="eastAsia" w:ascii="Times New Roman" w:hAnsi="Times New Roman" w:eastAsia="仿宋_GB2312" w:cs="仿宋_GB2312"/>
          <w:color w:val="auto"/>
          <w:kern w:val="2"/>
          <w:sz w:val="32"/>
          <w:szCs w:val="32"/>
          <w:highlight w:val="none"/>
          <w:lang w:val="zh-CN" w:eastAsia="zh-CN" w:bidi="ar-SA"/>
        </w:rPr>
        <w:t>预算编制严格遵循《</w:t>
      </w:r>
      <w:bookmarkStart w:id="64" w:name="_GoBack"/>
      <w:r>
        <w:rPr>
          <w:rFonts w:hint="eastAsia" w:eastAsia="仿宋_GB2312" w:cs="仿宋_GB2312"/>
          <w:color w:val="auto"/>
          <w:kern w:val="2"/>
          <w:sz w:val="32"/>
          <w:szCs w:val="32"/>
          <w:highlight w:val="none"/>
          <w:lang w:val="zh-CN" w:eastAsia="zh-CN" w:bidi="ar-SA"/>
        </w:rPr>
        <w:t>中华人民共和国预算法</w:t>
      </w:r>
      <w:bookmarkEnd w:id="64"/>
      <w:r>
        <w:rPr>
          <w:rFonts w:hint="eastAsia" w:ascii="Times New Roman" w:hAnsi="Times New Roman" w:eastAsia="仿宋_GB2312" w:cs="仿宋_GB2312"/>
          <w:color w:val="auto"/>
          <w:kern w:val="2"/>
          <w:sz w:val="32"/>
          <w:szCs w:val="32"/>
          <w:highlight w:val="none"/>
          <w:lang w:val="zh-CN" w:eastAsia="zh-CN" w:bidi="ar-SA"/>
        </w:rPr>
        <w:t>》及单位发展规划，确保收支项目全覆盖，</w:t>
      </w:r>
      <w:r>
        <w:rPr>
          <w:rFonts w:hint="eastAsia" w:ascii="Times New Roman" w:hAnsi="Times New Roman" w:eastAsia="仿宋_GB2312" w:cs="仿宋_GB2312"/>
          <w:color w:val="auto"/>
          <w:kern w:val="2"/>
          <w:sz w:val="32"/>
          <w:szCs w:val="32"/>
          <w:highlight w:val="none"/>
          <w:lang w:val="en-US" w:eastAsia="zh-CN" w:bidi="ar-SA"/>
        </w:rPr>
        <w:t>预算</w:t>
      </w:r>
      <w:r>
        <w:rPr>
          <w:rFonts w:hint="eastAsia" w:ascii="Times New Roman" w:hAnsi="Times New Roman" w:eastAsia="仿宋_GB2312" w:cs="仿宋_GB2312"/>
          <w:color w:val="auto"/>
          <w:kern w:val="2"/>
          <w:sz w:val="32"/>
          <w:szCs w:val="32"/>
          <w:highlight w:val="none"/>
          <w:lang w:val="zh-CN" w:eastAsia="zh-CN" w:bidi="ar-SA"/>
        </w:rPr>
        <w:t>编制细化到具体项目和支出类别，避免“大类打包”，提升</w:t>
      </w:r>
      <w:r>
        <w:rPr>
          <w:rFonts w:hint="eastAsia" w:ascii="Times New Roman" w:hAnsi="Times New Roman" w:eastAsia="仿宋_GB2312" w:cs="仿宋_GB2312"/>
          <w:color w:val="auto"/>
          <w:kern w:val="2"/>
          <w:sz w:val="32"/>
          <w:szCs w:val="32"/>
          <w:highlight w:val="none"/>
          <w:lang w:val="en-US" w:eastAsia="zh-CN" w:bidi="ar-SA"/>
        </w:rPr>
        <w:t>预算</w:t>
      </w:r>
      <w:r>
        <w:rPr>
          <w:rFonts w:hint="eastAsia" w:ascii="Times New Roman" w:hAnsi="Times New Roman" w:eastAsia="仿宋_GB2312" w:cs="仿宋_GB2312"/>
          <w:color w:val="auto"/>
          <w:kern w:val="2"/>
          <w:sz w:val="32"/>
          <w:szCs w:val="32"/>
          <w:highlight w:val="none"/>
          <w:lang w:val="zh-CN" w:eastAsia="zh-CN" w:bidi="ar-SA"/>
        </w:rPr>
        <w:t>编制精准度。</w:t>
      </w:r>
    </w:p>
    <w:p w14:paraId="54BAADD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我部</w:t>
      </w:r>
      <w:r>
        <w:rPr>
          <w:rFonts w:hint="eastAsia" w:ascii="Times New Roman" w:hAnsi="Times New Roman" w:eastAsia="仿宋_GB2312" w:cs="仿宋_GB2312"/>
          <w:color w:val="auto"/>
          <w:kern w:val="2"/>
          <w:sz w:val="32"/>
          <w:szCs w:val="32"/>
          <w:highlight w:val="none"/>
          <w:lang w:val="zh-CN" w:eastAsia="zh-CN" w:bidi="ar-SA"/>
        </w:rPr>
        <w:t>建立</w:t>
      </w:r>
      <w:r>
        <w:rPr>
          <w:rFonts w:hint="eastAsia" w:ascii="Times New Roman" w:hAnsi="Times New Roman" w:eastAsia="仿宋_GB2312" w:cs="仿宋_GB2312"/>
          <w:color w:val="auto"/>
          <w:kern w:val="2"/>
          <w:sz w:val="32"/>
          <w:szCs w:val="32"/>
          <w:highlight w:val="none"/>
          <w:lang w:val="en-US" w:eastAsia="zh-CN" w:bidi="ar-SA"/>
        </w:rPr>
        <w:t>完善的</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en-US" w:eastAsia="zh-CN" w:bidi="ar-SA"/>
        </w:rPr>
        <w:t>制度</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对</w:t>
      </w:r>
      <w:r>
        <w:rPr>
          <w:rFonts w:hint="eastAsia" w:ascii="Times New Roman" w:hAnsi="Times New Roman" w:eastAsia="仿宋_GB2312" w:cs="仿宋_GB2312"/>
          <w:color w:val="auto"/>
          <w:kern w:val="2"/>
          <w:sz w:val="32"/>
          <w:szCs w:val="32"/>
          <w:highlight w:val="none"/>
          <w:lang w:val="zh-CN" w:eastAsia="zh-CN" w:bidi="ar-SA"/>
        </w:rPr>
        <w:t>预算编制、</w:t>
      </w:r>
      <w:r>
        <w:rPr>
          <w:rFonts w:hint="eastAsia" w:ascii="Times New Roman" w:hAnsi="Times New Roman" w:eastAsia="仿宋_GB2312" w:cs="仿宋_GB2312"/>
          <w:color w:val="auto"/>
          <w:kern w:val="2"/>
          <w:sz w:val="32"/>
          <w:szCs w:val="32"/>
          <w:highlight w:val="none"/>
          <w:lang w:val="en-US" w:eastAsia="zh-CN" w:bidi="ar-SA"/>
        </w:rPr>
        <w:t>收入</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zh-CN" w:eastAsia="zh-CN" w:bidi="ar-SA"/>
        </w:rPr>
        <w:t>执行</w:t>
      </w:r>
      <w:r>
        <w:rPr>
          <w:rFonts w:hint="eastAsia" w:ascii="Times New Roman" w:hAnsi="Times New Roman"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zh-CN" w:eastAsia="zh-CN" w:bidi="ar-SA"/>
        </w:rPr>
        <w:t>全流程</w:t>
      </w:r>
      <w:r>
        <w:rPr>
          <w:rFonts w:hint="eastAsia" w:ascii="Times New Roman" w:hAnsi="Times New Roman" w:eastAsia="仿宋_GB2312" w:cs="仿宋_GB2312"/>
          <w:color w:val="auto"/>
          <w:kern w:val="2"/>
          <w:sz w:val="32"/>
          <w:szCs w:val="32"/>
          <w:highlight w:val="none"/>
          <w:lang w:val="en-US" w:eastAsia="zh-CN" w:bidi="ar-SA"/>
        </w:rPr>
        <w:t>进行</w:t>
      </w:r>
      <w:r>
        <w:rPr>
          <w:rFonts w:hint="eastAsia" w:ascii="Times New Roman" w:hAnsi="Times New Roman" w:eastAsia="仿宋_GB2312" w:cs="仿宋_GB2312"/>
          <w:color w:val="auto"/>
          <w:kern w:val="2"/>
          <w:sz w:val="32"/>
          <w:szCs w:val="32"/>
          <w:highlight w:val="none"/>
          <w:lang w:val="zh-CN" w:eastAsia="zh-CN" w:bidi="ar-SA"/>
        </w:rPr>
        <w:t>监督管理，出纳、会计岗位权责清晰。</w:t>
      </w:r>
    </w:p>
    <w:p w14:paraId="06FD1EF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我部</w:t>
      </w:r>
      <w:r>
        <w:rPr>
          <w:rFonts w:hint="eastAsia" w:ascii="Times New Roman" w:hAnsi="Times New Roman" w:eastAsia="仿宋_GB2312" w:cs="仿宋_GB2312"/>
          <w:color w:val="auto"/>
          <w:kern w:val="2"/>
          <w:sz w:val="32"/>
          <w:szCs w:val="32"/>
          <w:highlight w:val="none"/>
          <w:lang w:val="zh-CN" w:eastAsia="zh-CN" w:bidi="ar-SA"/>
        </w:rPr>
        <w:t>建立</w:t>
      </w:r>
      <w:r>
        <w:rPr>
          <w:rFonts w:hint="eastAsia" w:ascii="Times New Roman" w:hAnsi="Times New Roman" w:eastAsia="仿宋_GB2312" w:cs="仿宋_GB2312"/>
          <w:color w:val="auto"/>
          <w:kern w:val="2"/>
          <w:sz w:val="32"/>
          <w:szCs w:val="32"/>
          <w:highlight w:val="none"/>
          <w:lang w:val="en-US" w:eastAsia="zh-CN" w:bidi="ar-SA"/>
        </w:rPr>
        <w:t>完善的</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en-US" w:eastAsia="zh-CN" w:bidi="ar-SA"/>
        </w:rPr>
        <w:t>制度</w:t>
      </w:r>
      <w:r>
        <w:rPr>
          <w:rFonts w:hint="eastAsia" w:ascii="Times New Roman" w:hAnsi="Times New Roman" w:eastAsia="仿宋_GB2312" w:cs="仿宋_GB2312"/>
          <w:color w:val="auto"/>
          <w:kern w:val="2"/>
          <w:sz w:val="32"/>
          <w:szCs w:val="32"/>
          <w:highlight w:val="none"/>
          <w:lang w:val="zh-CN" w:eastAsia="zh-CN" w:bidi="ar-SA"/>
        </w:rPr>
        <w:t>，对资产采购、使用、处置等各环节进行严格规范，确保资产管理的每一个步骤都有章可循。定期开展资产清查盘点工作，保证账实相符，及时掌握资产的实际状况。</w:t>
      </w:r>
    </w:p>
    <w:p w14:paraId="2EA0860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我部建立完善的采购管理制度，通过明确采购流程与规范，确保采购活动有序开展。在支持中小企业发展方面，积极落实相关政策要求，在采购项目中为中小企业预留一定份额，助力中小企业成长。同时，严格把控采购执行率，对采购计划的制定、执行及调整进行全程跟踪，保证采购项目按时、按质完成，提高资金使用效益。</w:t>
      </w:r>
    </w:p>
    <w:p w14:paraId="3489C2D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0540D87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我单位</w:t>
      </w:r>
      <w:r>
        <w:rPr>
          <w:rFonts w:hint="eastAsia" w:ascii="Times New Roman" w:hAnsi="Times New Roman" w:eastAsia="仿宋_GB2312" w:cs="仿宋_GB2312"/>
          <w:color w:val="auto"/>
          <w:kern w:val="2"/>
          <w:sz w:val="32"/>
          <w:szCs w:val="32"/>
          <w:highlight w:val="none"/>
          <w:lang w:val="en-US" w:eastAsia="zh-CN" w:bidi="ar-SA"/>
        </w:rPr>
        <w:t>2024年</w:t>
      </w:r>
      <w:r>
        <w:rPr>
          <w:rFonts w:hint="eastAsia" w:eastAsia="仿宋_GB2312" w:cs="仿宋_GB2312"/>
          <w:color w:val="auto"/>
          <w:kern w:val="2"/>
          <w:sz w:val="32"/>
          <w:szCs w:val="32"/>
          <w:highlight w:val="none"/>
          <w:lang w:val="en-US" w:eastAsia="zh-CN" w:bidi="ar-SA"/>
        </w:rPr>
        <w:t>5月挂牌成立，2024年度无预算</w:t>
      </w:r>
      <w:r>
        <w:rPr>
          <w:rFonts w:hint="eastAsia" w:ascii="Times New Roman" w:hAnsi="Times New Roman" w:eastAsia="仿宋_GB2312" w:cs="仿宋_GB2312"/>
          <w:color w:val="auto"/>
          <w:kern w:val="2"/>
          <w:sz w:val="32"/>
          <w:szCs w:val="32"/>
          <w:highlight w:val="none"/>
          <w:lang w:val="en-US" w:eastAsia="zh-CN" w:bidi="ar-SA"/>
        </w:rPr>
        <w:t>项目</w:t>
      </w:r>
      <w:r>
        <w:rPr>
          <w:rFonts w:hint="eastAsia" w:eastAsia="仿宋_GB2312" w:cs="仿宋_GB2312"/>
          <w:color w:val="auto"/>
          <w:kern w:val="2"/>
          <w:sz w:val="32"/>
          <w:szCs w:val="32"/>
          <w:highlight w:val="none"/>
          <w:lang w:val="en-US" w:eastAsia="zh-CN" w:bidi="ar-SA"/>
        </w:rPr>
        <w:t>。</w:t>
      </w:r>
    </w:p>
    <w:p w14:paraId="7B60E2EE">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仿宋_GB2312" w:cs="Times New Roman"/>
          <w:sz w:val="32"/>
          <w:szCs w:val="32"/>
          <w:highlight w:val="none"/>
          <w:u w:val="none"/>
          <w:lang w:val="zh-C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5BF6B6B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内部应用情况：我部将绩效结果积极应用于内部管理优化，依据绩效评估结果调整预算分配方向，对绩效表现突出的项目适当增加资金支持，对绩效不达标的项目深入分析原因，提出改进措施并调整后续预算安排，以提升资金使用效率和项目实施效果。</w:t>
      </w:r>
    </w:p>
    <w:p w14:paraId="02CD124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信息公开情况：严格按照相关规定，将部门预算项目绩效结果进行公开，通过单位官方网站等渠道，向社会公众全面、准确地公开绩效自评报告，主动接受社会监督，增强预算管理的透明度和公信力。</w:t>
      </w:r>
    </w:p>
    <w:p w14:paraId="393DF85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整改反馈情况：针对绩效自评过程中发现的问题，及时制定整改方案，明确整改责任人与整改期限。定期对整改情况进行跟踪检查，确保问题得到有效解决。同时，将整改结果及时反馈给相关部门和人员，形成绩效管理的闭环，促进部门预算绩效的持续提升。</w:t>
      </w:r>
    </w:p>
    <w:p w14:paraId="2629436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2D860F88">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eastAsia="仿宋_GB2312" w:cs="仿宋_GB2312"/>
          <w:color w:val="auto"/>
          <w:kern w:val="2"/>
          <w:sz w:val="32"/>
          <w:szCs w:val="32"/>
          <w:highlight w:val="none"/>
          <w:lang w:val="en-US" w:eastAsia="zh-CN" w:bidi="ar-SA"/>
        </w:rPr>
        <w:t>我单位</w:t>
      </w:r>
      <w:r>
        <w:rPr>
          <w:rFonts w:hint="eastAsia" w:ascii="Times New Roman" w:hAnsi="Times New Roman" w:eastAsia="仿宋_GB2312" w:cs="仿宋_GB2312"/>
          <w:color w:val="auto"/>
          <w:kern w:val="2"/>
          <w:sz w:val="32"/>
          <w:szCs w:val="32"/>
          <w:highlight w:val="none"/>
          <w:lang w:val="en-US" w:eastAsia="zh-CN" w:bidi="ar-SA"/>
        </w:rPr>
        <w:t>2024年</w:t>
      </w:r>
      <w:r>
        <w:rPr>
          <w:rFonts w:hint="eastAsia" w:eastAsia="仿宋_GB2312" w:cs="仿宋_GB2312"/>
          <w:color w:val="auto"/>
          <w:kern w:val="2"/>
          <w:sz w:val="32"/>
          <w:szCs w:val="32"/>
          <w:highlight w:val="none"/>
          <w:lang w:val="en-US" w:eastAsia="zh-CN" w:bidi="ar-SA"/>
        </w:rPr>
        <w:t>5月挂牌成立，</w:t>
      </w:r>
      <w:r>
        <w:rPr>
          <w:rFonts w:hint="eastAsia" w:eastAsia="仿宋_GB2312" w:cs="Times New Roman"/>
          <w:sz w:val="32"/>
          <w:szCs w:val="32"/>
          <w:u w:val="none"/>
          <w:lang w:val="en-US" w:eastAsia="zh-CN" w:bidi="ar"/>
        </w:rPr>
        <w:t>对2024年度</w:t>
      </w:r>
      <w:r>
        <w:rPr>
          <w:rFonts w:hint="eastAsia" w:ascii="Times New Roman" w:hAnsi="Times New Roman" w:eastAsia="仿宋_GB2312" w:cs="Times New Roman"/>
          <w:sz w:val="32"/>
          <w:szCs w:val="32"/>
          <w:u w:val="none"/>
          <w:lang w:val="en-US" w:eastAsia="zh-CN" w:bidi="ar"/>
        </w:rPr>
        <w:t>部门整体支出绩效自评</w:t>
      </w:r>
      <w:r>
        <w:rPr>
          <w:rFonts w:hint="eastAsia" w:eastAsia="仿宋_GB2312" w:cs="Times New Roman"/>
          <w:sz w:val="32"/>
          <w:szCs w:val="32"/>
          <w:u w:val="none"/>
          <w:lang w:val="en-US" w:eastAsia="zh-CN" w:bidi="ar"/>
        </w:rPr>
        <w:t>得分100分。</w:t>
      </w:r>
    </w:p>
    <w:p w14:paraId="06BCE570">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eastAsia="仿宋_GB2312" w:cs="仿宋_GB2312"/>
          <w:color w:val="auto"/>
          <w:kern w:val="2"/>
          <w:sz w:val="32"/>
          <w:szCs w:val="32"/>
          <w:highlight w:val="none"/>
          <w:lang w:val="en-US" w:eastAsia="zh-CN" w:bidi="ar-SA"/>
        </w:rPr>
        <w:t>无</w:t>
      </w:r>
    </w:p>
    <w:p w14:paraId="039A0D6F">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49" w:name="_Hlk110546638"/>
    </w:p>
    <w:p w14:paraId="1F8ECAF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 w:eastAsia="zh-CN" w:bidi="ar-SA"/>
        </w:rPr>
      </w:pPr>
      <w:r>
        <w:rPr>
          <w:rFonts w:hint="eastAsia" w:ascii="Times New Roman" w:hAnsi="Times New Roman" w:eastAsia="仿宋_GB2312" w:cs="仿宋_GB2312"/>
          <w:color w:val="auto"/>
          <w:kern w:val="2"/>
          <w:sz w:val="32"/>
          <w:szCs w:val="32"/>
          <w:highlight w:val="none"/>
          <w:lang w:val="en" w:eastAsia="zh-CN" w:bidi="ar-SA"/>
        </w:rPr>
        <w:t>尽管当前评价未发现显著问题，但为进一步提升部门预算绩效管理水平，可从以下几方面着手优化：在预算安排上，可加强前期调研与需求分析，确保预算编制更加科学合理；在完善政策方面，应持续关注行业动态与政策导向，及时调整和优化预算绩效管理相关政策，确保政策的前瞻性和有效性；在改进管理上，可进一步强化绩效监控与评估机制，利用信息化手段提升管理效率，同时加强人员培训，提升团队专业能力，确保绩效管理工作的高质量开展。</w:t>
      </w:r>
      <w:bookmarkEnd w:id="49"/>
    </w:p>
    <w:p w14:paraId="0ED151CE">
      <w:pPr>
        <w:rPr>
          <w:rFonts w:hint="eastAsia" w:ascii="Times New Roman" w:hAnsi="Times New Roman" w:eastAsia="仿宋_GB2312" w:cs="仿宋_GB2312"/>
          <w:color w:val="auto"/>
          <w:kern w:val="2"/>
          <w:sz w:val="32"/>
          <w:szCs w:val="32"/>
          <w:highlight w:val="none"/>
          <w:lang w:val="en" w:eastAsia="zh-CN" w:bidi="ar-SA"/>
        </w:rPr>
      </w:pPr>
      <w:r>
        <w:rPr>
          <w:rFonts w:hint="eastAsia" w:ascii="Times New Roman" w:hAnsi="Times New Roman" w:eastAsia="仿宋_GB2312" w:cs="仿宋_GB2312"/>
          <w:color w:val="auto"/>
          <w:kern w:val="2"/>
          <w:sz w:val="32"/>
          <w:szCs w:val="32"/>
          <w:highlight w:val="none"/>
          <w:lang w:val="en" w:eastAsia="zh-CN" w:bidi="ar-SA"/>
        </w:rPr>
        <w:br w:type="page"/>
      </w:r>
    </w:p>
    <w:p w14:paraId="0C80D417">
      <w:pPr>
        <w:pStyle w:val="2"/>
        <w:rPr>
          <w:rFonts w:hint="eastAsia"/>
          <w:lang w:val="en-US" w:eastAsia="zh-CN"/>
        </w:rPr>
      </w:pPr>
    </w:p>
    <w:p w14:paraId="7DE39880">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仿宋"/>
          <w:b w:val="0"/>
          <w:color w:val="auto"/>
          <w:highlight w:val="none"/>
        </w:rPr>
      </w:pPr>
      <w:bookmarkStart w:id="50" w:name="_Toc15396618"/>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8"/>
      <w:bookmarkEnd w:id="50"/>
      <w:bookmarkStart w:id="51" w:name="_Toc15396619"/>
    </w:p>
    <w:p w14:paraId="0C39E6C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017D0D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1"/>
    </w:p>
    <w:p w14:paraId="31EA322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0"/>
      <w:r>
        <w:rPr>
          <w:rFonts w:hint="eastAsia" w:ascii="Times New Roman" w:hAnsi="Times New Roman" w:eastAsia="仿宋_GB2312" w:cs="仿宋_GB2312"/>
          <w:color w:val="auto"/>
          <w:sz w:val="32"/>
          <w:szCs w:val="32"/>
          <w:highlight w:val="none"/>
        </w:rPr>
        <w:t>二、收入决算表</w:t>
      </w:r>
      <w:bookmarkEnd w:id="52"/>
    </w:p>
    <w:p w14:paraId="1F12E37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1"/>
      <w:r>
        <w:rPr>
          <w:rFonts w:hint="eastAsia" w:ascii="Times New Roman" w:hAnsi="Times New Roman" w:eastAsia="仿宋_GB2312" w:cs="仿宋_GB2312"/>
          <w:color w:val="auto"/>
          <w:sz w:val="32"/>
          <w:szCs w:val="32"/>
          <w:highlight w:val="none"/>
        </w:rPr>
        <w:t>三、支出决算表</w:t>
      </w:r>
      <w:bookmarkEnd w:id="53"/>
    </w:p>
    <w:p w14:paraId="481CFB5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2"/>
      <w:r>
        <w:rPr>
          <w:rFonts w:hint="eastAsia" w:ascii="Times New Roman" w:hAnsi="Times New Roman" w:eastAsia="仿宋_GB2312" w:cs="仿宋_GB2312"/>
          <w:color w:val="auto"/>
          <w:sz w:val="32"/>
          <w:szCs w:val="32"/>
          <w:highlight w:val="none"/>
        </w:rPr>
        <w:t>四、财政拨款收入支出决算总表</w:t>
      </w:r>
      <w:bookmarkEnd w:id="54"/>
    </w:p>
    <w:p w14:paraId="1A904AF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3"/>
      <w:r>
        <w:rPr>
          <w:rFonts w:hint="eastAsia" w:ascii="Times New Roman" w:hAnsi="Times New Roman" w:eastAsia="仿宋_GB2312" w:cs="仿宋_GB2312"/>
          <w:color w:val="auto"/>
          <w:sz w:val="32"/>
          <w:szCs w:val="32"/>
          <w:highlight w:val="none"/>
        </w:rPr>
        <w:t>五、财政拨款支出决算明细表</w:t>
      </w:r>
      <w:bookmarkEnd w:id="55"/>
      <w:bookmarkStart w:id="56" w:name="_Toc15396624"/>
    </w:p>
    <w:p w14:paraId="4C689F5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6"/>
    </w:p>
    <w:p w14:paraId="2473B03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5"/>
      <w:r>
        <w:rPr>
          <w:rFonts w:hint="eastAsia" w:ascii="Times New Roman" w:hAnsi="Times New Roman" w:eastAsia="仿宋_GB2312" w:cs="仿宋_GB2312"/>
          <w:color w:val="auto"/>
          <w:sz w:val="32"/>
          <w:szCs w:val="32"/>
          <w:highlight w:val="none"/>
        </w:rPr>
        <w:t>七、一般公共预算财政拨款支出决算明细表</w:t>
      </w:r>
      <w:bookmarkEnd w:id="57"/>
    </w:p>
    <w:p w14:paraId="61B7566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6"/>
      <w:r>
        <w:rPr>
          <w:rFonts w:hint="eastAsia" w:ascii="Times New Roman" w:hAnsi="Times New Roman" w:eastAsia="仿宋_GB2312" w:cs="仿宋_GB2312"/>
          <w:color w:val="auto"/>
          <w:sz w:val="32"/>
          <w:szCs w:val="32"/>
          <w:highlight w:val="none"/>
        </w:rPr>
        <w:t>八、一般公共预算财政拨款基本支出决算表</w:t>
      </w:r>
      <w:bookmarkEnd w:id="58"/>
    </w:p>
    <w:p w14:paraId="100302F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7"/>
      <w:r>
        <w:rPr>
          <w:rFonts w:hint="eastAsia" w:ascii="Times New Roman" w:hAnsi="Times New Roman" w:eastAsia="仿宋_GB2312" w:cs="仿宋_GB2312"/>
          <w:color w:val="auto"/>
          <w:sz w:val="32"/>
          <w:szCs w:val="32"/>
          <w:highlight w:val="none"/>
        </w:rPr>
        <w:t>九、一般公共预算财政拨款项目支出决算表</w:t>
      </w:r>
      <w:bookmarkEnd w:id="59"/>
    </w:p>
    <w:p w14:paraId="3C076C9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8"/>
      <w:r>
        <w:rPr>
          <w:rFonts w:hint="eastAsia" w:ascii="Times New Roman" w:hAnsi="Times New Roman" w:eastAsia="仿宋_GB2312" w:cs="仿宋_GB2312"/>
          <w:color w:val="auto"/>
          <w:sz w:val="32"/>
          <w:szCs w:val="32"/>
          <w:highlight w:val="none"/>
        </w:rPr>
        <w:t>十、</w:t>
      </w:r>
      <w:bookmarkEnd w:id="60"/>
      <w:r>
        <w:rPr>
          <w:rFonts w:hint="eastAsia" w:ascii="Times New Roman" w:hAnsi="Times New Roman" w:eastAsia="仿宋_GB2312" w:cs="仿宋_GB2312"/>
          <w:color w:val="auto"/>
          <w:sz w:val="32"/>
          <w:szCs w:val="32"/>
          <w:highlight w:val="none"/>
        </w:rPr>
        <w:t>政府性基金预算财政拨款收入支出决算表</w:t>
      </w:r>
    </w:p>
    <w:p w14:paraId="36F9A8D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9"/>
      <w:r>
        <w:rPr>
          <w:rFonts w:hint="eastAsia" w:ascii="Times New Roman" w:hAnsi="Times New Roman" w:eastAsia="仿宋_GB2312" w:cs="仿宋_GB2312"/>
          <w:color w:val="auto"/>
          <w:sz w:val="32"/>
          <w:szCs w:val="32"/>
          <w:highlight w:val="none"/>
        </w:rPr>
        <w:t>十一、</w:t>
      </w:r>
      <w:bookmarkEnd w:id="6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29FC4F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30"/>
      <w:r>
        <w:rPr>
          <w:rFonts w:hint="eastAsia" w:ascii="Times New Roman" w:hAnsi="Times New Roman" w:eastAsia="仿宋_GB2312" w:cs="仿宋_GB2312"/>
          <w:color w:val="auto"/>
          <w:sz w:val="32"/>
          <w:szCs w:val="32"/>
          <w:highlight w:val="none"/>
        </w:rPr>
        <w:t>十二、</w:t>
      </w:r>
      <w:bookmarkEnd w:id="62"/>
      <w:r>
        <w:rPr>
          <w:rFonts w:hint="eastAsia" w:ascii="Times New Roman" w:hAnsi="Times New Roman" w:eastAsia="仿宋_GB2312" w:cs="仿宋_GB2312"/>
          <w:color w:val="auto"/>
          <w:sz w:val="32"/>
          <w:szCs w:val="32"/>
          <w:highlight w:val="none"/>
          <w:lang w:eastAsia="zh-CN"/>
        </w:rPr>
        <w:t>国有资本经营预算财政拨款支出决算表</w:t>
      </w:r>
    </w:p>
    <w:p w14:paraId="4A4F0CD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3" w:name="_Toc15396631"/>
      <w:r>
        <w:rPr>
          <w:rFonts w:hint="eastAsia" w:ascii="Times New Roman" w:hAnsi="Times New Roman" w:eastAsia="仿宋_GB2312" w:cs="仿宋_GB2312"/>
          <w:color w:val="auto"/>
          <w:sz w:val="32"/>
          <w:szCs w:val="32"/>
          <w:highlight w:val="none"/>
        </w:rPr>
        <w:t>十三、</w:t>
      </w:r>
      <w:bookmarkEnd w:id="63"/>
      <w:r>
        <w:rPr>
          <w:rFonts w:hint="eastAsia" w:ascii="Times New Roman" w:hAnsi="Times New Roman" w:eastAsia="仿宋_GB2312" w:cs="仿宋_GB2312"/>
          <w:color w:val="auto"/>
          <w:sz w:val="32"/>
          <w:szCs w:val="32"/>
          <w:highlight w:val="none"/>
          <w:lang w:eastAsia="zh-CN"/>
        </w:rPr>
        <w:t>财政拨款“三公”经费支出决算表</w:t>
      </w:r>
    </w:p>
    <w:p w14:paraId="347937E4">
      <w:pPr>
        <w:rPr>
          <w:rFonts w:hint="eastAsia" w:ascii="Times New Roman" w:hAnsi="Times New Roman"/>
          <w:lang w:eastAsia="zh-CN"/>
        </w:rPr>
      </w:pPr>
    </w:p>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5BB6C">
    <w:pPr>
      <w:pStyle w:val="12"/>
      <w:jc w:val="center"/>
    </w:pPr>
  </w:p>
  <w:p w14:paraId="2102A60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68D32">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CFDCA">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3B2B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43B2B9">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61395EA6">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45DEB">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44744">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E44744">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FD744">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3C61"/>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17E9C"/>
    <w:rsid w:val="012A5EC2"/>
    <w:rsid w:val="015975B8"/>
    <w:rsid w:val="02FEBE30"/>
    <w:rsid w:val="046D3DB2"/>
    <w:rsid w:val="04916F1E"/>
    <w:rsid w:val="061E35DE"/>
    <w:rsid w:val="066E0107"/>
    <w:rsid w:val="06B348ED"/>
    <w:rsid w:val="07996F6E"/>
    <w:rsid w:val="07DFD8BA"/>
    <w:rsid w:val="08BB44C5"/>
    <w:rsid w:val="09867E8F"/>
    <w:rsid w:val="0A2032A3"/>
    <w:rsid w:val="0CA8290A"/>
    <w:rsid w:val="0D35B1ED"/>
    <w:rsid w:val="0E254B6B"/>
    <w:rsid w:val="0F8451C7"/>
    <w:rsid w:val="0F916FD6"/>
    <w:rsid w:val="0F98263C"/>
    <w:rsid w:val="101860EC"/>
    <w:rsid w:val="101F47CC"/>
    <w:rsid w:val="10C055FF"/>
    <w:rsid w:val="11694EBD"/>
    <w:rsid w:val="11772AA4"/>
    <w:rsid w:val="118107EC"/>
    <w:rsid w:val="125C0BBE"/>
    <w:rsid w:val="12E24EE2"/>
    <w:rsid w:val="1332191F"/>
    <w:rsid w:val="13D50BC4"/>
    <w:rsid w:val="14963773"/>
    <w:rsid w:val="14B17F78"/>
    <w:rsid w:val="165E0673"/>
    <w:rsid w:val="16B831D5"/>
    <w:rsid w:val="16BB723D"/>
    <w:rsid w:val="17E50567"/>
    <w:rsid w:val="186504BB"/>
    <w:rsid w:val="19A445FC"/>
    <w:rsid w:val="1A615D3C"/>
    <w:rsid w:val="1A7D5727"/>
    <w:rsid w:val="1B376B03"/>
    <w:rsid w:val="1BE8440E"/>
    <w:rsid w:val="1BFF07FA"/>
    <w:rsid w:val="1C943E38"/>
    <w:rsid w:val="1D155CEE"/>
    <w:rsid w:val="1D1638FE"/>
    <w:rsid w:val="1E312DEB"/>
    <w:rsid w:val="1E740ACF"/>
    <w:rsid w:val="1FF35744"/>
    <w:rsid w:val="1FF6BC77"/>
    <w:rsid w:val="20873983"/>
    <w:rsid w:val="210973E8"/>
    <w:rsid w:val="2186353C"/>
    <w:rsid w:val="23860B96"/>
    <w:rsid w:val="240371BF"/>
    <w:rsid w:val="244F3473"/>
    <w:rsid w:val="24C97D99"/>
    <w:rsid w:val="25557DFE"/>
    <w:rsid w:val="25A718F0"/>
    <w:rsid w:val="25BB59F6"/>
    <w:rsid w:val="260F557C"/>
    <w:rsid w:val="26970054"/>
    <w:rsid w:val="27E72145"/>
    <w:rsid w:val="281408E2"/>
    <w:rsid w:val="28BF63BC"/>
    <w:rsid w:val="29FD04D3"/>
    <w:rsid w:val="2A054ADE"/>
    <w:rsid w:val="2AE13EFE"/>
    <w:rsid w:val="2BFF7BC6"/>
    <w:rsid w:val="2C55159B"/>
    <w:rsid w:val="2C8A61B5"/>
    <w:rsid w:val="2CE830F9"/>
    <w:rsid w:val="2DF04E50"/>
    <w:rsid w:val="2E586DFA"/>
    <w:rsid w:val="2F040D46"/>
    <w:rsid w:val="2F467768"/>
    <w:rsid w:val="2F6B035B"/>
    <w:rsid w:val="2FAE5751"/>
    <w:rsid w:val="2FB1A395"/>
    <w:rsid w:val="2FD9A7D8"/>
    <w:rsid w:val="2FDBF714"/>
    <w:rsid w:val="30AB6865"/>
    <w:rsid w:val="319F7F4E"/>
    <w:rsid w:val="31C84FC9"/>
    <w:rsid w:val="32BD1EF1"/>
    <w:rsid w:val="3304709D"/>
    <w:rsid w:val="33267BB7"/>
    <w:rsid w:val="33A773CB"/>
    <w:rsid w:val="33D91C17"/>
    <w:rsid w:val="349D6851"/>
    <w:rsid w:val="36AA5135"/>
    <w:rsid w:val="36BE0DA7"/>
    <w:rsid w:val="376B6AA6"/>
    <w:rsid w:val="376D39B2"/>
    <w:rsid w:val="37E16F03"/>
    <w:rsid w:val="37F53A3B"/>
    <w:rsid w:val="389B6C89"/>
    <w:rsid w:val="38D469F0"/>
    <w:rsid w:val="39627CCD"/>
    <w:rsid w:val="397BAF1F"/>
    <w:rsid w:val="3A6E4097"/>
    <w:rsid w:val="3AB79AF3"/>
    <w:rsid w:val="3AE834C0"/>
    <w:rsid w:val="3B7EF35A"/>
    <w:rsid w:val="3B9FDB6C"/>
    <w:rsid w:val="3BF5BC2F"/>
    <w:rsid w:val="3CEBA265"/>
    <w:rsid w:val="3D98207C"/>
    <w:rsid w:val="3DEE7CF3"/>
    <w:rsid w:val="3E6F0166"/>
    <w:rsid w:val="3E740A63"/>
    <w:rsid w:val="3E78745D"/>
    <w:rsid w:val="3EE17838"/>
    <w:rsid w:val="3F55381A"/>
    <w:rsid w:val="3F7F7599"/>
    <w:rsid w:val="3FF4CAE0"/>
    <w:rsid w:val="3FF7B227"/>
    <w:rsid w:val="40241D87"/>
    <w:rsid w:val="410E0A3E"/>
    <w:rsid w:val="41653D0A"/>
    <w:rsid w:val="43014DC6"/>
    <w:rsid w:val="44E268DA"/>
    <w:rsid w:val="450D13D7"/>
    <w:rsid w:val="45506656"/>
    <w:rsid w:val="45E149C4"/>
    <w:rsid w:val="475B4B57"/>
    <w:rsid w:val="486A6C7A"/>
    <w:rsid w:val="4A627F82"/>
    <w:rsid w:val="4B0E749A"/>
    <w:rsid w:val="4B2477C4"/>
    <w:rsid w:val="4B4F25DA"/>
    <w:rsid w:val="4BE068DB"/>
    <w:rsid w:val="4CDE3725"/>
    <w:rsid w:val="4CFF4712"/>
    <w:rsid w:val="4D332938"/>
    <w:rsid w:val="4D577224"/>
    <w:rsid w:val="4DBF1CEB"/>
    <w:rsid w:val="4DF0007C"/>
    <w:rsid w:val="4EAB630A"/>
    <w:rsid w:val="4ECE2238"/>
    <w:rsid w:val="4F224AEA"/>
    <w:rsid w:val="4F833267"/>
    <w:rsid w:val="4FE9BD67"/>
    <w:rsid w:val="4FFB052F"/>
    <w:rsid w:val="500635BA"/>
    <w:rsid w:val="50191092"/>
    <w:rsid w:val="52642E69"/>
    <w:rsid w:val="52FE56F9"/>
    <w:rsid w:val="536B58FF"/>
    <w:rsid w:val="537E6D0A"/>
    <w:rsid w:val="53B76637"/>
    <w:rsid w:val="53F74C96"/>
    <w:rsid w:val="55170BA8"/>
    <w:rsid w:val="553218C9"/>
    <w:rsid w:val="556E620B"/>
    <w:rsid w:val="567E1AA5"/>
    <w:rsid w:val="56E47B74"/>
    <w:rsid w:val="56F032D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345CE8"/>
    <w:rsid w:val="63B3701E"/>
    <w:rsid w:val="647F5392"/>
    <w:rsid w:val="65E66580"/>
    <w:rsid w:val="664B1D71"/>
    <w:rsid w:val="664B4E8E"/>
    <w:rsid w:val="66537F13"/>
    <w:rsid w:val="67277B67"/>
    <w:rsid w:val="6768028C"/>
    <w:rsid w:val="67AA3209"/>
    <w:rsid w:val="698D0931"/>
    <w:rsid w:val="6A7FE5F3"/>
    <w:rsid w:val="6A8A1AEF"/>
    <w:rsid w:val="6AE772A1"/>
    <w:rsid w:val="6B053271"/>
    <w:rsid w:val="6BDD78B3"/>
    <w:rsid w:val="6C4A05C8"/>
    <w:rsid w:val="6C8742B8"/>
    <w:rsid w:val="6CCC71B2"/>
    <w:rsid w:val="6D934BE7"/>
    <w:rsid w:val="6DBF5E93"/>
    <w:rsid w:val="6DFF077E"/>
    <w:rsid w:val="6E714EF0"/>
    <w:rsid w:val="6E7E3605"/>
    <w:rsid w:val="6E7FDCC7"/>
    <w:rsid w:val="6EB307DB"/>
    <w:rsid w:val="6ED6A62E"/>
    <w:rsid w:val="6EE00B15"/>
    <w:rsid w:val="6F6FB3EB"/>
    <w:rsid w:val="6F8731EA"/>
    <w:rsid w:val="6FCE6052"/>
    <w:rsid w:val="6FD57C00"/>
    <w:rsid w:val="6FEFFFD8"/>
    <w:rsid w:val="6FF5CC65"/>
    <w:rsid w:val="6FFB47EC"/>
    <w:rsid w:val="6FFF034A"/>
    <w:rsid w:val="70477088"/>
    <w:rsid w:val="70484440"/>
    <w:rsid w:val="712A28F1"/>
    <w:rsid w:val="715C0E4B"/>
    <w:rsid w:val="71992E7C"/>
    <w:rsid w:val="72233669"/>
    <w:rsid w:val="72734D90"/>
    <w:rsid w:val="73160E6D"/>
    <w:rsid w:val="7332FE48"/>
    <w:rsid w:val="73AB61DA"/>
    <w:rsid w:val="73AD73D5"/>
    <w:rsid w:val="73B6EB34"/>
    <w:rsid w:val="73FA497D"/>
    <w:rsid w:val="744731E5"/>
    <w:rsid w:val="74BBD01D"/>
    <w:rsid w:val="74C73926"/>
    <w:rsid w:val="74ED5379"/>
    <w:rsid w:val="75DE15DF"/>
    <w:rsid w:val="75DEEEC2"/>
    <w:rsid w:val="75E32345"/>
    <w:rsid w:val="76E3355F"/>
    <w:rsid w:val="76FF5125"/>
    <w:rsid w:val="776F6FFA"/>
    <w:rsid w:val="778769C8"/>
    <w:rsid w:val="77A75DCA"/>
    <w:rsid w:val="77DC22F5"/>
    <w:rsid w:val="781926E5"/>
    <w:rsid w:val="783E271A"/>
    <w:rsid w:val="78616DE9"/>
    <w:rsid w:val="78E875D7"/>
    <w:rsid w:val="79086DAD"/>
    <w:rsid w:val="79D7FD79"/>
    <w:rsid w:val="79EE5BA4"/>
    <w:rsid w:val="7A894339"/>
    <w:rsid w:val="7AD284E8"/>
    <w:rsid w:val="7AFF7572"/>
    <w:rsid w:val="7B6C7DFB"/>
    <w:rsid w:val="7BBFBED0"/>
    <w:rsid w:val="7BC3E394"/>
    <w:rsid w:val="7BFE0391"/>
    <w:rsid w:val="7C1F3737"/>
    <w:rsid w:val="7CBFC87B"/>
    <w:rsid w:val="7CFE0F48"/>
    <w:rsid w:val="7D272ABC"/>
    <w:rsid w:val="7D7EC23E"/>
    <w:rsid w:val="7E2E2B5B"/>
    <w:rsid w:val="7E8ADEBF"/>
    <w:rsid w:val="7EEF11D3"/>
    <w:rsid w:val="7EF6132B"/>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overlay val="0"/>
      <c:spPr>
        <a:noFill/>
        <a:ln>
          <a:noFill/>
        </a:ln>
        <a:effectLst/>
      </c:spPr>
    </c:title>
    <c:autoTitleDeleted val="0"/>
    <c:plotArea>
      <c:layout>
        <c:manualLayout>
          <c:layoutTarget val="inner"/>
          <c:xMode val="edge"/>
          <c:yMode val="edge"/>
          <c:x val="0.0691044393122915"/>
          <c:y val="0.196949776492243"/>
          <c:w val="0.902668719527842"/>
          <c:h val="0.672469103339469"/>
        </c:manualLayout>
      </c:layout>
      <c:barChart>
        <c:barDir val="col"/>
        <c:grouping val="clustered"/>
        <c:varyColors val="0"/>
        <c:ser>
          <c:idx val="0"/>
          <c:order val="0"/>
          <c:spPr>
            <a:solidFill>
              <a:schemeClr val="accent1"/>
            </a:solidFill>
            <a:ln>
              <a:noFill/>
            </a:ln>
            <a:effectLst/>
          </c:spPr>
          <c:invertIfNegative val="0"/>
          <c:dLbls>
            <c:delete val="1"/>
          </c:dLbls>
          <c:cat>
            <c:strRef>
              <c:f>Sheet1!$A$1:$A$2</c:f>
              <c:strCache>
                <c:ptCount val="2"/>
                <c:pt idx="0">
                  <c:v>2024年度收入、支出总计</c:v>
                </c:pt>
                <c:pt idx="1">
                  <c:v>2023年度收入、支出总计</c:v>
                </c:pt>
              </c:strCache>
            </c:strRef>
          </c:cat>
          <c:val>
            <c:numRef>
              <c:f>Sheet1!$B$1:$B$2</c:f>
              <c:numCache>
                <c:formatCode>General</c:formatCode>
                <c:ptCount val="2"/>
                <c:pt idx="0">
                  <c:v>94.39</c:v>
                </c:pt>
                <c:pt idx="1">
                  <c:v>0</c:v>
                </c:pt>
              </c:numCache>
            </c:numRef>
          </c:val>
        </c:ser>
        <c:dLbls>
          <c:showLegendKey val="0"/>
          <c:showVal val="0"/>
          <c:showCatName val="0"/>
          <c:showSerName val="0"/>
          <c:showPercent val="0"/>
          <c:showBubbleSize val="0"/>
        </c:dLbls>
        <c:gapWidth val="219"/>
        <c:overlap val="-27"/>
        <c:axId val="302641927"/>
        <c:axId val="314528083"/>
      </c:barChart>
      <c:catAx>
        <c:axId val="3026419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4528083"/>
        <c:crosses val="autoZero"/>
        <c:auto val="1"/>
        <c:lblAlgn val="ctr"/>
        <c:lblOffset val="100"/>
        <c:noMultiLvlLbl val="0"/>
      </c:catAx>
      <c:valAx>
        <c:axId val="3145280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2641927"/>
        <c:crosses val="autoZero"/>
        <c:crossBetween val="between"/>
      </c:valAx>
      <c:spPr>
        <a:noFill/>
        <a:ln>
          <a:noFill/>
        </a:ln>
        <a:effectLst/>
      </c:spPr>
    </c:plotArea>
    <c:plotVisOnly val="1"/>
    <c:dispBlanksAs val="gap"/>
    <c:showDLblsOverMax val="0"/>
    <c:extLst>
      <c:ext uri="{0b15fc19-7d7d-44ad-8c2d-2c3a37ce22c3}">
        <chartProps xmlns="https://web.wps.cn/et/2018/main" chartId="{c8d92df6-3b32-41d7-ac4f-2759491461e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94.39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463f54e-7ec5-4fe3-aec0-ab41deccbec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基本支出</c:v>
                </c:pt>
              </c:strCache>
            </c:strRef>
          </c:cat>
          <c:val>
            <c:numRef>
              <c:f>Sheet1!$B$2</c:f>
              <c:numCache>
                <c:formatCode>General</c:formatCode>
                <c:ptCount val="1"/>
                <c:pt idx="0">
                  <c:v>94.39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a95c9ca-2339-41c6-b2df-1ca206a4066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789287518948964"/>
          <c:y val="0.168718102671871"/>
          <c:w val="0.872225029476166"/>
          <c:h val="0.626058240768538"/>
        </c:manualLayout>
      </c:layout>
      <c:barChart>
        <c:barDir val="col"/>
        <c:grouping val="clustered"/>
        <c:varyColors val="0"/>
        <c:ser>
          <c:idx val="0"/>
          <c:order val="0"/>
          <c:spPr>
            <a:solidFill>
              <a:schemeClr val="accent1"/>
            </a:solidFill>
            <a:ln>
              <a:noFill/>
            </a:ln>
            <a:effectLst/>
          </c:spPr>
          <c:invertIfNegative val="0"/>
          <c:dLbls>
            <c:delete val="1"/>
          </c:dLbls>
          <c:cat>
            <c:strRef>
              <c:f>Sheet1!$A$1:$A$2</c:f>
              <c:strCache>
                <c:ptCount val="2"/>
                <c:pt idx="0">
                  <c:v>2024年财政拨款收、支总计</c:v>
                </c:pt>
                <c:pt idx="1">
                  <c:v>2023年财政拨款收、支总计</c:v>
                </c:pt>
              </c:strCache>
            </c:strRef>
          </c:cat>
          <c:val>
            <c:numRef>
              <c:f>Sheet1!$B$1:$B$2</c:f>
              <c:numCache>
                <c:formatCode>General</c:formatCode>
                <c:ptCount val="2"/>
                <c:pt idx="0">
                  <c:v>94.39</c:v>
                </c:pt>
                <c:pt idx="1">
                  <c:v>0</c:v>
                </c:pt>
              </c:numCache>
            </c:numRef>
          </c:val>
        </c:ser>
        <c:dLbls>
          <c:showLegendKey val="0"/>
          <c:showVal val="0"/>
          <c:showCatName val="0"/>
          <c:showSerName val="0"/>
          <c:showPercent val="0"/>
          <c:showBubbleSize val="0"/>
        </c:dLbls>
        <c:gapWidth val="219"/>
        <c:overlap val="-27"/>
        <c:axId val="686847488"/>
        <c:axId val="754387275"/>
      </c:barChart>
      <c:catAx>
        <c:axId val="6868474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4387275"/>
        <c:crosses val="autoZero"/>
        <c:auto val="1"/>
        <c:lblAlgn val="ctr"/>
        <c:lblOffset val="100"/>
        <c:noMultiLvlLbl val="0"/>
      </c:catAx>
      <c:valAx>
        <c:axId val="7543872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6847488"/>
        <c:crosses val="autoZero"/>
        <c:crossBetween val="between"/>
      </c:valAx>
      <c:spPr>
        <a:noFill/>
        <a:ln>
          <a:noFill/>
        </a:ln>
        <a:effectLst/>
      </c:spPr>
    </c:plotArea>
    <c:plotVisOnly val="1"/>
    <c:dispBlanksAs val="gap"/>
    <c:showDLblsOverMax val="0"/>
    <c:extLst>
      <c:ext uri="{0b15fc19-7d7d-44ad-8c2d-2c3a37ce22c3}">
        <chartProps xmlns="https://web.wps.cn/et/2018/main" chartId="{a04416f5-dc08-4816-93f5-22e094a6e92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一般公共预算财政拨款支出决算变动情况</a:t>
            </a:r>
            <a:endParaRPr sz="1200"/>
          </a:p>
        </c:rich>
      </c:tx>
      <c:layout/>
      <c:overlay val="0"/>
      <c:spPr>
        <a:noFill/>
        <a:ln>
          <a:noFill/>
        </a:ln>
        <a:effectLst/>
      </c:spPr>
    </c:title>
    <c:autoTitleDeleted val="0"/>
    <c:plotArea>
      <c:layout>
        <c:manualLayout>
          <c:layoutTarget val="inner"/>
          <c:xMode val="edge"/>
          <c:yMode val="edge"/>
          <c:x val="0.0789287518948964"/>
          <c:y val="0.168718102671871"/>
          <c:w val="0.872225029476166"/>
          <c:h val="0.626058240768538"/>
        </c:manualLayout>
      </c:layout>
      <c:barChart>
        <c:barDir val="col"/>
        <c:grouping val="clustered"/>
        <c:varyColors val="0"/>
        <c:ser>
          <c:idx val="0"/>
          <c:order val="0"/>
          <c:spPr>
            <a:solidFill>
              <a:schemeClr val="accent1"/>
            </a:solidFill>
            <a:ln>
              <a:noFill/>
            </a:ln>
            <a:effectLst/>
          </c:spPr>
          <c:invertIfNegative val="0"/>
          <c:dLbls>
            <c:delete val="1"/>
          </c:dLbls>
          <c:cat>
            <c:strRef>
              <c:f>Sheet1!$A$1:$A$2</c:f>
              <c:strCache>
                <c:ptCount val="2"/>
                <c:pt idx="0">
                  <c:v>2024年财政拨款收、支总计</c:v>
                </c:pt>
                <c:pt idx="1">
                  <c:v>2023年财政拨款收、支总计</c:v>
                </c:pt>
              </c:strCache>
            </c:strRef>
          </c:cat>
          <c:val>
            <c:numRef>
              <c:f>Sheet1!$B$1:$B$2</c:f>
              <c:numCache>
                <c:formatCode>General</c:formatCode>
                <c:ptCount val="2"/>
                <c:pt idx="0">
                  <c:v>94.39</c:v>
                </c:pt>
                <c:pt idx="1">
                  <c:v>0</c:v>
                </c:pt>
              </c:numCache>
            </c:numRef>
          </c:val>
        </c:ser>
        <c:dLbls>
          <c:showLegendKey val="0"/>
          <c:showVal val="0"/>
          <c:showCatName val="0"/>
          <c:showSerName val="0"/>
          <c:showPercent val="0"/>
          <c:showBubbleSize val="0"/>
        </c:dLbls>
        <c:gapWidth val="219"/>
        <c:overlap val="-27"/>
        <c:axId val="686847488"/>
        <c:axId val="754387275"/>
      </c:barChart>
      <c:catAx>
        <c:axId val="6868474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4387275"/>
        <c:crosses val="autoZero"/>
        <c:auto val="1"/>
        <c:lblAlgn val="ctr"/>
        <c:lblOffset val="100"/>
        <c:noMultiLvlLbl val="0"/>
      </c:catAx>
      <c:valAx>
        <c:axId val="7543872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6847488"/>
        <c:crosses val="autoZero"/>
        <c:crossBetween val="between"/>
      </c:valAx>
      <c:spPr>
        <a:noFill/>
        <a:ln>
          <a:noFill/>
        </a:ln>
        <a:effectLst/>
      </c:spPr>
    </c:plotArea>
    <c:plotVisOnly val="1"/>
    <c:dispBlanksAs val="gap"/>
    <c:showDLblsOverMax val="0"/>
    <c:extLst>
      <c:ext uri="{0b15fc19-7d7d-44ad-8c2d-2c3a37ce22c3}">
        <chartProps xmlns="https://web.wps.cn/et/2018/main" chartId="{7d9e0228-07a8-4504-a62c-2226308f98c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列2</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75.08</c:v>
                </c:pt>
                <c:pt idx="1">
                  <c:v>11.01</c:v>
                </c:pt>
                <c:pt idx="2">
                  <c:v>2</c:v>
                </c:pt>
                <c:pt idx="3">
                  <c:v>6.3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6bea231-f9e8-47e0-9b31-4cd7aec9cdd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tx>
            <c:strRef>
              <c:f>Sheet1!$B$1</c:f>
              <c:strCache>
                <c:ptCount val="1"/>
                <c:pt idx="0">
                  <c:v>列2</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0e131d7-fdb9-475b-9105-6edf4cc49b2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585a7bdc-2a78-481d-bf44-94749e9b1700</errorID>
      <errorWord>,</errorWord>
      <group>L1_Format</group>
      <groupName>格式问题</groupName>
      <ability>L2_HalfPunc</ability>
      <abilityName>全半角检查</abilityName>
      <candidateList>
        <item>，</item>
      </candidateList>
      <explain>文本全半角错误。</explain>
      <paraID>51B27245</paraID>
      <start>254</start>
      <end>255</end>
      <status>modified</status>
      <modifiedWord>，</modifiedWord>
      <trackRevisions>false</trackRevisions>
    </reviewItem>
    <reviewItem>
      <errorID>061763c8-1433-43a0-865b-404925fbade6</errorID>
      <errorWord>(</errorWord>
      <group>L1_Format</group>
      <groupName>格式问题</groupName>
      <ability>L2_HalfPunc</ability>
      <abilityName>全半角检查</abilityName>
      <candidateList>
        <item>（</item>
      </candidateList>
      <explain>文本全半角错误。</explain>
      <paraID>51B27245</paraID>
      <start>416</start>
      <end>417</end>
      <status>modified</status>
      <modifiedWord>（</modifiedWord>
      <trackRevisions>false</trackRevisions>
    </reviewItem>
    <reviewItem>
      <errorID>ce9cee73-1f63-4fe1-89b4-65a2e6a97576</errorID>
      <errorWord>)</errorWord>
      <group>L1_Format</group>
      <groupName>格式问题</groupName>
      <ability>L2_HalfPunc</ability>
      <abilityName>全半角检查</abilityName>
      <candidateList>
        <item>）</item>
      </candidateList>
      <explain>文本全半角错误。</explain>
      <paraID>51B27245</paraID>
      <start>427</start>
      <end>428</end>
      <status>modified</status>
      <modifiedWord>）</modifiedWord>
      <trackRevisions>false</trackRevisions>
    </reviewItem>
    <reviewItem>
      <errorID>fb45a71a-a898-450e-a94d-1e531734513a</errorID>
      <errorWord>:</errorWord>
      <group>L1_Format</group>
      <groupName>格式问题</groupName>
      <ability>L2_HalfPunc</ability>
      <abilityName>全半角检查</abilityName>
      <candidateList>
        <item>：</item>
      </candidateList>
      <explain>文本全半角错误。</explain>
      <paraID>1018A078</paraID>
      <start>43</start>
      <end>44</end>
      <status>modified</status>
      <modifiedWord>：</modifiedWord>
      <trackRevisions>false</trackRevisions>
    </reviewItem>
    <reviewItem>
      <errorID>30c8c505-acda-4bcd-a9af-c871f78b6b44</errorID>
      <errorWord>,</errorWord>
      <group>L1_Format</group>
      <groupName>格式问题</groupName>
      <ability>L2_HalfPunc</ability>
      <abilityName>全半角检查</abilityName>
      <candidateList>
        <item>，</item>
      </candidateList>
      <explain>文本全半角错误。</explain>
      <paraID>7131210A</paraID>
      <start>254</start>
      <end>255</end>
      <status>modified</status>
      <modifiedWord>，</modifiedWord>
      <trackRevisions>false</trackRevisions>
    </reviewItem>
    <reviewItem>
      <errorID>f15b46f1-9ed5-46a3-b777-157f3a0a1f89</errorID>
      <errorWord>(</errorWord>
      <group>L1_Format</group>
      <groupName>格式问题</groupName>
      <ability>L2_HalfPunc</ability>
      <abilityName>全半角检查</abilityName>
      <candidateList>
        <item>（</item>
      </candidateList>
      <explain>文本全半角错误。</explain>
      <paraID>7131210A</paraID>
      <start>416</start>
      <end>417</end>
      <status>modified</status>
      <modifiedWord>（</modifiedWord>
      <trackRevisions>false</trackRevisions>
    </reviewItem>
    <reviewItem>
      <errorID>757c52bf-ed4f-465a-9274-09c376b1de0f</errorID>
      <errorWord>)</errorWord>
      <group>L1_Format</group>
      <groupName>格式问题</groupName>
      <ability>L2_HalfPunc</ability>
      <abilityName>全半角检查</abilityName>
      <candidateList>
        <item>）</item>
      </candidateList>
      <explain>文本全半角错误。</explain>
      <paraID>7131210A</paraID>
      <start>427</start>
      <end>428</end>
      <status>modified</status>
      <modifiedWord>）</modifiedWord>
      <trackRevisions>false</trackRevisions>
    </reviewItem>
    <reviewItem>
      <errorID>78b796bf-4659-4e42-8ddc-b221745d7d1c</errorID>
      <errorWord>年</errorWord>
      <group>L1_Word</group>
      <groupName>字词问题</groupName>
      <ability>L2_Typo</ability>
      <abilityName>字词错误</abilityName>
      <candidateList>
        <item>年度</item>
      </candidateList>
      <explain/>
      <paraID>  847A94</paraID>
      <start>34</start>
      <end>36</end>
      <status>modified</status>
      <modifiedWord>年度</modifiedWord>
      <trackRevisions>false</trackRevisions>
    </reviewItem>
    <reviewItem>
      <errorID>36a072be-7029-4e88-b7ef-d8635f118378</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35146638</paraID>
      <start>18</start>
      <end>28</end>
      <status>modified</status>
      <modifiedWord>中华人民共和国预算法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fe30ae-c9e5-4c63-8ae3-a6841f4f6dc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7230</Words>
  <Characters>7634</Characters>
  <Lines>61</Lines>
  <Paragraphs>17</Paragraphs>
  <TotalTime>0</TotalTime>
  <ScaleCrop>false</ScaleCrop>
  <LinksUpToDate>false</LinksUpToDate>
  <CharactersWithSpaces>7686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2025-10-14T06:58:00Z</cp:lastPrinted>
  <dcterms:modified xsi:type="dcterms:W3CDTF">2025-11-30T03:12:10Z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eyJoZGlkIjoiNzI2ZGI0OGUzMDAzMzk0YmE1OTYyMDVlZGMwMmYyODYiLCJ1c2VySWQiOiIxMTM5NjM2MTk5In0=</vt:lpwstr>
  </property>
</Properties>
</file>