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F65B2D">
      <w:pPr>
        <w:spacing w:line="600" w:lineRule="exact"/>
        <w:jc w:val="left"/>
        <w:outlineLvl w:val="0"/>
        <w:rPr>
          <w:rFonts w:ascii="方正小标宋简体" w:hAnsi="宋体" w:eastAsia="方正小标宋简体"/>
          <w:szCs w:val="21"/>
        </w:rPr>
      </w:pPr>
      <w:bookmarkStart w:id="0" w:name="_Toc15306267"/>
    </w:p>
    <w:p w14:paraId="464FB8BC">
      <w:pPr>
        <w:pStyle w:val="2"/>
        <w:spacing w:before="93"/>
      </w:pPr>
    </w:p>
    <w:p w14:paraId="468A1A39">
      <w:pPr>
        <w:spacing w:line="600" w:lineRule="exact"/>
        <w:jc w:val="center"/>
        <w:outlineLvl w:val="0"/>
        <w:rPr>
          <w:rFonts w:ascii="方正小标宋简体" w:hAnsi="宋体" w:eastAsia="方正小标宋简体"/>
          <w:sz w:val="72"/>
          <w:szCs w:val="72"/>
        </w:rPr>
      </w:pPr>
    </w:p>
    <w:p w14:paraId="61B31E2F">
      <w:pPr>
        <w:spacing w:line="600" w:lineRule="exact"/>
        <w:jc w:val="center"/>
        <w:outlineLvl w:val="0"/>
        <w:rPr>
          <w:rFonts w:ascii="方正小标宋简体" w:hAnsi="宋体" w:eastAsia="方正小标宋简体"/>
          <w:sz w:val="72"/>
          <w:szCs w:val="72"/>
        </w:rPr>
      </w:pPr>
    </w:p>
    <w:p w14:paraId="5C5EAE0C">
      <w:pPr>
        <w:adjustRightInd w:val="0"/>
        <w:snapToGrid w:val="0"/>
        <w:spacing w:line="360" w:lineRule="auto"/>
        <w:jc w:val="center"/>
        <w:outlineLvl w:val="0"/>
        <w:rPr>
          <w:rFonts w:hint="eastAsia" w:ascii="方正小标宋简体" w:hAnsi="方正小标宋简体" w:eastAsia="方正小标宋简体" w:cs="方正小标宋简体"/>
          <w:sz w:val="72"/>
          <w:szCs w:val="72"/>
        </w:rPr>
      </w:pPr>
      <w:bookmarkStart w:id="1" w:name="_Toc15377193"/>
      <w:bookmarkStart w:id="2" w:name="_Toc15378441"/>
      <w:bookmarkStart w:id="3" w:name="_Toc15396597"/>
      <w:bookmarkStart w:id="4" w:name="_Toc15396475"/>
      <w:bookmarkStart w:id="5" w:name="_Toc15377425"/>
    </w:p>
    <w:p w14:paraId="5648484E">
      <w:pPr>
        <w:adjustRightInd w:val="0"/>
        <w:snapToGrid w:val="0"/>
        <w:spacing w:line="360" w:lineRule="auto"/>
        <w:jc w:val="center"/>
        <w:outlineLvl w:val="0"/>
        <w:rPr>
          <w:rFonts w:ascii="方正小标宋简体" w:hAnsi="方正小标宋简体" w:eastAsia="方正小标宋简体" w:cs="方正小标宋简体"/>
          <w:sz w:val="48"/>
          <w:szCs w:val="48"/>
        </w:rPr>
      </w:pPr>
      <w:r>
        <w:rPr>
          <w:rFonts w:hint="eastAsia" w:ascii="方正小标宋简体" w:hAnsi="方正小标宋简体" w:eastAsia="方正小标宋简体" w:cs="方正小标宋简体"/>
          <w:sz w:val="48"/>
          <w:szCs w:val="48"/>
        </w:rPr>
        <w:t>2023年度</w:t>
      </w:r>
      <w:bookmarkEnd w:id="1"/>
      <w:bookmarkEnd w:id="2"/>
      <w:bookmarkEnd w:id="3"/>
      <w:bookmarkEnd w:id="4"/>
      <w:bookmarkEnd w:id="5"/>
    </w:p>
    <w:bookmarkEnd w:id="0"/>
    <w:p w14:paraId="4218449B">
      <w:pPr>
        <w:adjustRightInd w:val="0"/>
        <w:snapToGrid w:val="0"/>
        <w:spacing w:line="360" w:lineRule="auto"/>
        <w:jc w:val="center"/>
        <w:outlineLvl w:val="0"/>
        <w:rPr>
          <w:rFonts w:hint="eastAsia" w:ascii="方正小标宋简体" w:hAnsi="方正小标宋简体" w:eastAsia="方正小标宋简体" w:cs="方正小标宋简体"/>
          <w:sz w:val="48"/>
          <w:szCs w:val="48"/>
          <w:lang w:eastAsia="zh-CN"/>
        </w:rPr>
      </w:pPr>
      <w:bookmarkStart w:id="6" w:name="_Toc15396598"/>
      <w:bookmarkStart w:id="7" w:name="_Toc15377426"/>
      <w:bookmarkStart w:id="8" w:name="_Toc15377194"/>
      <w:bookmarkStart w:id="9" w:name="_Toc15396476"/>
      <w:bookmarkStart w:id="10" w:name="_Toc15306268"/>
      <w:bookmarkStart w:id="11" w:name="_Toc15378442"/>
      <w:r>
        <w:rPr>
          <w:rFonts w:hint="eastAsia" w:ascii="方正小标宋简体" w:hAnsi="方正小标宋简体" w:eastAsia="方正小标宋简体" w:cs="方正小标宋简体"/>
          <w:sz w:val="48"/>
          <w:szCs w:val="48"/>
          <w:lang w:eastAsia="zh-CN"/>
        </w:rPr>
        <w:t>峨边彝族自治县平等乡中心小学</w:t>
      </w:r>
    </w:p>
    <w:p w14:paraId="17C64CA7">
      <w:pPr>
        <w:adjustRightInd w:val="0"/>
        <w:snapToGrid w:val="0"/>
        <w:spacing w:line="360" w:lineRule="auto"/>
        <w:jc w:val="center"/>
        <w:outlineLvl w:val="0"/>
        <w:rPr>
          <w:rFonts w:ascii="方正小标宋简体" w:hAnsi="方正小标宋简体" w:eastAsia="方正小标宋简体" w:cs="方正小标宋简体"/>
          <w:sz w:val="48"/>
          <w:szCs w:val="48"/>
        </w:rPr>
      </w:pPr>
      <w:r>
        <w:rPr>
          <w:rFonts w:hint="eastAsia" w:ascii="方正小标宋简体" w:hAnsi="方正小标宋简体" w:eastAsia="方正小标宋简体" w:cs="方正小标宋简体"/>
          <w:sz w:val="48"/>
          <w:szCs w:val="48"/>
        </w:rPr>
        <w:t>单位决算</w:t>
      </w:r>
      <w:bookmarkEnd w:id="6"/>
      <w:bookmarkEnd w:id="7"/>
      <w:bookmarkEnd w:id="8"/>
      <w:bookmarkEnd w:id="9"/>
      <w:bookmarkEnd w:id="10"/>
      <w:bookmarkEnd w:id="11"/>
    </w:p>
    <w:p w14:paraId="121F1983">
      <w:pPr>
        <w:pStyle w:val="11"/>
        <w:rPr>
          <w:rFonts w:hint="eastAsia"/>
        </w:rPr>
      </w:pPr>
    </w:p>
    <w:p w14:paraId="44B75DB9">
      <w:pPr>
        <w:pStyle w:val="11"/>
        <w:rPr>
          <w:rFonts w:hint="eastAsia"/>
        </w:rPr>
      </w:pPr>
    </w:p>
    <w:p w14:paraId="39EE4FB2">
      <w:pPr>
        <w:pStyle w:val="11"/>
        <w:rPr>
          <w:rFonts w:hint="eastAsia"/>
        </w:rPr>
      </w:pPr>
    </w:p>
    <w:p w14:paraId="7D3F3B24">
      <w:pPr>
        <w:pStyle w:val="11"/>
        <w:rPr>
          <w:rFonts w:hint="eastAsia"/>
        </w:rPr>
      </w:pPr>
    </w:p>
    <w:p w14:paraId="67065836">
      <w:pPr>
        <w:pStyle w:val="11"/>
        <w:rPr>
          <w:rFonts w:hint="eastAsia"/>
        </w:rPr>
      </w:pPr>
    </w:p>
    <w:p w14:paraId="2CBFD654">
      <w:pPr>
        <w:pStyle w:val="11"/>
        <w:rPr>
          <w:rFonts w:hint="eastAsia"/>
        </w:rPr>
      </w:pPr>
    </w:p>
    <w:p w14:paraId="6D0CA712">
      <w:pPr>
        <w:pStyle w:val="11"/>
        <w:rPr>
          <w:rFonts w:hint="eastAsia"/>
          <w:lang w:val="en-US" w:eastAsia="zh-CN"/>
        </w:rPr>
      </w:pPr>
    </w:p>
    <w:p w14:paraId="0C25348A">
      <w:pPr>
        <w:rPr>
          <w:rFonts w:hint="eastAsia"/>
          <w:lang w:val="en-US" w:eastAsia="zh-CN"/>
        </w:rPr>
      </w:pPr>
    </w:p>
    <w:p w14:paraId="648FA9F6">
      <w:pPr>
        <w:pStyle w:val="2"/>
        <w:rPr>
          <w:rFonts w:hint="eastAsia"/>
          <w:lang w:val="en-US" w:eastAsia="zh-CN"/>
        </w:rPr>
      </w:pPr>
    </w:p>
    <w:p w14:paraId="55F89C8A">
      <w:pPr>
        <w:widowControl/>
        <w:jc w:val="center"/>
        <w:rPr>
          <w:rFonts w:ascii="黑体" w:hAnsi="黑体" w:eastAsia="黑体"/>
          <w:sz w:val="48"/>
          <w:szCs w:val="48"/>
        </w:rPr>
      </w:pPr>
      <w:r>
        <w:rPr>
          <w:rFonts w:hint="eastAsia" w:ascii="黑体" w:hAnsi="黑体" w:eastAsia="黑体"/>
          <w:sz w:val="48"/>
          <w:szCs w:val="48"/>
        </w:rPr>
        <w:t>目录</w:t>
      </w:r>
    </w:p>
    <w:p w14:paraId="766A3551">
      <w:pPr>
        <w:pStyle w:val="11"/>
      </w:pPr>
      <w:r>
        <w:rPr>
          <w:rFonts w:hint="eastAsia"/>
        </w:rPr>
        <w:t>公开时间：202</w:t>
      </w:r>
      <w:r>
        <w:rPr>
          <w:rFonts w:hint="eastAsia"/>
          <w:lang w:val="en-US" w:eastAsia="zh-CN"/>
        </w:rPr>
        <w:t>4</w:t>
      </w:r>
      <w:r>
        <w:rPr>
          <w:rFonts w:hint="eastAsia"/>
        </w:rPr>
        <w:t>年</w:t>
      </w:r>
      <w:r>
        <w:rPr>
          <w:rFonts w:hint="eastAsia"/>
          <w:lang w:val="en-US" w:eastAsia="zh-CN"/>
        </w:rPr>
        <w:t>10</w:t>
      </w:r>
      <w:r>
        <w:rPr>
          <w:rFonts w:hint="eastAsia"/>
        </w:rPr>
        <w:t>月</w:t>
      </w:r>
      <w:r>
        <w:rPr>
          <w:rFonts w:hint="eastAsia"/>
          <w:lang w:val="en-US" w:eastAsia="zh-CN"/>
        </w:rPr>
        <w:t>29</w:t>
      </w:r>
      <w:r>
        <w:rPr>
          <w:rFonts w:hint="eastAsia"/>
        </w:rPr>
        <w:t>日</w:t>
      </w:r>
    </w:p>
    <w:p w14:paraId="5CA2B3F4">
      <w:pPr>
        <w:widowControl/>
        <w:jc w:val="center"/>
        <w:rPr>
          <w:rFonts w:ascii="黑体" w:hAnsi="黑体" w:eastAsia="黑体" w:cstheme="minorBidi"/>
          <w:sz w:val="28"/>
          <w:szCs w:val="28"/>
        </w:rPr>
      </w:pPr>
    </w:p>
    <w:p w14:paraId="293ED68F"/>
    <w:p w14:paraId="77B9551D">
      <w:pPr>
        <w:pStyle w:val="11"/>
        <w:numPr>
          <w:ilvl w:val="0"/>
          <w:numId w:val="1"/>
        </w:numPr>
        <w:adjustRightInd w:val="0"/>
        <w:snapToGrid w:val="0"/>
        <w:spacing w:before="0" w:line="440" w:lineRule="exact"/>
        <w:jc w:val="left"/>
        <w:rPr>
          <w:rFonts w:hint="default"/>
          <w:lang w:val="en-US" w:eastAsia="zh-CN"/>
        </w:rPr>
      </w:pPr>
      <w:r>
        <w:rPr>
          <w:rFonts w:hint="eastAsia"/>
          <w:sz w:val="24"/>
        </w:rPr>
        <w:t>单位概况</w:t>
      </w:r>
      <w:r>
        <w:rPr>
          <w:rFonts w:hint="eastAsia"/>
          <w:sz w:val="24"/>
          <w:lang w:val="en-US" w:eastAsia="zh-CN"/>
        </w:rPr>
        <w:t>.............................................4</w:t>
      </w:r>
    </w:p>
    <w:p w14:paraId="751E7CCE">
      <w:pPr>
        <w:pStyle w:val="12"/>
        <w:adjustRightInd w:val="0"/>
        <w:snapToGrid w:val="0"/>
        <w:spacing w:line="440" w:lineRule="exact"/>
        <w:jc w:val="left"/>
        <w:rPr>
          <w:rFonts w:hint="default" w:eastAsia="宋体"/>
          <w:sz w:val="24"/>
          <w:lang w:val="en-US" w:eastAsia="zh-CN"/>
        </w:rPr>
      </w:pPr>
      <w:r>
        <w:rPr>
          <w:rFonts w:hint="eastAsia"/>
          <w:sz w:val="24"/>
        </w:rPr>
        <w:t>一、主要职责</w:t>
      </w:r>
      <w:r>
        <w:rPr>
          <w:rFonts w:hint="eastAsia"/>
          <w:sz w:val="24"/>
          <w:lang w:val="en-US" w:eastAsia="zh-CN"/>
        </w:rPr>
        <w:t>................................................................................................4</w:t>
      </w:r>
    </w:p>
    <w:p w14:paraId="60DEE13A">
      <w:pPr>
        <w:pStyle w:val="12"/>
        <w:adjustRightInd w:val="0"/>
        <w:snapToGrid w:val="0"/>
        <w:spacing w:line="440" w:lineRule="exact"/>
        <w:jc w:val="left"/>
        <w:rPr>
          <w:rFonts w:hint="default" w:eastAsia="宋体"/>
          <w:lang w:val="en-US" w:eastAsia="zh-CN"/>
        </w:rPr>
      </w:pPr>
      <w:r>
        <w:rPr>
          <w:rFonts w:hint="eastAsia"/>
          <w:sz w:val="24"/>
        </w:rPr>
        <w:t>二、机构设置</w:t>
      </w:r>
      <w:r>
        <w:rPr>
          <w:rFonts w:hint="eastAsia"/>
          <w:sz w:val="24"/>
          <w:lang w:val="en-US" w:eastAsia="zh-CN"/>
        </w:rPr>
        <w:t>................................................................................................5</w:t>
      </w:r>
    </w:p>
    <w:p w14:paraId="3E3022B4">
      <w:pPr>
        <w:pStyle w:val="11"/>
        <w:adjustRightInd w:val="0"/>
        <w:snapToGrid w:val="0"/>
        <w:spacing w:before="0" w:line="440" w:lineRule="exact"/>
        <w:jc w:val="left"/>
        <w:rPr>
          <w:rFonts w:hint="default" w:eastAsia="仿宋"/>
          <w:sz w:val="24"/>
          <w:szCs w:val="24"/>
          <w:lang w:val="en-US" w:eastAsia="zh-CN"/>
        </w:rPr>
      </w:pPr>
      <w:r>
        <w:rPr>
          <w:rFonts w:hint="eastAsia"/>
          <w:sz w:val="24"/>
        </w:rPr>
        <w:t>第二部分 2023年度单位决算情况说明</w:t>
      </w:r>
      <w:r>
        <w:rPr>
          <w:rFonts w:hint="eastAsia"/>
          <w:sz w:val="24"/>
          <w:lang w:val="en-US" w:eastAsia="zh-CN"/>
        </w:rPr>
        <w:t>..............................6</w:t>
      </w:r>
    </w:p>
    <w:p w14:paraId="6B79298A">
      <w:pPr>
        <w:pStyle w:val="12"/>
        <w:adjustRightInd w:val="0"/>
        <w:snapToGrid w:val="0"/>
        <w:spacing w:line="440" w:lineRule="exact"/>
        <w:jc w:val="left"/>
        <w:rPr>
          <w:rFonts w:hint="default" w:ascii="仿宋" w:hAnsi="仿宋" w:eastAsia="宋体" w:cstheme="minorBidi"/>
          <w:sz w:val="24"/>
          <w:lang w:val="en-US" w:eastAsia="zh-CN"/>
        </w:rPr>
      </w:pPr>
      <w:r>
        <w:rPr>
          <w:rFonts w:hint="eastAsia"/>
          <w:sz w:val="24"/>
        </w:rPr>
        <w:t>一、收入支出决算总体情况说明</w:t>
      </w:r>
      <w:r>
        <w:rPr>
          <w:rFonts w:hint="eastAsia"/>
          <w:sz w:val="24"/>
          <w:lang w:val="en-US" w:eastAsia="zh-CN"/>
        </w:rPr>
        <w:t>................................................................6</w:t>
      </w:r>
    </w:p>
    <w:p w14:paraId="6020EE38">
      <w:pPr>
        <w:pStyle w:val="12"/>
        <w:adjustRightInd w:val="0"/>
        <w:snapToGrid w:val="0"/>
        <w:spacing w:line="440" w:lineRule="exact"/>
        <w:jc w:val="left"/>
        <w:rPr>
          <w:rFonts w:hint="default" w:ascii="仿宋" w:hAnsi="仿宋" w:eastAsia="宋体" w:cstheme="minorBidi"/>
          <w:sz w:val="24"/>
          <w:lang w:val="en-US" w:eastAsia="zh-CN"/>
        </w:rPr>
      </w:pPr>
      <w:r>
        <w:rPr>
          <w:rFonts w:hint="eastAsia"/>
          <w:sz w:val="24"/>
        </w:rPr>
        <w:t>二、收入决算情况说明</w:t>
      </w:r>
      <w:r>
        <w:rPr>
          <w:rFonts w:hint="eastAsia"/>
          <w:sz w:val="24"/>
          <w:lang w:val="en-US" w:eastAsia="zh-CN"/>
        </w:rPr>
        <w:t>................................................................................6</w:t>
      </w:r>
    </w:p>
    <w:p w14:paraId="4FB8F911">
      <w:pPr>
        <w:pStyle w:val="12"/>
        <w:adjustRightInd w:val="0"/>
        <w:snapToGrid w:val="0"/>
        <w:spacing w:line="440" w:lineRule="exact"/>
        <w:jc w:val="left"/>
        <w:rPr>
          <w:rFonts w:hint="default" w:ascii="仿宋" w:hAnsi="仿宋" w:eastAsia="宋体" w:cstheme="minorBidi"/>
          <w:sz w:val="24"/>
          <w:lang w:val="en-US" w:eastAsia="zh-CN"/>
        </w:rPr>
      </w:pPr>
      <w:r>
        <w:rPr>
          <w:rFonts w:hint="eastAsia"/>
          <w:sz w:val="24"/>
        </w:rPr>
        <w:t>三、支出决算情况说明</w:t>
      </w:r>
      <w:r>
        <w:rPr>
          <w:rFonts w:hint="eastAsia"/>
          <w:sz w:val="24"/>
          <w:lang w:val="en-US" w:eastAsia="zh-CN"/>
        </w:rPr>
        <w:t>................................................................................7</w:t>
      </w:r>
    </w:p>
    <w:p w14:paraId="32117FFE">
      <w:pPr>
        <w:pStyle w:val="12"/>
        <w:adjustRightInd w:val="0"/>
        <w:snapToGrid w:val="0"/>
        <w:spacing w:line="440" w:lineRule="exact"/>
        <w:jc w:val="left"/>
        <w:rPr>
          <w:rFonts w:hint="default" w:ascii="仿宋" w:hAnsi="仿宋" w:eastAsia="宋体" w:cstheme="minorBidi"/>
          <w:sz w:val="24"/>
          <w:lang w:val="en-US" w:eastAsia="zh-CN"/>
        </w:rPr>
      </w:pPr>
      <w:r>
        <w:rPr>
          <w:rFonts w:hint="eastAsia"/>
          <w:sz w:val="24"/>
        </w:rPr>
        <w:t>四、财政拨款收入支出决算总体情况说明</w:t>
      </w:r>
      <w:r>
        <w:rPr>
          <w:rFonts w:hint="eastAsia"/>
          <w:sz w:val="24"/>
          <w:lang w:val="en-US" w:eastAsia="zh-CN"/>
        </w:rPr>
        <w:t>................................................7</w:t>
      </w:r>
    </w:p>
    <w:p w14:paraId="7AAF9565">
      <w:pPr>
        <w:pStyle w:val="12"/>
        <w:adjustRightInd w:val="0"/>
        <w:snapToGrid w:val="0"/>
        <w:spacing w:line="440" w:lineRule="exact"/>
        <w:jc w:val="left"/>
        <w:rPr>
          <w:rFonts w:hint="default" w:ascii="仿宋" w:hAnsi="仿宋" w:eastAsia="宋体" w:cstheme="minorBidi"/>
          <w:sz w:val="24"/>
          <w:lang w:val="en-US" w:eastAsia="zh-CN"/>
        </w:rPr>
      </w:pPr>
      <w:r>
        <w:rPr>
          <w:rFonts w:hint="eastAsia"/>
          <w:sz w:val="24"/>
        </w:rPr>
        <w:t>五、一般公共预算财政拨款支出决算情况说明</w:t>
      </w:r>
      <w:r>
        <w:rPr>
          <w:rFonts w:hint="eastAsia"/>
          <w:sz w:val="24"/>
          <w:lang w:val="en-US" w:eastAsia="zh-CN"/>
        </w:rPr>
        <w:t>........................................8</w:t>
      </w:r>
    </w:p>
    <w:p w14:paraId="7F7FA2A0">
      <w:pPr>
        <w:pStyle w:val="12"/>
        <w:adjustRightInd w:val="0"/>
        <w:snapToGrid w:val="0"/>
        <w:spacing w:line="440" w:lineRule="exact"/>
        <w:jc w:val="left"/>
        <w:rPr>
          <w:rFonts w:hint="default" w:ascii="仿宋" w:hAnsi="仿宋" w:eastAsia="宋体" w:cstheme="minorBidi"/>
          <w:sz w:val="24"/>
          <w:lang w:val="en-US" w:eastAsia="zh-CN"/>
        </w:rPr>
      </w:pPr>
      <w:r>
        <w:rPr>
          <w:rFonts w:hint="eastAsia"/>
          <w:sz w:val="24"/>
        </w:rPr>
        <w:t>六、一般公共预算财政拨款基本支出决算情况说明</w:t>
      </w:r>
      <w:r>
        <w:rPr>
          <w:rFonts w:hint="eastAsia"/>
          <w:sz w:val="24"/>
          <w:lang w:val="en-US" w:eastAsia="zh-CN"/>
        </w:rPr>
        <w:t>................................10</w:t>
      </w:r>
    </w:p>
    <w:p w14:paraId="4349D4BF">
      <w:pPr>
        <w:pStyle w:val="12"/>
        <w:adjustRightInd w:val="0"/>
        <w:snapToGrid w:val="0"/>
        <w:spacing w:line="440" w:lineRule="exact"/>
        <w:jc w:val="left"/>
        <w:rPr>
          <w:rFonts w:hint="default" w:ascii="仿宋" w:hAnsi="仿宋" w:eastAsia="宋体" w:cstheme="minorBidi"/>
          <w:sz w:val="24"/>
          <w:lang w:val="en-US" w:eastAsia="zh-CN"/>
        </w:rPr>
      </w:pPr>
      <w:r>
        <w:rPr>
          <w:rFonts w:hint="eastAsia"/>
          <w:sz w:val="24"/>
        </w:rPr>
        <w:t>七、财政拨款“三公”经费支出决算情况说明</w:t>
      </w:r>
      <w:r>
        <w:rPr>
          <w:rFonts w:hint="eastAsia"/>
          <w:sz w:val="24"/>
          <w:lang w:val="en-US" w:eastAsia="zh-CN"/>
        </w:rPr>
        <w:t>........................................11</w:t>
      </w:r>
    </w:p>
    <w:p w14:paraId="6E0B94CC">
      <w:pPr>
        <w:pStyle w:val="12"/>
        <w:adjustRightInd w:val="0"/>
        <w:snapToGrid w:val="0"/>
        <w:spacing w:line="440" w:lineRule="exact"/>
        <w:jc w:val="left"/>
        <w:rPr>
          <w:rFonts w:hint="default" w:ascii="仿宋" w:hAnsi="仿宋" w:eastAsia="宋体" w:cstheme="minorBidi"/>
          <w:sz w:val="24"/>
          <w:lang w:val="en-US" w:eastAsia="zh-CN"/>
        </w:rPr>
      </w:pPr>
      <w:r>
        <w:rPr>
          <w:rFonts w:hint="eastAsia"/>
          <w:sz w:val="24"/>
        </w:rPr>
        <w:t>八、政府性基金预算支出决算情况说明</w:t>
      </w:r>
      <w:r>
        <w:rPr>
          <w:rFonts w:hint="eastAsia"/>
          <w:sz w:val="24"/>
          <w:lang w:val="en-US" w:eastAsia="zh-CN"/>
        </w:rPr>
        <w:t>....................................................13</w:t>
      </w:r>
    </w:p>
    <w:p w14:paraId="01B978B3">
      <w:pPr>
        <w:pStyle w:val="12"/>
        <w:adjustRightInd w:val="0"/>
        <w:snapToGrid w:val="0"/>
        <w:spacing w:line="440" w:lineRule="exact"/>
        <w:jc w:val="left"/>
        <w:rPr>
          <w:rFonts w:hint="default" w:eastAsia="宋体"/>
          <w:sz w:val="24"/>
          <w:lang w:val="en-US" w:eastAsia="zh-CN"/>
        </w:rPr>
      </w:pPr>
      <w:r>
        <w:rPr>
          <w:rFonts w:hint="eastAsia"/>
          <w:sz w:val="24"/>
        </w:rPr>
        <w:t>九、国有资本经营预算支出决算情况说明</w:t>
      </w:r>
      <w:r>
        <w:rPr>
          <w:rFonts w:hint="eastAsia"/>
          <w:sz w:val="24"/>
          <w:lang w:val="en-US" w:eastAsia="zh-CN"/>
        </w:rPr>
        <w:t>................................................13</w:t>
      </w:r>
    </w:p>
    <w:p w14:paraId="11D57BD3">
      <w:pPr>
        <w:pStyle w:val="12"/>
        <w:adjustRightInd w:val="0"/>
        <w:snapToGrid w:val="0"/>
        <w:spacing w:line="440" w:lineRule="exact"/>
        <w:jc w:val="left"/>
        <w:rPr>
          <w:rFonts w:hint="default" w:eastAsia="宋体"/>
          <w:sz w:val="24"/>
          <w:lang w:val="en-US" w:eastAsia="zh-CN"/>
        </w:rPr>
      </w:pPr>
      <w:r>
        <w:rPr>
          <w:rFonts w:hint="eastAsia"/>
          <w:sz w:val="24"/>
        </w:rPr>
        <w:t>十、其他重要事项的情况说明</w:t>
      </w:r>
      <w:r>
        <w:rPr>
          <w:rFonts w:hint="eastAsia"/>
          <w:sz w:val="24"/>
          <w:lang w:val="en-US" w:eastAsia="zh-CN"/>
        </w:rPr>
        <w:t>....................................................................13</w:t>
      </w:r>
    </w:p>
    <w:p w14:paraId="6609F62A">
      <w:pPr>
        <w:pStyle w:val="11"/>
        <w:adjustRightInd w:val="0"/>
        <w:snapToGrid w:val="0"/>
        <w:spacing w:before="0" w:line="440" w:lineRule="exact"/>
        <w:jc w:val="left"/>
        <w:rPr>
          <w:rFonts w:hint="default" w:eastAsia="仿宋" w:cstheme="minorBidi"/>
          <w:sz w:val="24"/>
          <w:szCs w:val="24"/>
          <w:lang w:val="en-US" w:eastAsia="zh-CN"/>
        </w:rPr>
      </w:pPr>
      <w:r>
        <w:rPr>
          <w:rFonts w:hint="eastAsia"/>
          <w:sz w:val="24"/>
        </w:rPr>
        <w:t>第三部分</w:t>
      </w:r>
      <w:r>
        <w:rPr>
          <w:sz w:val="24"/>
        </w:rPr>
        <w:t xml:space="preserve"> </w:t>
      </w:r>
      <w:r>
        <w:rPr>
          <w:rFonts w:hint="eastAsia"/>
          <w:sz w:val="24"/>
        </w:rPr>
        <w:t>名词解释</w:t>
      </w:r>
      <w:r>
        <w:rPr>
          <w:rFonts w:hint="eastAsia"/>
          <w:sz w:val="24"/>
          <w:lang w:val="en-US" w:eastAsia="zh-CN"/>
        </w:rPr>
        <w:t>...............................................14</w:t>
      </w:r>
    </w:p>
    <w:p w14:paraId="6D57A85E">
      <w:pPr>
        <w:pStyle w:val="11"/>
        <w:adjustRightInd w:val="0"/>
        <w:snapToGrid w:val="0"/>
        <w:spacing w:before="0" w:line="440" w:lineRule="exact"/>
        <w:jc w:val="left"/>
        <w:rPr>
          <w:rFonts w:hint="default" w:eastAsia="仿宋" w:cstheme="minorBidi"/>
          <w:sz w:val="24"/>
          <w:szCs w:val="24"/>
          <w:lang w:val="en-US" w:eastAsia="zh-CN"/>
        </w:rPr>
      </w:pPr>
      <w:r>
        <w:rPr>
          <w:rFonts w:hint="eastAsia"/>
          <w:sz w:val="24"/>
        </w:rPr>
        <w:t>第四部分</w:t>
      </w:r>
      <w:r>
        <w:rPr>
          <w:sz w:val="24"/>
        </w:rPr>
        <w:t xml:space="preserve"> </w:t>
      </w:r>
      <w:r>
        <w:rPr>
          <w:rFonts w:hint="eastAsia"/>
          <w:sz w:val="24"/>
        </w:rPr>
        <w:t>附件</w:t>
      </w:r>
      <w:r>
        <w:rPr>
          <w:rFonts w:hint="eastAsia"/>
          <w:sz w:val="24"/>
          <w:lang w:val="en-US" w:eastAsia="zh-CN"/>
        </w:rPr>
        <w:t>...................................................17</w:t>
      </w:r>
    </w:p>
    <w:p w14:paraId="3B4EFC52">
      <w:pPr>
        <w:pStyle w:val="11"/>
        <w:adjustRightInd w:val="0"/>
        <w:snapToGrid w:val="0"/>
        <w:spacing w:before="0" w:line="440" w:lineRule="exact"/>
        <w:jc w:val="left"/>
        <w:rPr>
          <w:rFonts w:hint="default" w:eastAsia="仿宋" w:cstheme="minorBidi"/>
          <w:sz w:val="24"/>
          <w:szCs w:val="24"/>
          <w:lang w:val="en-US" w:eastAsia="zh-CN"/>
        </w:rPr>
      </w:pPr>
      <w:r>
        <w:rPr>
          <w:rFonts w:hint="eastAsia"/>
          <w:sz w:val="24"/>
        </w:rPr>
        <w:t>第五部分</w:t>
      </w:r>
      <w:r>
        <w:rPr>
          <w:sz w:val="24"/>
        </w:rPr>
        <w:t xml:space="preserve"> </w:t>
      </w:r>
      <w:r>
        <w:rPr>
          <w:rFonts w:hint="eastAsia"/>
          <w:sz w:val="24"/>
        </w:rPr>
        <w:t>附表</w:t>
      </w:r>
      <w:r>
        <w:rPr>
          <w:rFonts w:hint="eastAsia"/>
          <w:sz w:val="24"/>
          <w:lang w:val="en-US" w:eastAsia="zh-CN"/>
        </w:rPr>
        <w:t>...................................................22</w:t>
      </w:r>
    </w:p>
    <w:p w14:paraId="36887844">
      <w:pPr>
        <w:pStyle w:val="12"/>
        <w:adjustRightInd w:val="0"/>
        <w:snapToGrid w:val="0"/>
        <w:spacing w:line="440" w:lineRule="exact"/>
        <w:jc w:val="left"/>
        <w:rPr>
          <w:rFonts w:hint="default" w:eastAsia="宋体"/>
          <w:sz w:val="24"/>
          <w:lang w:val="en-US" w:eastAsia="zh-CN"/>
        </w:rPr>
      </w:pPr>
      <w:r>
        <w:rPr>
          <w:rFonts w:hint="eastAsia"/>
          <w:sz w:val="24"/>
        </w:rPr>
        <w:t>一、收入支出决算总表</w:t>
      </w:r>
      <w:r>
        <w:rPr>
          <w:rFonts w:hint="eastAsia"/>
          <w:sz w:val="24"/>
          <w:lang w:val="en-US" w:eastAsia="zh-CN"/>
        </w:rPr>
        <w:t>.................................................................................22</w:t>
      </w:r>
    </w:p>
    <w:p w14:paraId="5C87DDD5">
      <w:pPr>
        <w:pStyle w:val="12"/>
        <w:adjustRightInd w:val="0"/>
        <w:snapToGrid w:val="0"/>
        <w:spacing w:line="440" w:lineRule="exact"/>
        <w:jc w:val="left"/>
        <w:rPr>
          <w:rFonts w:hint="default" w:eastAsia="宋体"/>
          <w:sz w:val="24"/>
          <w:lang w:val="en-US" w:eastAsia="zh-CN"/>
        </w:rPr>
      </w:pPr>
      <w:r>
        <w:rPr>
          <w:rFonts w:hint="eastAsia"/>
          <w:sz w:val="24"/>
        </w:rPr>
        <w:t>二、收入决算表</w:t>
      </w:r>
      <w:r>
        <w:rPr>
          <w:rFonts w:hint="eastAsia"/>
          <w:sz w:val="24"/>
          <w:lang w:val="en-US" w:eastAsia="zh-CN"/>
        </w:rPr>
        <w:t>.............................................................................................22</w:t>
      </w:r>
    </w:p>
    <w:p w14:paraId="5321DEBD">
      <w:pPr>
        <w:pStyle w:val="12"/>
        <w:adjustRightInd w:val="0"/>
        <w:snapToGrid w:val="0"/>
        <w:spacing w:line="440" w:lineRule="exact"/>
        <w:jc w:val="left"/>
        <w:rPr>
          <w:rFonts w:hint="default" w:eastAsia="宋体"/>
          <w:sz w:val="24"/>
          <w:lang w:val="en-US" w:eastAsia="zh-CN"/>
        </w:rPr>
      </w:pPr>
      <w:r>
        <w:rPr>
          <w:rFonts w:hint="eastAsia"/>
          <w:sz w:val="24"/>
        </w:rPr>
        <w:t>三、支出决算表</w:t>
      </w:r>
      <w:r>
        <w:rPr>
          <w:rFonts w:hint="eastAsia"/>
          <w:sz w:val="24"/>
          <w:lang w:val="en-US" w:eastAsia="zh-CN"/>
        </w:rPr>
        <w:t>.............................................................................................22</w:t>
      </w:r>
    </w:p>
    <w:p w14:paraId="289A0443">
      <w:pPr>
        <w:pStyle w:val="12"/>
        <w:adjustRightInd w:val="0"/>
        <w:snapToGrid w:val="0"/>
        <w:spacing w:line="440" w:lineRule="exact"/>
        <w:jc w:val="left"/>
        <w:rPr>
          <w:rFonts w:hint="default" w:eastAsia="宋体"/>
          <w:sz w:val="24"/>
          <w:lang w:val="en-US" w:eastAsia="zh-CN"/>
        </w:rPr>
      </w:pPr>
      <w:r>
        <w:rPr>
          <w:rFonts w:hint="eastAsia"/>
          <w:sz w:val="24"/>
        </w:rPr>
        <w:t>四、财政拨款收入支出决算总表</w:t>
      </w:r>
      <w:r>
        <w:rPr>
          <w:rFonts w:hint="eastAsia"/>
          <w:sz w:val="24"/>
          <w:lang w:val="en-US" w:eastAsia="zh-CN"/>
        </w:rPr>
        <w:t>.................................................................22</w:t>
      </w:r>
    </w:p>
    <w:p w14:paraId="1974E4BD">
      <w:pPr>
        <w:pStyle w:val="12"/>
        <w:adjustRightInd w:val="0"/>
        <w:snapToGrid w:val="0"/>
        <w:spacing w:line="440" w:lineRule="exact"/>
        <w:jc w:val="left"/>
        <w:rPr>
          <w:rFonts w:hint="default" w:eastAsia="宋体"/>
          <w:sz w:val="24"/>
          <w:lang w:val="en-US" w:eastAsia="zh-CN"/>
        </w:rPr>
      </w:pPr>
      <w:r>
        <w:rPr>
          <w:rFonts w:hint="eastAsia"/>
          <w:sz w:val="24"/>
        </w:rPr>
        <w:t>五、财政拨款支出决算明细表</w:t>
      </w:r>
      <w:r>
        <w:rPr>
          <w:rFonts w:hint="eastAsia"/>
          <w:sz w:val="24"/>
          <w:lang w:val="en-US" w:eastAsia="zh-CN"/>
        </w:rPr>
        <w:t>.....................................................................22</w:t>
      </w:r>
    </w:p>
    <w:p w14:paraId="07318C9A">
      <w:pPr>
        <w:pStyle w:val="12"/>
        <w:adjustRightInd w:val="0"/>
        <w:snapToGrid w:val="0"/>
        <w:spacing w:line="440" w:lineRule="exact"/>
        <w:jc w:val="left"/>
        <w:rPr>
          <w:rFonts w:hint="default" w:eastAsia="宋体"/>
          <w:sz w:val="24"/>
          <w:lang w:val="en-US" w:eastAsia="zh-CN"/>
        </w:rPr>
      </w:pPr>
      <w:r>
        <w:rPr>
          <w:rFonts w:hint="eastAsia"/>
          <w:sz w:val="24"/>
        </w:rPr>
        <w:t>六、一般公共预算财政拨款支出决算表</w:t>
      </w:r>
      <w:r>
        <w:rPr>
          <w:rFonts w:hint="eastAsia"/>
          <w:sz w:val="24"/>
          <w:lang w:val="en-US" w:eastAsia="zh-CN"/>
        </w:rPr>
        <w:t>.....................................................22</w:t>
      </w:r>
    </w:p>
    <w:p w14:paraId="676300DC">
      <w:pPr>
        <w:pStyle w:val="12"/>
        <w:adjustRightInd w:val="0"/>
        <w:snapToGrid w:val="0"/>
        <w:spacing w:line="440" w:lineRule="exact"/>
        <w:jc w:val="left"/>
        <w:rPr>
          <w:rFonts w:hint="default" w:eastAsia="宋体"/>
          <w:sz w:val="24"/>
          <w:lang w:val="en-US" w:eastAsia="zh-CN"/>
        </w:rPr>
      </w:pPr>
      <w:r>
        <w:rPr>
          <w:rFonts w:hint="eastAsia"/>
          <w:sz w:val="24"/>
        </w:rPr>
        <w:t>七、一般公共预算财政拨款支出决算明细表</w:t>
      </w:r>
      <w:r>
        <w:rPr>
          <w:rFonts w:hint="eastAsia"/>
          <w:sz w:val="24"/>
          <w:lang w:val="en-US" w:eastAsia="zh-CN"/>
        </w:rPr>
        <w:t>.............................................22</w:t>
      </w:r>
    </w:p>
    <w:p w14:paraId="6E33E9D1">
      <w:pPr>
        <w:pStyle w:val="12"/>
        <w:adjustRightInd w:val="0"/>
        <w:snapToGrid w:val="0"/>
        <w:spacing w:line="440" w:lineRule="exact"/>
        <w:jc w:val="left"/>
        <w:rPr>
          <w:rFonts w:hint="default" w:eastAsia="宋体"/>
          <w:sz w:val="24"/>
          <w:lang w:val="en-US" w:eastAsia="zh-CN"/>
        </w:rPr>
      </w:pPr>
      <w:r>
        <w:rPr>
          <w:rFonts w:hint="eastAsia"/>
          <w:sz w:val="24"/>
        </w:rPr>
        <w:t>八、一般公共预算财政拨款基本支出决算明细表</w:t>
      </w:r>
      <w:r>
        <w:rPr>
          <w:rFonts w:hint="eastAsia"/>
          <w:sz w:val="24"/>
          <w:lang w:val="en-US" w:eastAsia="zh-CN"/>
        </w:rPr>
        <w:t>.....................................22</w:t>
      </w:r>
    </w:p>
    <w:p w14:paraId="3D64D57E">
      <w:pPr>
        <w:pStyle w:val="12"/>
        <w:adjustRightInd w:val="0"/>
        <w:snapToGrid w:val="0"/>
        <w:spacing w:line="440" w:lineRule="exact"/>
        <w:jc w:val="left"/>
        <w:rPr>
          <w:rFonts w:hint="default" w:eastAsia="宋体"/>
          <w:sz w:val="24"/>
          <w:lang w:val="en-US" w:eastAsia="zh-CN"/>
        </w:rPr>
      </w:pPr>
      <w:r>
        <w:rPr>
          <w:rFonts w:hint="eastAsia"/>
          <w:sz w:val="24"/>
        </w:rPr>
        <w:t>九、一般公共预算财政拨款项目支出决算表</w:t>
      </w:r>
      <w:r>
        <w:rPr>
          <w:rFonts w:hint="eastAsia"/>
          <w:sz w:val="24"/>
          <w:lang w:val="en-US" w:eastAsia="zh-CN"/>
        </w:rPr>
        <w:t>.............................................22</w:t>
      </w:r>
    </w:p>
    <w:p w14:paraId="013BBEEA">
      <w:pPr>
        <w:pStyle w:val="12"/>
        <w:adjustRightInd w:val="0"/>
        <w:snapToGrid w:val="0"/>
        <w:spacing w:line="440" w:lineRule="exact"/>
        <w:jc w:val="left"/>
        <w:rPr>
          <w:rFonts w:hint="default" w:eastAsia="宋体"/>
          <w:sz w:val="24"/>
          <w:lang w:val="en-US" w:eastAsia="zh-CN"/>
        </w:rPr>
      </w:pPr>
      <w:r>
        <w:rPr>
          <w:rFonts w:hint="eastAsia"/>
          <w:sz w:val="24"/>
        </w:rPr>
        <w:t>十、政府性基金预算财政拨款收入支出决算表</w:t>
      </w:r>
      <w:r>
        <w:rPr>
          <w:rFonts w:hint="eastAsia"/>
          <w:sz w:val="24"/>
          <w:lang w:val="en-US" w:eastAsia="zh-CN"/>
        </w:rPr>
        <w:t>.........................................22</w:t>
      </w:r>
    </w:p>
    <w:p w14:paraId="13EDC803">
      <w:pPr>
        <w:pStyle w:val="12"/>
        <w:adjustRightInd w:val="0"/>
        <w:snapToGrid w:val="0"/>
        <w:spacing w:line="440" w:lineRule="exact"/>
        <w:jc w:val="left"/>
        <w:rPr>
          <w:rFonts w:hint="default" w:eastAsia="宋体"/>
          <w:sz w:val="24"/>
          <w:lang w:val="en-US" w:eastAsia="zh-CN"/>
        </w:rPr>
      </w:pPr>
      <w:r>
        <w:rPr>
          <w:rFonts w:hint="eastAsia"/>
          <w:sz w:val="24"/>
        </w:rPr>
        <w:t>十一、国有资本经营预算财政拨款收入支出决算表</w:t>
      </w:r>
      <w:r>
        <w:rPr>
          <w:rFonts w:hint="eastAsia"/>
          <w:sz w:val="24"/>
          <w:lang w:val="en-US" w:eastAsia="zh-CN"/>
        </w:rPr>
        <w:t>.................................22</w:t>
      </w:r>
    </w:p>
    <w:p w14:paraId="718FC239">
      <w:pPr>
        <w:pStyle w:val="12"/>
        <w:adjustRightInd w:val="0"/>
        <w:snapToGrid w:val="0"/>
        <w:spacing w:line="440" w:lineRule="exact"/>
        <w:jc w:val="left"/>
        <w:rPr>
          <w:rFonts w:hint="default" w:eastAsia="宋体"/>
          <w:sz w:val="24"/>
          <w:lang w:val="en-US" w:eastAsia="zh-CN"/>
        </w:rPr>
      </w:pPr>
      <w:r>
        <w:rPr>
          <w:rFonts w:hint="eastAsia"/>
          <w:sz w:val="24"/>
        </w:rPr>
        <w:t>十二、国有资本经营预算财政拨款支出决算表</w:t>
      </w:r>
      <w:r>
        <w:rPr>
          <w:rFonts w:hint="eastAsia"/>
          <w:sz w:val="24"/>
          <w:lang w:val="en-US" w:eastAsia="zh-CN"/>
        </w:rPr>
        <w:t>.........................................22</w:t>
      </w:r>
    </w:p>
    <w:p w14:paraId="68FE0B75">
      <w:pPr>
        <w:pStyle w:val="12"/>
        <w:adjustRightInd w:val="0"/>
        <w:snapToGrid w:val="0"/>
        <w:spacing w:line="440" w:lineRule="exact"/>
        <w:jc w:val="left"/>
        <w:rPr>
          <w:rFonts w:hint="default" w:eastAsia="宋体"/>
          <w:sz w:val="24"/>
          <w:lang w:val="en-US" w:eastAsia="zh-CN"/>
        </w:rPr>
      </w:pPr>
      <w:r>
        <w:rPr>
          <w:rFonts w:hint="eastAsia"/>
          <w:sz w:val="24"/>
        </w:rPr>
        <w:t>十三、财政拨款“三公”经费支出决算表</w:t>
      </w:r>
      <w:r>
        <w:rPr>
          <w:rFonts w:hint="eastAsia"/>
          <w:sz w:val="24"/>
          <w:lang w:val="en-US" w:eastAsia="zh-CN"/>
        </w:rPr>
        <w:t>.................................................22</w:t>
      </w:r>
    </w:p>
    <w:p w14:paraId="0189B515">
      <w:pPr>
        <w:widowControl/>
        <w:spacing w:line="440" w:lineRule="exact"/>
        <w:jc w:val="left"/>
        <w:rPr>
          <w:rFonts w:ascii="仿宋" w:hAnsi="仿宋" w:eastAsia="仿宋"/>
          <w:bCs/>
          <w:kern w:val="44"/>
          <w:sz w:val="24"/>
        </w:rPr>
      </w:pPr>
      <w:bookmarkStart w:id="12" w:name="_Toc15377196"/>
      <w:bookmarkStart w:id="13" w:name="_Toc15396599"/>
      <w:r>
        <w:rPr>
          <w:rFonts w:ascii="仿宋" w:hAnsi="仿宋" w:eastAsia="仿宋"/>
          <w:b/>
          <w:sz w:val="24"/>
        </w:rPr>
        <w:br w:type="page"/>
      </w:r>
    </w:p>
    <w:p w14:paraId="3D7CA9C2">
      <w:pPr>
        <w:pStyle w:val="3"/>
        <w:jc w:val="center"/>
        <w:rPr>
          <w:rFonts w:ascii="黑体" w:eastAsia="黑体"/>
          <w:sz w:val="32"/>
          <w:szCs w:val="32"/>
        </w:rPr>
      </w:pPr>
      <w:r>
        <w:rPr>
          <w:rFonts w:hint="eastAsia" w:ascii="黑体" w:hAnsi="黑体" w:eastAsia="黑体"/>
          <w:b w:val="0"/>
        </w:rPr>
        <w:t>第一部分 单位</w:t>
      </w:r>
      <w:r>
        <w:rPr>
          <w:rStyle w:val="28"/>
          <w:rFonts w:hint="eastAsia" w:ascii="黑体" w:hAnsi="黑体" w:eastAsia="黑体"/>
          <w:b w:val="0"/>
          <w:bCs w:val="0"/>
        </w:rPr>
        <w:t>概况</w:t>
      </w:r>
      <w:bookmarkEnd w:id="12"/>
      <w:bookmarkEnd w:id="13"/>
    </w:p>
    <w:p w14:paraId="0B97CEEE">
      <w:pPr>
        <w:pStyle w:val="4"/>
        <w:numPr>
          <w:ilvl w:val="0"/>
          <w:numId w:val="0"/>
        </w:numPr>
        <w:rPr>
          <w:rStyle w:val="29"/>
          <w:rFonts w:ascii="黑体" w:hAnsi="黑体" w:eastAsia="黑体"/>
          <w:b w:val="0"/>
          <w:bCs w:val="0"/>
        </w:rPr>
      </w:pPr>
      <w:bookmarkStart w:id="14" w:name="_Toc15396600"/>
      <w:bookmarkStart w:id="15" w:name="_Toc15377197"/>
      <w:r>
        <w:rPr>
          <w:rStyle w:val="29"/>
          <w:rFonts w:hint="eastAsia" w:ascii="黑体" w:hAnsi="黑体" w:eastAsia="黑体"/>
          <w:b w:val="0"/>
          <w:bCs w:val="0"/>
          <w:lang w:val="en-US" w:eastAsia="zh-CN"/>
        </w:rPr>
        <w:t xml:space="preserve">   一、</w:t>
      </w:r>
      <w:r>
        <w:rPr>
          <w:rStyle w:val="29"/>
          <w:rFonts w:hint="eastAsia" w:ascii="黑体" w:hAnsi="黑体" w:eastAsia="黑体"/>
          <w:b w:val="0"/>
          <w:bCs w:val="0"/>
        </w:rPr>
        <w:t>主要职责</w:t>
      </w:r>
    </w:p>
    <w:p w14:paraId="66AE72B4">
      <w:pPr>
        <w:pStyle w:val="2"/>
        <w:numPr>
          <w:ilvl w:val="0"/>
          <w:numId w:val="2"/>
        </w:numPr>
        <w:adjustRightInd w:val="0"/>
        <w:snapToGrid w:val="0"/>
        <w:spacing w:before="93" w:line="600" w:lineRule="exact"/>
        <w:outlineLvl w:val="2"/>
        <w:rPr>
          <w:rFonts w:ascii="仿宋" w:hAnsi="仿宋" w:eastAsia="仿宋" w:cs="仿宋"/>
          <w:kern w:val="2"/>
          <w:sz w:val="32"/>
          <w:szCs w:val="32"/>
        </w:rPr>
      </w:pPr>
      <w:r>
        <w:rPr>
          <w:rFonts w:hint="eastAsia" w:ascii="仿宋" w:hAnsi="仿宋" w:eastAsia="仿宋" w:cs="仿宋"/>
          <w:kern w:val="2"/>
          <w:sz w:val="32"/>
          <w:szCs w:val="32"/>
        </w:rPr>
        <w:t>认真贯彻《四川省中小学办学行为规范》，不断规范学校办学行为，切实</w:t>
      </w:r>
      <w:r>
        <w:rPr>
          <w:rFonts w:hint="eastAsia" w:ascii="仿宋" w:hAnsi="仿宋" w:eastAsia="仿宋" w:cs="仿宋"/>
          <w:kern w:val="2"/>
          <w:sz w:val="32"/>
          <w:szCs w:val="32"/>
          <w:lang w:eastAsia="zh-CN"/>
        </w:rPr>
        <w:t>增强</w:t>
      </w:r>
      <w:r>
        <w:rPr>
          <w:rFonts w:hint="eastAsia" w:ascii="仿宋" w:hAnsi="仿宋" w:eastAsia="仿宋" w:cs="仿宋"/>
          <w:kern w:val="2"/>
          <w:sz w:val="32"/>
          <w:szCs w:val="32"/>
        </w:rPr>
        <w:t>教师规范从教的意识，促进办学水平的不断提升，为争创示范乡镇</w:t>
      </w:r>
      <w:r>
        <w:rPr>
          <w:rFonts w:hint="eastAsia" w:ascii="仿宋" w:hAnsi="仿宋" w:eastAsia="仿宋" w:cs="仿宋"/>
          <w:kern w:val="2"/>
          <w:sz w:val="32"/>
          <w:szCs w:val="32"/>
          <w:lang w:eastAsia="zh-CN"/>
        </w:rPr>
        <w:t>学校</w:t>
      </w:r>
      <w:r>
        <w:rPr>
          <w:rFonts w:hint="eastAsia" w:ascii="仿宋" w:hAnsi="仿宋" w:eastAsia="仿宋" w:cs="仿宋"/>
          <w:kern w:val="2"/>
          <w:sz w:val="32"/>
          <w:szCs w:val="32"/>
        </w:rPr>
        <w:t>而努力。努力办人民满意的教育。</w:t>
      </w:r>
    </w:p>
    <w:p w14:paraId="0C110080">
      <w:pPr>
        <w:pStyle w:val="27"/>
        <w:numPr>
          <w:ilvl w:val="0"/>
          <w:numId w:val="2"/>
        </w:numPr>
        <w:ind w:firstLineChars="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维护学校的正常教育教学秩序，为学生创造良好的学习环境。</w:t>
      </w:r>
    </w:p>
    <w:p w14:paraId="4F1B570D">
      <w:pPr>
        <w:pStyle w:val="27"/>
        <w:jc w:val="left"/>
        <w:rPr>
          <w:rFonts w:hint="eastAsia" w:ascii="仿宋" w:hAnsi="仿宋" w:eastAsia="仿宋" w:cs="宋体"/>
          <w:sz w:val="32"/>
          <w:szCs w:val="32"/>
          <w:shd w:val="clear" w:color="auto" w:fill="FFFFFF"/>
          <w:lang w:eastAsia="zh-CN"/>
        </w:rPr>
      </w:pPr>
      <w:r>
        <w:rPr>
          <w:rFonts w:hint="eastAsia" w:ascii="仿宋" w:hAnsi="仿宋" w:eastAsia="仿宋" w:cs="宋体"/>
          <w:sz w:val="32"/>
          <w:szCs w:val="32"/>
          <w:shd w:val="clear" w:color="auto" w:fill="FFFFFF"/>
        </w:rPr>
        <w:t>研究拟定学校发展规划和年度计划，组织实施教育体制和办学体制改革。积极稳妥地推进教育改革，按教育规律办事，不断提高教育质量</w:t>
      </w:r>
      <w:r>
        <w:rPr>
          <w:rFonts w:hint="eastAsia" w:ascii="仿宋" w:hAnsi="仿宋" w:eastAsia="仿宋" w:cs="宋体"/>
          <w:sz w:val="32"/>
          <w:szCs w:val="32"/>
          <w:shd w:val="clear" w:color="auto" w:fill="FFFFFF"/>
          <w:lang w:eastAsia="zh-CN"/>
        </w:rPr>
        <w:t>。</w:t>
      </w:r>
    </w:p>
    <w:p w14:paraId="4B813A1E">
      <w:pPr>
        <w:pStyle w:val="27"/>
        <w:numPr>
          <w:ilvl w:val="0"/>
          <w:numId w:val="2"/>
        </w:numPr>
        <w:ind w:firstLineChars="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根据学校规模，科学设置学校管理机构，建立健全各项规章制度和岗位责任制。</w:t>
      </w:r>
    </w:p>
    <w:p w14:paraId="0A499DB2">
      <w:pPr>
        <w:pStyle w:val="27"/>
        <w:numPr>
          <w:ilvl w:val="0"/>
          <w:numId w:val="2"/>
        </w:numPr>
        <w:ind w:firstLineChars="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 xml:space="preserve">管理和指导学校基础教育工作，坚持教书育人，服务育人，环境育人方针，使学生的德智体美全面发展。 </w:t>
      </w:r>
    </w:p>
    <w:p w14:paraId="732EB479">
      <w:pPr>
        <w:pStyle w:val="27"/>
        <w:numPr>
          <w:ilvl w:val="0"/>
          <w:numId w:val="2"/>
        </w:numPr>
        <w:ind w:firstLineChars="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抓好教师队伍建设，使每个教师都热心于教育事业。</w:t>
      </w:r>
    </w:p>
    <w:p w14:paraId="24B65885">
      <w:pPr>
        <w:pStyle w:val="27"/>
        <w:numPr>
          <w:ilvl w:val="0"/>
          <w:numId w:val="2"/>
        </w:numPr>
        <w:ind w:firstLineChars="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负责做好</w:t>
      </w:r>
      <w:r>
        <w:rPr>
          <w:rFonts w:hint="eastAsia" w:ascii="仿宋" w:hAnsi="仿宋" w:eastAsia="仿宋" w:cs="宋体"/>
          <w:sz w:val="32"/>
          <w:szCs w:val="32"/>
          <w:shd w:val="clear" w:color="auto" w:fill="FFFFFF"/>
          <w:lang w:eastAsia="zh-CN"/>
        </w:rPr>
        <w:t>学校</w:t>
      </w:r>
      <w:r>
        <w:rPr>
          <w:rFonts w:hint="eastAsia" w:ascii="仿宋" w:hAnsi="仿宋" w:eastAsia="仿宋" w:cs="宋体"/>
          <w:sz w:val="32"/>
          <w:szCs w:val="32"/>
          <w:shd w:val="clear" w:color="auto" w:fill="FFFFFF"/>
        </w:rPr>
        <w:t>安全保卫工作，保证师生的人身安全及学校财产安全。</w:t>
      </w:r>
    </w:p>
    <w:p w14:paraId="2A5BEE9B">
      <w:pPr>
        <w:pStyle w:val="27"/>
        <w:numPr>
          <w:ilvl w:val="0"/>
          <w:numId w:val="2"/>
        </w:numPr>
        <w:ind w:firstLineChars="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严格管理学校教育经费，严格执行财务管理制度。</w:t>
      </w:r>
    </w:p>
    <w:p w14:paraId="59934AF9">
      <w:pPr>
        <w:pStyle w:val="2"/>
        <w:numPr>
          <w:ilvl w:val="0"/>
          <w:numId w:val="2"/>
        </w:numPr>
        <w:adjustRightInd w:val="0"/>
        <w:snapToGrid w:val="0"/>
        <w:spacing w:before="93" w:line="600" w:lineRule="exact"/>
        <w:outlineLvl w:val="2"/>
        <w:rPr>
          <w:rFonts w:ascii="仿宋" w:hAnsi="仿宋" w:eastAsia="仿宋" w:cs="仿宋"/>
          <w:kern w:val="2"/>
          <w:sz w:val="32"/>
          <w:szCs w:val="32"/>
        </w:rPr>
      </w:pPr>
      <w:r>
        <w:rPr>
          <w:rFonts w:hint="eastAsia" w:ascii="仿宋" w:hAnsi="仿宋" w:eastAsia="仿宋" w:cs="仿宋"/>
          <w:kern w:val="2"/>
          <w:sz w:val="32"/>
          <w:szCs w:val="32"/>
        </w:rPr>
        <w:t>做好</w:t>
      </w:r>
      <w:r>
        <w:rPr>
          <w:rFonts w:hint="eastAsia" w:ascii="仿宋" w:hAnsi="仿宋" w:eastAsia="仿宋" w:cs="仿宋"/>
          <w:kern w:val="2"/>
          <w:sz w:val="32"/>
          <w:szCs w:val="32"/>
          <w:lang w:eastAsia="zh-CN"/>
        </w:rPr>
        <w:t>随班就读工作</w:t>
      </w:r>
      <w:r>
        <w:rPr>
          <w:rFonts w:hint="eastAsia" w:ascii="仿宋" w:hAnsi="仿宋" w:eastAsia="仿宋" w:cs="仿宋"/>
          <w:kern w:val="2"/>
          <w:sz w:val="32"/>
          <w:szCs w:val="32"/>
        </w:rPr>
        <w:t>，关心、关爱残疾儿童。</w:t>
      </w:r>
    </w:p>
    <w:p w14:paraId="35DD6CE4"/>
    <w:p w14:paraId="3D32F97F">
      <w:pPr>
        <w:pStyle w:val="4"/>
        <w:ind w:firstLine="640" w:firstLineChars="200"/>
        <w:rPr>
          <w:rFonts w:ascii="黑体" w:hAnsi="黑体" w:eastAsia="黑体"/>
          <w:b w:val="0"/>
        </w:rPr>
      </w:pPr>
      <w:r>
        <w:rPr>
          <w:rFonts w:hint="eastAsia" w:ascii="黑体" w:hAnsi="黑体" w:eastAsia="黑体"/>
          <w:b w:val="0"/>
          <w:lang w:val="en-US" w:eastAsia="zh-CN"/>
        </w:rPr>
        <w:t>二</w:t>
      </w:r>
      <w:r>
        <w:rPr>
          <w:rFonts w:hint="eastAsia" w:ascii="黑体" w:hAnsi="黑体" w:eastAsia="黑体"/>
          <w:b w:val="0"/>
        </w:rPr>
        <w:t>、机构设置</w:t>
      </w:r>
    </w:p>
    <w:bookmarkEnd w:id="14"/>
    <w:bookmarkEnd w:id="15"/>
    <w:p w14:paraId="0DA549EE">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eastAsia="zh-CN"/>
        </w:rPr>
        <w:t>峨边彝族自治县平等乡中心小学属峨边彝族自治县教育局下设单位，单位基本性质为事业单位。</w:t>
      </w:r>
      <w:r>
        <w:rPr>
          <w:rFonts w:hint="eastAsia" w:ascii="仿宋" w:hAnsi="仿宋" w:eastAsia="仿宋" w:cs="仿宋"/>
          <w:sz w:val="32"/>
          <w:szCs w:val="32"/>
          <w:lang w:val="en-US" w:eastAsia="zh-CN"/>
        </w:rPr>
        <w:t>2023年内设机构8个：校长办，教导处，政教处，党支部，总务处，安全办公室，工会，团队。</w:t>
      </w:r>
      <w:bookmarkStart w:id="16" w:name="_Toc15377204"/>
      <w:bookmarkStart w:id="17" w:name="_Toc15396602"/>
    </w:p>
    <w:p w14:paraId="3E6DD935">
      <w:pPr>
        <w:pStyle w:val="2"/>
        <w:rPr>
          <w:rFonts w:hint="eastAsia" w:ascii="仿宋" w:hAnsi="仿宋" w:eastAsia="仿宋" w:cs="仿宋"/>
          <w:sz w:val="32"/>
          <w:szCs w:val="32"/>
          <w:lang w:val="en-US" w:eastAsia="zh-CN"/>
        </w:rPr>
      </w:pPr>
    </w:p>
    <w:p w14:paraId="456E8967">
      <w:pPr>
        <w:pStyle w:val="2"/>
        <w:rPr>
          <w:rFonts w:hint="eastAsia" w:ascii="仿宋" w:hAnsi="仿宋" w:eastAsia="仿宋" w:cs="仿宋"/>
          <w:sz w:val="32"/>
          <w:szCs w:val="32"/>
          <w:lang w:val="en-US" w:eastAsia="zh-CN"/>
        </w:rPr>
      </w:pPr>
    </w:p>
    <w:p w14:paraId="2FAB8B8F">
      <w:pPr>
        <w:pStyle w:val="2"/>
        <w:rPr>
          <w:rFonts w:hint="eastAsia" w:ascii="仿宋" w:hAnsi="仿宋" w:eastAsia="仿宋" w:cs="仿宋"/>
          <w:sz w:val="32"/>
          <w:szCs w:val="32"/>
          <w:lang w:val="en-US" w:eastAsia="zh-CN"/>
        </w:rPr>
      </w:pPr>
    </w:p>
    <w:p w14:paraId="702A7FC2">
      <w:pPr>
        <w:pStyle w:val="2"/>
        <w:rPr>
          <w:rFonts w:hint="eastAsia" w:ascii="仿宋" w:hAnsi="仿宋" w:eastAsia="仿宋" w:cs="仿宋"/>
          <w:sz w:val="32"/>
          <w:szCs w:val="32"/>
          <w:lang w:val="en-US" w:eastAsia="zh-CN"/>
        </w:rPr>
      </w:pPr>
    </w:p>
    <w:p w14:paraId="70EF961C">
      <w:pPr>
        <w:pStyle w:val="2"/>
        <w:rPr>
          <w:rFonts w:hint="eastAsia" w:ascii="仿宋" w:hAnsi="仿宋" w:eastAsia="仿宋" w:cs="仿宋"/>
          <w:sz w:val="32"/>
          <w:szCs w:val="32"/>
          <w:lang w:val="en-US" w:eastAsia="zh-CN"/>
        </w:rPr>
      </w:pPr>
    </w:p>
    <w:p w14:paraId="5561966A">
      <w:pPr>
        <w:pStyle w:val="2"/>
        <w:rPr>
          <w:rFonts w:hint="eastAsia" w:ascii="仿宋" w:hAnsi="仿宋" w:eastAsia="仿宋" w:cs="仿宋"/>
          <w:sz w:val="32"/>
          <w:szCs w:val="32"/>
          <w:lang w:val="en-US" w:eastAsia="zh-CN"/>
        </w:rPr>
      </w:pPr>
    </w:p>
    <w:p w14:paraId="3A197A80">
      <w:pPr>
        <w:pStyle w:val="2"/>
        <w:rPr>
          <w:rFonts w:hint="eastAsia" w:ascii="仿宋" w:hAnsi="仿宋" w:eastAsia="仿宋" w:cs="仿宋"/>
          <w:sz w:val="32"/>
          <w:szCs w:val="32"/>
          <w:lang w:val="en-US" w:eastAsia="zh-CN"/>
        </w:rPr>
      </w:pPr>
    </w:p>
    <w:p w14:paraId="5D105F72">
      <w:pPr>
        <w:pStyle w:val="2"/>
        <w:rPr>
          <w:rFonts w:hint="eastAsia" w:ascii="仿宋" w:hAnsi="仿宋" w:eastAsia="仿宋" w:cs="仿宋"/>
          <w:sz w:val="32"/>
          <w:szCs w:val="32"/>
          <w:lang w:val="en-US" w:eastAsia="zh-CN"/>
        </w:rPr>
      </w:pPr>
    </w:p>
    <w:p w14:paraId="2B5B9845">
      <w:pPr>
        <w:pStyle w:val="2"/>
        <w:rPr>
          <w:rFonts w:hint="eastAsia" w:ascii="仿宋" w:hAnsi="仿宋" w:eastAsia="仿宋" w:cs="仿宋"/>
          <w:sz w:val="32"/>
          <w:szCs w:val="32"/>
          <w:lang w:val="en-US" w:eastAsia="zh-CN"/>
        </w:rPr>
      </w:pPr>
    </w:p>
    <w:p w14:paraId="198C36F4">
      <w:pPr>
        <w:pStyle w:val="2"/>
        <w:rPr>
          <w:rFonts w:hint="eastAsia" w:ascii="仿宋" w:hAnsi="仿宋" w:eastAsia="仿宋" w:cs="仿宋"/>
          <w:sz w:val="32"/>
          <w:szCs w:val="32"/>
          <w:lang w:val="en-US" w:eastAsia="zh-CN"/>
        </w:rPr>
      </w:pPr>
    </w:p>
    <w:p w14:paraId="17882287">
      <w:pPr>
        <w:pStyle w:val="2"/>
        <w:rPr>
          <w:rFonts w:hint="eastAsia" w:ascii="仿宋" w:hAnsi="仿宋" w:eastAsia="仿宋" w:cs="仿宋"/>
          <w:sz w:val="32"/>
          <w:szCs w:val="32"/>
          <w:lang w:val="en-US" w:eastAsia="zh-CN"/>
        </w:rPr>
      </w:pPr>
    </w:p>
    <w:p w14:paraId="22DD6AFE">
      <w:pPr>
        <w:pStyle w:val="2"/>
        <w:rPr>
          <w:rFonts w:hint="eastAsia" w:ascii="仿宋" w:hAnsi="仿宋" w:eastAsia="仿宋" w:cs="仿宋"/>
          <w:sz w:val="32"/>
          <w:szCs w:val="32"/>
          <w:lang w:val="en-US" w:eastAsia="zh-CN"/>
        </w:rPr>
      </w:pPr>
    </w:p>
    <w:p w14:paraId="15D1D023">
      <w:pPr>
        <w:pStyle w:val="2"/>
        <w:rPr>
          <w:rFonts w:hint="eastAsia" w:ascii="仿宋" w:hAnsi="仿宋" w:eastAsia="仿宋" w:cs="仿宋"/>
          <w:sz w:val="32"/>
          <w:szCs w:val="32"/>
          <w:lang w:val="en-US" w:eastAsia="zh-CN"/>
        </w:rPr>
      </w:pPr>
    </w:p>
    <w:p w14:paraId="58C3D31E">
      <w:pPr>
        <w:pStyle w:val="3"/>
        <w:ind w:right="440"/>
        <w:jc w:val="center"/>
        <w:rPr>
          <w:rStyle w:val="28"/>
          <w:rFonts w:ascii="黑体" w:hAnsi="黑体" w:eastAsia="黑体"/>
          <w:b w:val="0"/>
          <w:bCs/>
        </w:rPr>
      </w:pPr>
      <w:r>
        <w:rPr>
          <w:rFonts w:hint="eastAsia" w:ascii="黑体" w:hAnsi="黑体" w:eastAsia="黑体"/>
          <w:b w:val="0"/>
        </w:rPr>
        <w:t>第二部分 2023年度</w:t>
      </w:r>
      <w:r>
        <w:rPr>
          <w:rStyle w:val="28"/>
          <w:rFonts w:hint="eastAsia" w:ascii="黑体" w:hAnsi="黑体" w:eastAsia="黑体"/>
          <w:b w:val="0"/>
          <w:bCs/>
        </w:rPr>
        <w:t>单位决算情况说明</w:t>
      </w:r>
      <w:bookmarkEnd w:id="16"/>
      <w:bookmarkEnd w:id="17"/>
    </w:p>
    <w:p w14:paraId="462FFA20"/>
    <w:p w14:paraId="0398F656">
      <w:pPr>
        <w:pStyle w:val="27"/>
        <w:numPr>
          <w:ilvl w:val="0"/>
          <w:numId w:val="3"/>
        </w:numPr>
        <w:spacing w:line="600" w:lineRule="exact"/>
        <w:ind w:firstLineChars="0"/>
        <w:outlineLvl w:val="1"/>
        <w:rPr>
          <w:rStyle w:val="29"/>
          <w:rFonts w:ascii="黑体" w:hAnsi="黑体" w:eastAsia="黑体"/>
          <w:b w:val="0"/>
        </w:rPr>
      </w:pPr>
      <w:bookmarkStart w:id="18" w:name="_Toc15377205"/>
      <w:bookmarkStart w:id="19" w:name="_Toc15396603"/>
      <w:r>
        <w:rPr>
          <w:rFonts w:hint="eastAsia" w:ascii="黑体" w:hAnsi="黑体" w:eastAsia="黑体"/>
          <w:sz w:val="32"/>
          <w:szCs w:val="32"/>
        </w:rPr>
        <w:t>收</w:t>
      </w:r>
      <w:r>
        <w:rPr>
          <w:rStyle w:val="29"/>
          <w:rFonts w:hint="eastAsia" w:ascii="黑体" w:hAnsi="黑体" w:eastAsia="黑体"/>
          <w:b w:val="0"/>
        </w:rPr>
        <w:t>入支出决算总体情况说明</w:t>
      </w:r>
      <w:bookmarkEnd w:id="18"/>
      <w:bookmarkEnd w:id="19"/>
    </w:p>
    <w:p w14:paraId="0DD0CB2C">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2023年度收、支总计均为</w:t>
      </w:r>
      <w:r>
        <w:rPr>
          <w:rFonts w:hint="eastAsia" w:ascii="仿宋" w:hAnsi="仿宋" w:eastAsia="仿宋"/>
          <w:b/>
          <w:sz w:val="32"/>
          <w:szCs w:val="32"/>
        </w:rPr>
        <w:t>859.49</w:t>
      </w:r>
      <w:r>
        <w:rPr>
          <w:rFonts w:hint="eastAsia" w:ascii="仿宋" w:hAnsi="仿宋" w:eastAsia="仿宋"/>
          <w:sz w:val="32"/>
          <w:szCs w:val="32"/>
        </w:rPr>
        <w:t>万元。与2022年度相比，收、支总计各减少</w:t>
      </w:r>
      <w:r>
        <w:rPr>
          <w:rFonts w:hint="eastAsia" w:ascii="仿宋" w:hAnsi="仿宋" w:eastAsia="仿宋"/>
          <w:sz w:val="32"/>
          <w:szCs w:val="32"/>
          <w:lang w:val="en-US" w:eastAsia="zh-CN"/>
        </w:rPr>
        <w:t>376.41</w:t>
      </w:r>
      <w:r>
        <w:rPr>
          <w:rFonts w:hint="eastAsia" w:ascii="仿宋" w:hAnsi="仿宋" w:eastAsia="仿宋"/>
          <w:sz w:val="32"/>
          <w:szCs w:val="32"/>
        </w:rPr>
        <w:t>万元，下降</w:t>
      </w:r>
      <w:r>
        <w:rPr>
          <w:rFonts w:hint="eastAsia" w:ascii="仿宋" w:hAnsi="仿宋" w:eastAsia="仿宋"/>
          <w:sz w:val="32"/>
          <w:szCs w:val="32"/>
          <w:lang w:val="en-US" w:eastAsia="zh-CN"/>
        </w:rPr>
        <w:t>30.46</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val="en-US" w:eastAsia="zh-CN"/>
        </w:rPr>
        <w:t>本年减少相关项目建设费用支出</w:t>
      </w:r>
      <w:r>
        <w:rPr>
          <w:rFonts w:hint="eastAsia" w:ascii="仿宋" w:hAnsi="仿宋" w:eastAsia="仿宋"/>
          <w:sz w:val="32"/>
          <w:szCs w:val="32"/>
        </w:rPr>
        <w:t>。</w:t>
      </w:r>
    </w:p>
    <w:p w14:paraId="704316A3">
      <w:pPr>
        <w:pStyle w:val="2"/>
      </w:pPr>
      <w:r>
        <w:drawing>
          <wp:anchor distT="0" distB="0" distL="114300" distR="114300" simplePos="0" relativeHeight="251659264" behindDoc="0" locked="0" layoutInCell="1" allowOverlap="1">
            <wp:simplePos x="0" y="0"/>
            <wp:positionH relativeFrom="column">
              <wp:posOffset>23495</wp:posOffset>
            </wp:positionH>
            <wp:positionV relativeFrom="paragraph">
              <wp:posOffset>212725</wp:posOffset>
            </wp:positionV>
            <wp:extent cx="5038725" cy="3173095"/>
            <wp:effectExtent l="4445" t="4445" r="5080" b="22860"/>
            <wp:wrapSquare wrapText="bothSides"/>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14:paraId="30B66C25">
      <w:pPr>
        <w:pStyle w:val="27"/>
        <w:numPr>
          <w:ilvl w:val="0"/>
          <w:numId w:val="0"/>
        </w:numPr>
        <w:spacing w:line="600" w:lineRule="exact"/>
        <w:ind w:firstLine="640" w:firstLineChars="200"/>
        <w:outlineLvl w:val="1"/>
        <w:rPr>
          <w:rStyle w:val="29"/>
          <w:rFonts w:ascii="黑体" w:hAnsi="黑体" w:eastAsia="黑体"/>
          <w:b w:val="0"/>
        </w:rPr>
      </w:pPr>
      <w:bookmarkStart w:id="20" w:name="_Toc15377206"/>
      <w:bookmarkStart w:id="21" w:name="_Toc15396604"/>
      <w:r>
        <w:rPr>
          <w:rFonts w:hint="eastAsia" w:ascii="黑体" w:hAnsi="黑体" w:eastAsia="黑体"/>
          <w:sz w:val="32"/>
          <w:szCs w:val="32"/>
          <w:lang w:eastAsia="zh-CN"/>
        </w:rPr>
        <w:t>二、</w:t>
      </w:r>
      <w:r>
        <w:rPr>
          <w:rFonts w:hint="eastAsia" w:ascii="黑体" w:hAnsi="黑体" w:eastAsia="黑体"/>
          <w:sz w:val="32"/>
          <w:szCs w:val="32"/>
        </w:rPr>
        <w:t>收</w:t>
      </w:r>
      <w:r>
        <w:rPr>
          <w:rStyle w:val="29"/>
          <w:rFonts w:hint="eastAsia" w:ascii="黑体" w:hAnsi="黑体" w:eastAsia="黑体"/>
          <w:b w:val="0"/>
        </w:rPr>
        <w:t>入决算情况说明</w:t>
      </w:r>
      <w:bookmarkEnd w:id="20"/>
      <w:bookmarkEnd w:id="21"/>
    </w:p>
    <w:p w14:paraId="6FF93107">
      <w:pPr>
        <w:spacing w:line="600" w:lineRule="exact"/>
        <w:ind w:firstLine="640" w:firstLineChars="200"/>
        <w:outlineLvl w:val="1"/>
        <w:rPr>
          <w:rFonts w:ascii="仿宋" w:hAnsi="仿宋" w:eastAsia="仿宋"/>
          <w:sz w:val="32"/>
          <w:szCs w:val="32"/>
        </w:rPr>
      </w:pPr>
      <w:r>
        <w:rPr>
          <w:rFonts w:hint="eastAsia" w:ascii="仿宋" w:hAnsi="仿宋" w:eastAsia="仿宋"/>
          <w:sz w:val="32"/>
          <w:szCs w:val="32"/>
        </w:rPr>
        <w:t>2023年度本年收入合计</w:t>
      </w:r>
      <w:r>
        <w:rPr>
          <w:rFonts w:ascii="仿宋" w:hAnsi="仿宋" w:eastAsia="仿宋"/>
          <w:b/>
          <w:sz w:val="32"/>
          <w:szCs w:val="32"/>
        </w:rPr>
        <w:t>838.07</w:t>
      </w:r>
      <w:r>
        <w:rPr>
          <w:rFonts w:hint="eastAsia" w:ascii="仿宋" w:hAnsi="仿宋" w:eastAsia="仿宋"/>
          <w:sz w:val="32"/>
          <w:szCs w:val="32"/>
        </w:rPr>
        <w:t>万元，其中：一般公共预算财政拨款收入</w:t>
      </w:r>
      <w:r>
        <w:rPr>
          <w:rFonts w:ascii="仿宋" w:hAnsi="仿宋" w:eastAsia="仿宋"/>
          <w:b/>
          <w:sz w:val="32"/>
          <w:szCs w:val="32"/>
        </w:rPr>
        <w:t>812.17</w:t>
      </w:r>
      <w:r>
        <w:rPr>
          <w:rFonts w:hint="eastAsia" w:ascii="仿宋" w:hAnsi="仿宋" w:eastAsia="仿宋"/>
          <w:sz w:val="32"/>
          <w:szCs w:val="32"/>
        </w:rPr>
        <w:t>万元，占</w:t>
      </w:r>
      <w:r>
        <w:rPr>
          <w:rFonts w:ascii="仿宋" w:hAnsi="仿宋" w:eastAsia="仿宋"/>
          <w:b/>
          <w:sz w:val="32"/>
          <w:szCs w:val="32"/>
        </w:rPr>
        <w:t>96.9</w:t>
      </w:r>
      <w:r>
        <w:rPr>
          <w:rFonts w:hint="eastAsia" w:ascii="仿宋" w:hAnsi="仿宋" w:eastAsia="仿宋"/>
          <w:b/>
          <w:sz w:val="32"/>
          <w:szCs w:val="32"/>
          <w:lang w:val="en-US" w:eastAsia="zh-CN"/>
        </w:rPr>
        <w:t>1</w:t>
      </w:r>
      <w:r>
        <w:rPr>
          <w:rFonts w:ascii="仿宋" w:hAnsi="仿宋" w:eastAsia="仿宋"/>
          <w:b/>
          <w:sz w:val="32"/>
          <w:szCs w:val="32"/>
        </w:rPr>
        <w:t>%</w:t>
      </w:r>
      <w:r>
        <w:rPr>
          <w:rFonts w:hint="eastAsia" w:ascii="仿宋" w:hAnsi="仿宋" w:eastAsia="仿宋"/>
          <w:sz w:val="32"/>
          <w:szCs w:val="32"/>
        </w:rPr>
        <w:t>；其他收入</w:t>
      </w:r>
      <w:r>
        <w:rPr>
          <w:rFonts w:ascii="仿宋" w:hAnsi="仿宋" w:eastAsia="仿宋"/>
          <w:b/>
          <w:sz w:val="32"/>
          <w:szCs w:val="32"/>
        </w:rPr>
        <w:t>25.91</w:t>
      </w:r>
      <w:r>
        <w:rPr>
          <w:rFonts w:hint="eastAsia" w:ascii="仿宋" w:hAnsi="仿宋" w:eastAsia="仿宋"/>
          <w:sz w:val="32"/>
          <w:szCs w:val="32"/>
        </w:rPr>
        <w:t>万元，占</w:t>
      </w:r>
      <w:r>
        <w:rPr>
          <w:rFonts w:ascii="仿宋" w:hAnsi="仿宋" w:eastAsia="仿宋"/>
          <w:b/>
          <w:sz w:val="32"/>
          <w:szCs w:val="32"/>
        </w:rPr>
        <w:t>3.09</w:t>
      </w:r>
      <w:r>
        <w:rPr>
          <w:rFonts w:ascii="仿宋" w:hAnsi="仿宋" w:eastAsia="仿宋"/>
          <w:sz w:val="32"/>
          <w:szCs w:val="32"/>
        </w:rPr>
        <w:t>%</w:t>
      </w:r>
    </w:p>
    <w:p w14:paraId="29A7632E">
      <w:pPr>
        <w:spacing w:line="600" w:lineRule="exact"/>
        <w:ind w:firstLine="640" w:firstLineChars="200"/>
        <w:outlineLvl w:val="1"/>
        <w:rPr>
          <w:rFonts w:ascii="仿宋" w:hAnsi="仿宋" w:eastAsia="仿宋"/>
          <w:sz w:val="32"/>
          <w:szCs w:val="32"/>
        </w:rPr>
      </w:pPr>
    </w:p>
    <w:p w14:paraId="601CC8C2">
      <w:pPr>
        <w:spacing w:line="600" w:lineRule="exact"/>
        <w:ind w:firstLine="420" w:firstLineChars="200"/>
        <w:rPr>
          <w:rFonts w:ascii="仿宋_GB2312" w:eastAsia="仿宋_GB2312"/>
          <w:sz w:val="32"/>
          <w:szCs w:val="32"/>
        </w:rPr>
      </w:pPr>
      <w:r>
        <w:drawing>
          <wp:anchor distT="0" distB="0" distL="114300" distR="114300" simplePos="0" relativeHeight="251660288" behindDoc="0" locked="0" layoutInCell="1" allowOverlap="1">
            <wp:simplePos x="0" y="0"/>
            <wp:positionH relativeFrom="column">
              <wp:posOffset>271145</wp:posOffset>
            </wp:positionH>
            <wp:positionV relativeFrom="paragraph">
              <wp:posOffset>-1861820</wp:posOffset>
            </wp:positionV>
            <wp:extent cx="4760595" cy="2995295"/>
            <wp:effectExtent l="4445" t="4445" r="16510" b="10160"/>
            <wp:wrapSquare wrapText="bothSides"/>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14:paraId="55A19C5D">
      <w:pPr>
        <w:pStyle w:val="27"/>
        <w:numPr>
          <w:ilvl w:val="0"/>
          <w:numId w:val="0"/>
        </w:numPr>
        <w:spacing w:line="600" w:lineRule="exact"/>
        <w:ind w:firstLine="640" w:firstLineChars="200"/>
        <w:outlineLvl w:val="1"/>
        <w:rPr>
          <w:rStyle w:val="29"/>
          <w:rFonts w:ascii="黑体" w:hAnsi="黑体" w:eastAsia="黑体"/>
          <w:b w:val="0"/>
        </w:rPr>
      </w:pPr>
      <w:bookmarkStart w:id="22" w:name="_Toc15377207"/>
      <w:bookmarkStart w:id="23" w:name="_Toc15396605"/>
      <w:r>
        <w:rPr>
          <w:rFonts w:hint="eastAsia" w:ascii="黑体" w:hAnsi="黑体" w:eastAsia="黑体"/>
          <w:sz w:val="32"/>
          <w:szCs w:val="32"/>
          <w:lang w:eastAsia="zh-CN"/>
        </w:rPr>
        <w:t>三、</w:t>
      </w:r>
      <w:r>
        <w:rPr>
          <w:rFonts w:hint="eastAsia" w:ascii="黑体" w:hAnsi="黑体" w:eastAsia="黑体"/>
          <w:sz w:val="32"/>
          <w:szCs w:val="32"/>
        </w:rPr>
        <w:t>支</w:t>
      </w:r>
      <w:r>
        <w:rPr>
          <w:rStyle w:val="29"/>
          <w:rFonts w:hint="eastAsia" w:ascii="黑体" w:hAnsi="黑体" w:eastAsia="黑体"/>
          <w:b w:val="0"/>
        </w:rPr>
        <w:t>出决算情况说明</w:t>
      </w:r>
      <w:bookmarkEnd w:id="22"/>
      <w:bookmarkEnd w:id="23"/>
    </w:p>
    <w:p w14:paraId="3AFD9FF6">
      <w:pPr>
        <w:spacing w:line="600" w:lineRule="exact"/>
        <w:ind w:firstLine="640" w:firstLineChars="200"/>
        <w:outlineLvl w:val="1"/>
        <w:rPr>
          <w:rFonts w:ascii="仿宋" w:hAnsi="仿宋" w:eastAsia="仿宋"/>
          <w:sz w:val="32"/>
          <w:szCs w:val="32"/>
        </w:rPr>
      </w:pPr>
      <w:r>
        <w:rPr>
          <w:rFonts w:hint="eastAsia" w:ascii="仿宋" w:hAnsi="仿宋" w:eastAsia="仿宋"/>
          <w:sz w:val="32"/>
          <w:szCs w:val="32"/>
        </w:rPr>
        <w:t>2023年度本年支出合计</w:t>
      </w:r>
      <w:r>
        <w:rPr>
          <w:rFonts w:ascii="仿宋" w:hAnsi="仿宋" w:eastAsia="仿宋"/>
          <w:b/>
          <w:sz w:val="32"/>
          <w:szCs w:val="32"/>
        </w:rPr>
        <w:t>840.22</w:t>
      </w:r>
      <w:r>
        <w:rPr>
          <w:rFonts w:hint="eastAsia" w:ascii="仿宋" w:hAnsi="仿宋" w:eastAsia="仿宋"/>
          <w:sz w:val="32"/>
          <w:szCs w:val="32"/>
        </w:rPr>
        <w:t>万元，其中：基本支出</w:t>
      </w:r>
      <w:r>
        <w:rPr>
          <w:rFonts w:ascii="仿宋" w:hAnsi="仿宋" w:eastAsia="仿宋"/>
          <w:b/>
          <w:sz w:val="32"/>
          <w:szCs w:val="32"/>
        </w:rPr>
        <w:t>611.22</w:t>
      </w:r>
      <w:r>
        <w:rPr>
          <w:rFonts w:hint="eastAsia" w:ascii="仿宋" w:hAnsi="仿宋" w:eastAsia="仿宋"/>
          <w:sz w:val="32"/>
          <w:szCs w:val="32"/>
        </w:rPr>
        <w:t>万元，占</w:t>
      </w:r>
      <w:r>
        <w:rPr>
          <w:rFonts w:ascii="仿宋" w:hAnsi="仿宋" w:eastAsia="仿宋"/>
          <w:b/>
          <w:sz w:val="32"/>
          <w:szCs w:val="32"/>
        </w:rPr>
        <w:t>72.74</w:t>
      </w:r>
      <w:r>
        <w:rPr>
          <w:rFonts w:ascii="仿宋" w:hAnsi="仿宋" w:eastAsia="仿宋"/>
          <w:sz w:val="32"/>
          <w:szCs w:val="32"/>
        </w:rPr>
        <w:t>%</w:t>
      </w:r>
      <w:r>
        <w:rPr>
          <w:rFonts w:hint="eastAsia" w:ascii="仿宋" w:hAnsi="仿宋" w:eastAsia="仿宋"/>
          <w:sz w:val="32"/>
          <w:szCs w:val="32"/>
        </w:rPr>
        <w:t>；项目支出</w:t>
      </w:r>
      <w:r>
        <w:rPr>
          <w:rFonts w:ascii="仿宋" w:hAnsi="仿宋" w:eastAsia="仿宋"/>
          <w:b/>
          <w:sz w:val="32"/>
          <w:szCs w:val="32"/>
        </w:rPr>
        <w:t>229.01</w:t>
      </w:r>
      <w:r>
        <w:rPr>
          <w:rFonts w:hint="eastAsia" w:ascii="仿宋" w:hAnsi="仿宋" w:eastAsia="仿宋"/>
          <w:sz w:val="32"/>
          <w:szCs w:val="32"/>
        </w:rPr>
        <w:t>万元，占</w:t>
      </w:r>
      <w:r>
        <w:rPr>
          <w:rFonts w:ascii="仿宋" w:hAnsi="仿宋" w:eastAsia="仿宋"/>
          <w:b/>
          <w:sz w:val="32"/>
          <w:szCs w:val="32"/>
        </w:rPr>
        <w:t>27.2</w:t>
      </w:r>
      <w:r>
        <w:rPr>
          <w:rFonts w:hint="eastAsia" w:ascii="仿宋" w:hAnsi="仿宋" w:eastAsia="仿宋"/>
          <w:b/>
          <w:sz w:val="32"/>
          <w:szCs w:val="32"/>
          <w:lang w:val="en-US" w:eastAsia="zh-CN"/>
        </w:rPr>
        <w:t>6</w:t>
      </w:r>
      <w:r>
        <w:rPr>
          <w:rFonts w:ascii="仿宋" w:hAnsi="仿宋" w:eastAsia="仿宋"/>
          <w:sz w:val="32"/>
          <w:szCs w:val="32"/>
        </w:rPr>
        <w:t>%</w:t>
      </w:r>
      <w:r>
        <w:rPr>
          <w:rFonts w:hint="eastAsia" w:ascii="仿宋" w:hAnsi="仿宋" w:eastAsia="仿宋"/>
          <w:sz w:val="32"/>
          <w:szCs w:val="32"/>
        </w:rPr>
        <w:t>。</w:t>
      </w:r>
    </w:p>
    <w:p w14:paraId="3DE19AC7">
      <w:pPr>
        <w:spacing w:line="600" w:lineRule="exact"/>
        <w:ind w:firstLine="640"/>
        <w:rPr>
          <w:rFonts w:ascii="仿宋" w:hAnsi="仿宋" w:eastAsia="仿宋"/>
          <w:sz w:val="32"/>
          <w:szCs w:val="32"/>
          <w:shd w:val="pct10" w:color="auto" w:fill="FFFFFF"/>
        </w:rPr>
      </w:pPr>
      <w:r>
        <w:drawing>
          <wp:anchor distT="0" distB="0" distL="114300" distR="114300" simplePos="0" relativeHeight="251661312" behindDoc="0" locked="0" layoutInCell="1" allowOverlap="1">
            <wp:simplePos x="0" y="0"/>
            <wp:positionH relativeFrom="column">
              <wp:posOffset>90170</wp:posOffset>
            </wp:positionH>
            <wp:positionV relativeFrom="paragraph">
              <wp:posOffset>99695</wp:posOffset>
            </wp:positionV>
            <wp:extent cx="4732655" cy="2994025"/>
            <wp:effectExtent l="4445" t="5080" r="6350" b="10795"/>
            <wp:wrapSquare wrapText="bothSides"/>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5C3C760B">
      <w:pPr>
        <w:spacing w:line="600" w:lineRule="exact"/>
        <w:ind w:firstLine="640" w:firstLineChars="200"/>
        <w:rPr>
          <w:rFonts w:ascii="仿宋_GB2312" w:eastAsia="仿宋_GB2312"/>
          <w:sz w:val="32"/>
          <w:szCs w:val="32"/>
        </w:rPr>
      </w:pPr>
    </w:p>
    <w:p w14:paraId="6B6C1899">
      <w:pPr>
        <w:spacing w:line="600" w:lineRule="exact"/>
        <w:ind w:firstLine="640" w:firstLineChars="200"/>
        <w:outlineLvl w:val="1"/>
        <w:rPr>
          <w:rFonts w:hint="eastAsia" w:ascii="黑体" w:hAnsi="黑体" w:eastAsia="黑体"/>
          <w:sz w:val="32"/>
          <w:szCs w:val="32"/>
        </w:rPr>
      </w:pPr>
      <w:bookmarkStart w:id="24" w:name="_Toc15396606"/>
      <w:bookmarkStart w:id="25" w:name="_Toc15377208"/>
    </w:p>
    <w:p w14:paraId="48B690DF">
      <w:pPr>
        <w:spacing w:line="600" w:lineRule="exact"/>
        <w:ind w:firstLine="640" w:firstLineChars="200"/>
        <w:outlineLvl w:val="1"/>
        <w:rPr>
          <w:rFonts w:hint="eastAsia" w:ascii="黑体" w:hAnsi="黑体" w:eastAsia="黑体"/>
          <w:sz w:val="32"/>
          <w:szCs w:val="32"/>
        </w:rPr>
      </w:pPr>
    </w:p>
    <w:p w14:paraId="14FF9248">
      <w:pPr>
        <w:spacing w:line="600" w:lineRule="exact"/>
        <w:ind w:firstLine="640" w:firstLineChars="200"/>
        <w:outlineLvl w:val="1"/>
        <w:rPr>
          <w:rFonts w:hint="eastAsia" w:ascii="黑体" w:hAnsi="黑体" w:eastAsia="黑体"/>
          <w:sz w:val="32"/>
          <w:szCs w:val="32"/>
        </w:rPr>
      </w:pPr>
    </w:p>
    <w:p w14:paraId="012EF073">
      <w:pPr>
        <w:spacing w:line="600" w:lineRule="exact"/>
        <w:ind w:firstLine="640" w:firstLineChars="200"/>
        <w:outlineLvl w:val="1"/>
        <w:rPr>
          <w:rFonts w:hint="eastAsia" w:ascii="黑体" w:hAnsi="黑体" w:eastAsia="黑体"/>
          <w:sz w:val="32"/>
          <w:szCs w:val="32"/>
        </w:rPr>
      </w:pPr>
    </w:p>
    <w:p w14:paraId="355CE9B4">
      <w:pPr>
        <w:spacing w:line="600" w:lineRule="exact"/>
        <w:ind w:firstLine="640" w:firstLineChars="200"/>
        <w:outlineLvl w:val="1"/>
        <w:rPr>
          <w:rFonts w:hint="eastAsia" w:ascii="黑体" w:hAnsi="黑体" w:eastAsia="黑体"/>
          <w:sz w:val="32"/>
          <w:szCs w:val="32"/>
        </w:rPr>
      </w:pPr>
    </w:p>
    <w:p w14:paraId="02644A3D">
      <w:pPr>
        <w:spacing w:line="600" w:lineRule="exact"/>
        <w:ind w:firstLine="640" w:firstLineChars="200"/>
        <w:outlineLvl w:val="1"/>
        <w:rPr>
          <w:rFonts w:hint="eastAsia" w:ascii="黑体" w:hAnsi="黑体" w:eastAsia="黑体"/>
          <w:sz w:val="32"/>
          <w:szCs w:val="32"/>
        </w:rPr>
      </w:pPr>
    </w:p>
    <w:p w14:paraId="77BE6582">
      <w:pPr>
        <w:spacing w:line="600" w:lineRule="exact"/>
        <w:ind w:firstLine="640" w:firstLineChars="200"/>
        <w:outlineLvl w:val="1"/>
        <w:rPr>
          <w:rFonts w:hint="eastAsia" w:ascii="黑体" w:hAnsi="黑体" w:eastAsia="黑体"/>
          <w:sz w:val="32"/>
          <w:szCs w:val="32"/>
        </w:rPr>
      </w:pPr>
    </w:p>
    <w:p w14:paraId="4351FFB8">
      <w:pPr>
        <w:spacing w:line="600" w:lineRule="exact"/>
        <w:ind w:firstLine="640" w:firstLineChars="200"/>
        <w:outlineLvl w:val="1"/>
        <w:rPr>
          <w:rStyle w:val="29"/>
          <w:rFonts w:ascii="黑体" w:hAnsi="黑体" w:eastAsia="黑体"/>
          <w:b w:val="0"/>
        </w:rPr>
      </w:pPr>
      <w:r>
        <w:rPr>
          <w:rFonts w:hint="eastAsia" w:ascii="黑体" w:hAnsi="黑体" w:eastAsia="黑体"/>
          <w:sz w:val="32"/>
          <w:szCs w:val="32"/>
        </w:rPr>
        <w:t>四、财</w:t>
      </w:r>
      <w:r>
        <w:rPr>
          <w:rStyle w:val="29"/>
          <w:rFonts w:hint="eastAsia" w:ascii="黑体" w:hAnsi="黑体" w:eastAsia="黑体"/>
          <w:b w:val="0"/>
        </w:rPr>
        <w:t>政拨款收入支出决算总体情况说明</w:t>
      </w:r>
      <w:bookmarkEnd w:id="24"/>
      <w:bookmarkEnd w:id="25"/>
    </w:p>
    <w:p w14:paraId="372738ED">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2023年度财政拨款收、支总计均为</w:t>
      </w:r>
      <w:r>
        <w:rPr>
          <w:rFonts w:ascii="仿宋" w:hAnsi="仿宋" w:eastAsia="仿宋"/>
          <w:b/>
          <w:sz w:val="32"/>
          <w:szCs w:val="32"/>
        </w:rPr>
        <w:t>833.58</w:t>
      </w:r>
      <w:r>
        <w:rPr>
          <w:rFonts w:hint="eastAsia" w:ascii="仿宋" w:hAnsi="仿宋" w:eastAsia="仿宋"/>
          <w:sz w:val="32"/>
          <w:szCs w:val="32"/>
        </w:rPr>
        <w:t>万元。与2022年度相比，财政拨款收、支总计各减少</w:t>
      </w:r>
      <w:r>
        <w:rPr>
          <w:rFonts w:hint="eastAsia" w:ascii="仿宋" w:hAnsi="仿宋" w:eastAsia="仿宋"/>
          <w:sz w:val="32"/>
          <w:szCs w:val="32"/>
          <w:lang w:val="en-US" w:eastAsia="zh-CN"/>
        </w:rPr>
        <w:t>402.32</w:t>
      </w:r>
      <w:r>
        <w:rPr>
          <w:rFonts w:hint="eastAsia" w:ascii="仿宋" w:hAnsi="仿宋" w:eastAsia="仿宋"/>
          <w:sz w:val="32"/>
          <w:szCs w:val="32"/>
        </w:rPr>
        <w:t>万元，下降</w:t>
      </w:r>
      <w:r>
        <w:rPr>
          <w:rFonts w:hint="eastAsia" w:ascii="仿宋" w:hAnsi="仿宋" w:eastAsia="仿宋"/>
          <w:sz w:val="32"/>
          <w:szCs w:val="32"/>
          <w:lang w:val="en-US" w:eastAsia="zh-CN"/>
        </w:rPr>
        <w:t>32.55</w:t>
      </w:r>
      <w:r>
        <w:rPr>
          <w:rFonts w:ascii="仿宋" w:hAnsi="仿宋" w:eastAsia="仿宋"/>
          <w:sz w:val="32"/>
          <w:szCs w:val="32"/>
        </w:rPr>
        <w:t>%</w:t>
      </w:r>
      <w:r>
        <w:rPr>
          <w:rFonts w:hint="eastAsia" w:ascii="仿宋" w:hAnsi="仿宋" w:eastAsia="仿宋"/>
          <w:sz w:val="32"/>
          <w:szCs w:val="32"/>
        </w:rPr>
        <w:t>。主要变动原因</w:t>
      </w:r>
      <w:r>
        <w:rPr>
          <w:rFonts w:hint="eastAsia" w:ascii="仿宋" w:hAnsi="仿宋" w:eastAsia="仿宋"/>
          <w:sz w:val="32"/>
          <w:szCs w:val="32"/>
          <w:lang w:eastAsia="zh-CN"/>
        </w:rPr>
        <w:t>是</w:t>
      </w:r>
      <w:r>
        <w:rPr>
          <w:rFonts w:hint="eastAsia" w:ascii="仿宋" w:hAnsi="仿宋" w:eastAsia="仿宋"/>
          <w:sz w:val="32"/>
          <w:szCs w:val="32"/>
          <w:lang w:val="en-US" w:eastAsia="zh-CN"/>
        </w:rPr>
        <w:t>本年减少相关项目建设费用支出</w:t>
      </w:r>
      <w:r>
        <w:rPr>
          <w:rFonts w:hint="eastAsia" w:ascii="仿宋" w:hAnsi="仿宋" w:eastAsia="仿宋"/>
          <w:sz w:val="32"/>
          <w:szCs w:val="32"/>
        </w:rPr>
        <w:t>。</w:t>
      </w:r>
    </w:p>
    <w:p w14:paraId="6FFC47C3">
      <w:pPr>
        <w:spacing w:line="600" w:lineRule="exact"/>
        <w:ind w:firstLine="640"/>
        <w:rPr>
          <w:rStyle w:val="29"/>
          <w:rFonts w:ascii="黑体" w:hAnsi="黑体" w:eastAsia="黑体"/>
          <w:b w:val="0"/>
        </w:rPr>
      </w:pPr>
      <w:r>
        <w:drawing>
          <wp:anchor distT="0" distB="0" distL="114300" distR="114300" simplePos="0" relativeHeight="251662336" behindDoc="0" locked="0" layoutInCell="1" allowOverlap="1">
            <wp:simplePos x="0" y="0"/>
            <wp:positionH relativeFrom="column">
              <wp:posOffset>106680</wp:posOffset>
            </wp:positionH>
            <wp:positionV relativeFrom="paragraph">
              <wp:posOffset>91440</wp:posOffset>
            </wp:positionV>
            <wp:extent cx="5143500" cy="3028315"/>
            <wp:effectExtent l="4445" t="4445" r="14605" b="15240"/>
            <wp:wrapSquare wrapText="bothSides"/>
            <wp:docPr id="11"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bookmarkStart w:id="26" w:name="_Toc15396607"/>
      <w:bookmarkStart w:id="27" w:name="_Toc15377209"/>
      <w:r>
        <w:rPr>
          <w:rFonts w:hint="eastAsia" w:ascii="黑体" w:hAnsi="黑体" w:eastAsia="黑体"/>
          <w:sz w:val="32"/>
          <w:szCs w:val="32"/>
        </w:rPr>
        <w:t>五、</w:t>
      </w:r>
      <w:r>
        <w:rPr>
          <w:rFonts w:hint="eastAsia" w:ascii="黑体" w:hAnsi="黑体" w:eastAsia="黑体"/>
          <w:b/>
          <w:sz w:val="32"/>
          <w:szCs w:val="32"/>
        </w:rPr>
        <w:t>一</w:t>
      </w:r>
      <w:r>
        <w:rPr>
          <w:rStyle w:val="29"/>
          <w:rFonts w:hint="eastAsia" w:ascii="黑体" w:hAnsi="黑体" w:eastAsia="黑体"/>
          <w:b w:val="0"/>
        </w:rPr>
        <w:t>般公共预算财政拨款支出决算情况说明</w:t>
      </w:r>
      <w:bookmarkEnd w:id="26"/>
      <w:bookmarkEnd w:id="27"/>
    </w:p>
    <w:p w14:paraId="67002143">
      <w:pPr>
        <w:spacing w:line="600" w:lineRule="exact"/>
        <w:ind w:firstLine="643" w:firstLineChars="200"/>
        <w:outlineLvl w:val="2"/>
        <w:rPr>
          <w:rFonts w:ascii="仿宋" w:hAnsi="仿宋" w:eastAsia="仿宋"/>
          <w:b/>
          <w:sz w:val="32"/>
          <w:szCs w:val="32"/>
        </w:rPr>
      </w:pPr>
      <w:bookmarkStart w:id="28" w:name="_Toc15377210"/>
      <w:r>
        <w:rPr>
          <w:rFonts w:hint="eastAsia" w:ascii="仿宋" w:hAnsi="仿宋" w:eastAsia="仿宋"/>
          <w:b/>
          <w:sz w:val="32"/>
          <w:szCs w:val="32"/>
        </w:rPr>
        <w:t>（一）一般公共预算财政拨款支出决算总体情况</w:t>
      </w:r>
      <w:bookmarkEnd w:id="28"/>
    </w:p>
    <w:p w14:paraId="1030F9EA">
      <w:pPr>
        <w:spacing w:line="600" w:lineRule="exact"/>
        <w:ind w:firstLine="420" w:firstLineChars="200"/>
        <w:rPr>
          <w:rFonts w:hint="eastAsia" w:ascii="仿宋" w:hAnsi="仿宋" w:eastAsia="仿宋"/>
          <w:sz w:val="32"/>
          <w:szCs w:val="32"/>
        </w:rPr>
      </w:pPr>
      <w:r>
        <w:drawing>
          <wp:anchor distT="0" distB="0" distL="114300" distR="114300" simplePos="0" relativeHeight="251663360" behindDoc="0" locked="0" layoutInCell="1" allowOverlap="1">
            <wp:simplePos x="0" y="0"/>
            <wp:positionH relativeFrom="column">
              <wp:posOffset>33020</wp:posOffset>
            </wp:positionH>
            <wp:positionV relativeFrom="paragraph">
              <wp:posOffset>2159000</wp:posOffset>
            </wp:positionV>
            <wp:extent cx="4942840" cy="2153285"/>
            <wp:effectExtent l="5080" t="4445" r="5080" b="13970"/>
            <wp:wrapSquare wrapText="bothSides"/>
            <wp:docPr id="9"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eastAsia" w:ascii="仿宋" w:hAnsi="仿宋" w:eastAsia="仿宋"/>
          <w:sz w:val="32"/>
          <w:szCs w:val="32"/>
        </w:rPr>
        <w:t>2023年度一般公共预算财政拨款支出</w:t>
      </w:r>
      <w:r>
        <w:rPr>
          <w:rFonts w:ascii="仿宋" w:hAnsi="仿宋" w:eastAsia="仿宋"/>
          <w:b/>
          <w:sz w:val="32"/>
          <w:szCs w:val="32"/>
        </w:rPr>
        <w:t>814.32</w:t>
      </w:r>
      <w:r>
        <w:rPr>
          <w:rFonts w:hint="eastAsia" w:ascii="仿宋" w:hAnsi="仿宋" w:eastAsia="仿宋"/>
          <w:sz w:val="32"/>
          <w:szCs w:val="32"/>
        </w:rPr>
        <w:t>万元，占本年支出合计的</w:t>
      </w:r>
      <w:r>
        <w:rPr>
          <w:rFonts w:ascii="仿宋" w:hAnsi="仿宋" w:eastAsia="仿宋"/>
          <w:b/>
          <w:sz w:val="32"/>
          <w:szCs w:val="32"/>
        </w:rPr>
        <w:t>96.91</w:t>
      </w:r>
      <w:r>
        <w:rPr>
          <w:rFonts w:ascii="仿宋" w:hAnsi="仿宋" w:eastAsia="仿宋"/>
          <w:sz w:val="32"/>
          <w:szCs w:val="32"/>
        </w:rPr>
        <w:t>%</w:t>
      </w:r>
      <w:r>
        <w:rPr>
          <w:rFonts w:hint="eastAsia" w:ascii="仿宋" w:hAnsi="仿宋" w:eastAsia="仿宋"/>
          <w:sz w:val="32"/>
          <w:szCs w:val="32"/>
        </w:rPr>
        <w:t>。与2022年度相比，一般公共预算财政拨款支出减少</w:t>
      </w:r>
      <w:r>
        <w:rPr>
          <w:rFonts w:hint="eastAsia" w:ascii="仿宋" w:hAnsi="仿宋" w:eastAsia="仿宋"/>
          <w:sz w:val="32"/>
          <w:szCs w:val="32"/>
          <w:lang w:val="en-US" w:eastAsia="zh-CN"/>
        </w:rPr>
        <w:t>388.44</w:t>
      </w:r>
      <w:r>
        <w:rPr>
          <w:rFonts w:hint="eastAsia" w:ascii="仿宋" w:hAnsi="仿宋" w:eastAsia="仿宋"/>
          <w:sz w:val="32"/>
          <w:szCs w:val="32"/>
        </w:rPr>
        <w:t>万元，下降</w:t>
      </w:r>
      <w:r>
        <w:rPr>
          <w:rFonts w:hint="eastAsia" w:ascii="仿宋" w:hAnsi="仿宋" w:eastAsia="仿宋"/>
          <w:sz w:val="32"/>
          <w:szCs w:val="32"/>
          <w:lang w:val="en-US" w:eastAsia="zh-CN"/>
        </w:rPr>
        <w:t>32.30</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val="en-US" w:eastAsia="zh-CN"/>
        </w:rPr>
        <w:t>本年减少相关项目建设费用支出</w:t>
      </w:r>
      <w:r>
        <w:rPr>
          <w:rFonts w:hint="eastAsia" w:ascii="仿宋" w:hAnsi="仿宋" w:eastAsia="仿宋"/>
          <w:sz w:val="32"/>
          <w:szCs w:val="32"/>
        </w:rPr>
        <w:t>。</w:t>
      </w:r>
    </w:p>
    <w:p w14:paraId="02010BEA">
      <w:pPr>
        <w:spacing w:line="600" w:lineRule="exact"/>
        <w:ind w:firstLine="640"/>
        <w:rPr>
          <w:rFonts w:hint="eastAsia" w:ascii="仿宋" w:hAnsi="仿宋" w:eastAsia="仿宋"/>
          <w:sz w:val="32"/>
          <w:szCs w:val="32"/>
          <w:lang w:val="en-US" w:eastAsia="zh-CN"/>
        </w:rPr>
      </w:pPr>
    </w:p>
    <w:p w14:paraId="62713BDA">
      <w:pPr>
        <w:spacing w:line="600" w:lineRule="exact"/>
        <w:ind w:firstLine="643" w:firstLineChars="200"/>
        <w:outlineLvl w:val="2"/>
        <w:rPr>
          <w:rFonts w:ascii="仿宋" w:hAnsi="仿宋" w:eastAsia="仿宋"/>
          <w:b/>
          <w:sz w:val="32"/>
          <w:szCs w:val="32"/>
        </w:rPr>
      </w:pPr>
      <w:bookmarkStart w:id="29" w:name="_Toc15377211"/>
      <w:r>
        <w:rPr>
          <w:rFonts w:hint="eastAsia" w:ascii="仿宋" w:hAnsi="仿宋" w:eastAsia="仿宋"/>
          <w:b/>
          <w:sz w:val="32"/>
          <w:szCs w:val="32"/>
        </w:rPr>
        <w:t>（二）一般公共预算财政拨款支出决算结构情况</w:t>
      </w:r>
      <w:bookmarkEnd w:id="29"/>
    </w:p>
    <w:p w14:paraId="0A664332">
      <w:pPr>
        <w:spacing w:line="600" w:lineRule="exact"/>
        <w:ind w:firstLine="640"/>
        <w:rPr>
          <w:rFonts w:ascii="仿宋" w:hAnsi="仿宋" w:eastAsia="仿宋"/>
          <w:b/>
          <w:sz w:val="32"/>
          <w:szCs w:val="32"/>
        </w:rPr>
      </w:pPr>
      <w:r>
        <w:rPr>
          <w:rFonts w:hint="eastAsia" w:ascii="仿宋" w:hAnsi="仿宋" w:eastAsia="仿宋"/>
          <w:sz w:val="32"/>
          <w:szCs w:val="32"/>
        </w:rPr>
        <w:t>2023年度一般公共预算财政拨款支出</w:t>
      </w:r>
      <w:r>
        <w:rPr>
          <w:rFonts w:ascii="仿宋" w:hAnsi="仿宋" w:eastAsia="仿宋"/>
          <w:b/>
          <w:sz w:val="32"/>
          <w:szCs w:val="32"/>
        </w:rPr>
        <w:t>814.32</w:t>
      </w:r>
      <w:r>
        <w:rPr>
          <w:rFonts w:hint="eastAsia" w:ascii="仿宋" w:hAnsi="仿宋" w:eastAsia="仿宋"/>
          <w:sz w:val="32"/>
          <w:szCs w:val="32"/>
        </w:rPr>
        <w:t>万元，主要用于以下方面</w:t>
      </w:r>
      <w:r>
        <w:rPr>
          <w:rFonts w:hint="eastAsia" w:ascii="仿宋" w:hAnsi="仿宋" w:eastAsia="仿宋"/>
          <w:sz w:val="32"/>
          <w:szCs w:val="32"/>
          <w:lang w:eastAsia="zh-CN"/>
        </w:rPr>
        <w:t>：</w:t>
      </w:r>
      <w:r>
        <w:rPr>
          <w:rFonts w:hint="eastAsia" w:ascii="仿宋" w:hAnsi="仿宋" w:eastAsia="仿宋"/>
          <w:b/>
          <w:sz w:val="32"/>
          <w:szCs w:val="32"/>
        </w:rPr>
        <w:t>教育支出</w:t>
      </w:r>
      <w:r>
        <w:rPr>
          <w:rFonts w:hint="eastAsia" w:ascii="仿宋" w:hAnsi="仿宋" w:eastAsia="仿宋"/>
          <w:b/>
          <w:sz w:val="32"/>
          <w:szCs w:val="32"/>
          <w:lang w:val="en-US" w:eastAsia="zh-CN"/>
        </w:rPr>
        <w:t>665.28</w:t>
      </w:r>
      <w:r>
        <w:rPr>
          <w:rFonts w:hint="eastAsia" w:ascii="仿宋" w:hAnsi="仿宋" w:eastAsia="仿宋"/>
          <w:sz w:val="32"/>
          <w:szCs w:val="32"/>
        </w:rPr>
        <w:t>万元，占</w:t>
      </w:r>
      <w:r>
        <w:rPr>
          <w:rFonts w:hint="eastAsia" w:ascii="仿宋" w:hAnsi="仿宋" w:eastAsia="仿宋"/>
          <w:sz w:val="32"/>
          <w:szCs w:val="32"/>
          <w:lang w:val="en-US" w:eastAsia="zh-CN"/>
        </w:rPr>
        <w:t>81.70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社会保障和就业</w:t>
      </w:r>
      <w:r>
        <w:rPr>
          <w:rFonts w:hint="eastAsia" w:ascii="仿宋" w:hAnsi="仿宋" w:eastAsia="仿宋"/>
          <w:b/>
          <w:bCs/>
          <w:sz w:val="32"/>
          <w:szCs w:val="32"/>
        </w:rPr>
        <w:t>支出</w:t>
      </w:r>
      <w:r>
        <w:rPr>
          <w:rFonts w:hint="eastAsia" w:ascii="仿宋" w:hAnsi="仿宋" w:eastAsia="仿宋"/>
          <w:b/>
          <w:bCs/>
          <w:sz w:val="32"/>
          <w:szCs w:val="32"/>
          <w:lang w:val="en-US" w:eastAsia="zh-CN"/>
        </w:rPr>
        <w:t>88.17</w:t>
      </w:r>
      <w:r>
        <w:rPr>
          <w:rFonts w:hint="eastAsia" w:ascii="仿宋" w:hAnsi="仿宋" w:eastAsia="仿宋"/>
          <w:sz w:val="32"/>
          <w:szCs w:val="32"/>
        </w:rPr>
        <w:t>万元，占</w:t>
      </w:r>
      <w:r>
        <w:rPr>
          <w:rFonts w:hint="eastAsia" w:ascii="仿宋" w:hAnsi="仿宋" w:eastAsia="仿宋"/>
          <w:sz w:val="32"/>
          <w:szCs w:val="32"/>
          <w:lang w:val="en-US" w:eastAsia="zh-CN"/>
        </w:rPr>
        <w:t>10.83</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b/>
          <w:bCs/>
          <w:sz w:val="32"/>
          <w:szCs w:val="32"/>
          <w:lang w:val="en-US" w:eastAsia="zh-CN"/>
        </w:rPr>
        <w:t>18.78</w:t>
      </w:r>
      <w:r>
        <w:rPr>
          <w:rFonts w:hint="eastAsia" w:ascii="仿宋" w:hAnsi="仿宋" w:eastAsia="仿宋"/>
          <w:sz w:val="32"/>
          <w:szCs w:val="32"/>
        </w:rPr>
        <w:t>万元，占</w:t>
      </w:r>
      <w:r>
        <w:rPr>
          <w:rFonts w:hint="eastAsia" w:ascii="仿宋" w:hAnsi="仿宋" w:eastAsia="仿宋"/>
          <w:sz w:val="32"/>
          <w:szCs w:val="32"/>
          <w:lang w:val="en-US" w:eastAsia="zh-CN"/>
        </w:rPr>
        <w:t>2.31</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住房保障支出</w:t>
      </w:r>
      <w:r>
        <w:rPr>
          <w:rFonts w:hint="eastAsia" w:ascii="仿宋" w:hAnsi="仿宋" w:eastAsia="仿宋"/>
          <w:b/>
          <w:bCs/>
          <w:sz w:val="32"/>
          <w:szCs w:val="32"/>
          <w:lang w:val="en-US" w:eastAsia="zh-CN"/>
        </w:rPr>
        <w:t>42.08</w:t>
      </w:r>
      <w:r>
        <w:rPr>
          <w:rFonts w:hint="eastAsia" w:ascii="仿宋" w:hAnsi="仿宋" w:eastAsia="仿宋"/>
          <w:sz w:val="32"/>
          <w:szCs w:val="32"/>
        </w:rPr>
        <w:t>万元，占</w:t>
      </w:r>
      <w:r>
        <w:rPr>
          <w:rFonts w:hint="eastAsia" w:ascii="仿宋" w:hAnsi="仿宋" w:eastAsia="仿宋"/>
          <w:sz w:val="32"/>
          <w:szCs w:val="32"/>
          <w:lang w:val="en-US" w:eastAsia="zh-CN"/>
        </w:rPr>
        <w:t>5.16</w:t>
      </w:r>
      <w:r>
        <w:rPr>
          <w:rFonts w:ascii="仿宋" w:hAnsi="仿宋" w:eastAsia="仿宋"/>
          <w:sz w:val="32"/>
          <w:szCs w:val="32"/>
        </w:rPr>
        <w:t>%</w:t>
      </w:r>
      <w:r>
        <w:rPr>
          <w:rFonts w:hint="eastAsia" w:ascii="仿宋" w:hAnsi="仿宋" w:eastAsia="仿宋"/>
          <w:sz w:val="32"/>
          <w:szCs w:val="32"/>
        </w:rPr>
        <w:t>。</w:t>
      </w:r>
    </w:p>
    <w:p w14:paraId="4B42ACE1">
      <w:pPr>
        <w:spacing w:line="600" w:lineRule="exact"/>
        <w:ind w:firstLine="640"/>
        <w:rPr>
          <w:rFonts w:ascii="仿宋" w:hAnsi="仿宋" w:eastAsia="仿宋"/>
          <w:sz w:val="32"/>
          <w:szCs w:val="32"/>
        </w:rPr>
      </w:pPr>
      <w:r>
        <w:drawing>
          <wp:anchor distT="0" distB="0" distL="114300" distR="114300" simplePos="0" relativeHeight="251664384" behindDoc="0" locked="0" layoutInCell="1" allowOverlap="1">
            <wp:simplePos x="0" y="0"/>
            <wp:positionH relativeFrom="column">
              <wp:posOffset>33655</wp:posOffset>
            </wp:positionH>
            <wp:positionV relativeFrom="paragraph">
              <wp:posOffset>224155</wp:posOffset>
            </wp:positionV>
            <wp:extent cx="5208905" cy="3103880"/>
            <wp:effectExtent l="4445" t="4445" r="6350" b="15875"/>
            <wp:wrapSquare wrapText="bothSides"/>
            <wp:docPr id="1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453C9722">
      <w:pPr>
        <w:spacing w:line="600" w:lineRule="exact"/>
        <w:ind w:firstLine="643" w:firstLineChars="200"/>
        <w:outlineLvl w:val="2"/>
        <w:rPr>
          <w:rFonts w:ascii="仿宋" w:hAnsi="仿宋" w:eastAsia="仿宋"/>
          <w:b/>
          <w:sz w:val="32"/>
          <w:szCs w:val="32"/>
        </w:rPr>
      </w:pPr>
      <w:bookmarkStart w:id="30" w:name="_Toc15377212"/>
      <w:r>
        <w:rPr>
          <w:rFonts w:hint="eastAsia" w:ascii="仿宋" w:hAnsi="仿宋" w:eastAsia="仿宋"/>
          <w:b/>
          <w:sz w:val="32"/>
          <w:szCs w:val="32"/>
        </w:rPr>
        <w:t>（三）一般公共预算财政拨款支出决算具体情况</w:t>
      </w:r>
      <w:bookmarkEnd w:id="30"/>
    </w:p>
    <w:p w14:paraId="27E37934">
      <w:pPr>
        <w:spacing w:line="600" w:lineRule="exact"/>
        <w:ind w:firstLine="643" w:firstLineChars="200"/>
        <w:outlineLvl w:val="2"/>
        <w:rPr>
          <w:rFonts w:ascii="仿宋" w:hAnsi="仿宋" w:eastAsia="仿宋"/>
          <w:sz w:val="32"/>
          <w:szCs w:val="32"/>
        </w:rPr>
      </w:pPr>
      <w:bookmarkStart w:id="31" w:name="_Toc15378460"/>
      <w:bookmarkStart w:id="32" w:name="_Toc15377444"/>
      <w:bookmarkStart w:id="33" w:name="_Toc15377213"/>
      <w:r>
        <w:rPr>
          <w:rFonts w:hint="eastAsia" w:ascii="仿宋" w:hAnsi="仿宋" w:eastAsia="仿宋"/>
          <w:b/>
          <w:sz w:val="32"/>
          <w:szCs w:val="32"/>
        </w:rPr>
        <w:t>2023年度一般公共预算支出决算数为</w:t>
      </w:r>
      <w:r>
        <w:rPr>
          <w:rFonts w:ascii="仿宋" w:hAnsi="仿宋" w:eastAsia="仿宋"/>
          <w:b/>
          <w:sz w:val="32"/>
          <w:szCs w:val="32"/>
        </w:rPr>
        <w:t>814.32</w:t>
      </w:r>
      <w:r>
        <w:rPr>
          <w:rFonts w:hint="eastAsia" w:ascii="仿宋" w:hAnsi="仿宋" w:eastAsia="仿宋"/>
          <w:sz w:val="32"/>
          <w:szCs w:val="32"/>
        </w:rPr>
        <w:t>，</w:t>
      </w:r>
      <w:r>
        <w:rPr>
          <w:rStyle w:val="17"/>
          <w:rFonts w:hint="eastAsia" w:ascii="仿宋" w:hAnsi="仿宋" w:eastAsia="仿宋"/>
          <w:bCs/>
          <w:sz w:val="32"/>
          <w:szCs w:val="32"/>
        </w:rPr>
        <w:t>完成预算</w:t>
      </w:r>
      <w:r>
        <w:rPr>
          <w:rStyle w:val="17"/>
          <w:rFonts w:hint="eastAsia" w:ascii="仿宋" w:hAnsi="仿宋" w:eastAsia="仿宋"/>
          <w:bCs/>
          <w:sz w:val="32"/>
          <w:szCs w:val="32"/>
          <w:lang w:val="en-US" w:eastAsia="zh-CN"/>
        </w:rPr>
        <w:t>100</w:t>
      </w:r>
      <w:r>
        <w:rPr>
          <w:rStyle w:val="17"/>
          <w:rFonts w:ascii="仿宋" w:hAnsi="仿宋" w:eastAsia="仿宋"/>
          <w:bCs/>
          <w:sz w:val="32"/>
          <w:szCs w:val="32"/>
        </w:rPr>
        <w:t>%</w:t>
      </w:r>
      <w:r>
        <w:rPr>
          <w:rStyle w:val="17"/>
          <w:rFonts w:hint="eastAsia" w:ascii="仿宋" w:hAnsi="仿宋" w:eastAsia="仿宋"/>
          <w:bCs/>
          <w:sz w:val="32"/>
          <w:szCs w:val="32"/>
        </w:rPr>
        <w:t>。其中：</w:t>
      </w:r>
      <w:bookmarkEnd w:id="31"/>
      <w:bookmarkEnd w:id="32"/>
      <w:bookmarkEnd w:id="33"/>
    </w:p>
    <w:p w14:paraId="7E983344">
      <w:pPr>
        <w:numPr>
          <w:ilvl w:val="0"/>
          <w:numId w:val="0"/>
        </w:numPr>
        <w:spacing w:line="600" w:lineRule="exact"/>
        <w:ind w:firstLine="643" w:firstLineChars="200"/>
        <w:rPr>
          <w:rStyle w:val="17"/>
          <w:rFonts w:hint="eastAsia" w:ascii="仿宋" w:hAnsi="仿宋" w:eastAsia="仿宋"/>
          <w:b w:val="0"/>
          <w:bCs/>
          <w:color w:val="000000"/>
          <w:sz w:val="32"/>
          <w:szCs w:val="32"/>
        </w:rPr>
      </w:pPr>
      <w:r>
        <w:rPr>
          <w:rStyle w:val="17"/>
          <w:rFonts w:hint="eastAsia" w:ascii="仿宋" w:hAnsi="仿宋" w:eastAsia="仿宋"/>
          <w:bCs/>
          <w:color w:val="000000"/>
          <w:sz w:val="32"/>
          <w:szCs w:val="32"/>
          <w:lang w:val="en-US" w:eastAsia="zh-CN"/>
        </w:rPr>
        <w:t>1.</w:t>
      </w:r>
      <w:r>
        <w:rPr>
          <w:rStyle w:val="17"/>
          <w:rFonts w:hint="eastAsia" w:ascii="仿宋" w:hAnsi="仿宋" w:eastAsia="仿宋"/>
          <w:bCs/>
          <w:color w:val="000000"/>
          <w:sz w:val="32"/>
          <w:szCs w:val="32"/>
        </w:rPr>
        <w:t>教育（类）普通教育（款）学前教育（项）</w:t>
      </w:r>
      <w:r>
        <w:rPr>
          <w:rStyle w:val="17"/>
          <w:rFonts w:hint="eastAsia" w:ascii="仿宋" w:hAnsi="仿宋" w:eastAsia="仿宋"/>
          <w:bCs/>
          <w:color w:val="000000"/>
          <w:sz w:val="32"/>
          <w:szCs w:val="32"/>
          <w:lang w:eastAsia="zh-CN"/>
        </w:rPr>
        <w:t>：</w:t>
      </w:r>
      <w:r>
        <w:rPr>
          <w:rStyle w:val="17"/>
          <w:rFonts w:hint="eastAsia" w:ascii="仿宋" w:hAnsi="仿宋" w:eastAsia="仿宋"/>
          <w:b w:val="0"/>
          <w:bCs/>
          <w:color w:val="000000"/>
          <w:sz w:val="32"/>
          <w:szCs w:val="32"/>
        </w:rPr>
        <w:t>支出决算为</w:t>
      </w:r>
      <w:r>
        <w:rPr>
          <w:rStyle w:val="17"/>
          <w:rFonts w:hint="eastAsia" w:ascii="仿宋" w:hAnsi="仿宋" w:eastAsia="仿宋"/>
          <w:b w:val="0"/>
          <w:bCs/>
          <w:color w:val="000000"/>
          <w:sz w:val="32"/>
          <w:szCs w:val="32"/>
          <w:lang w:val="en-US" w:eastAsia="zh-CN"/>
        </w:rPr>
        <w:t>74.75</w:t>
      </w:r>
      <w:r>
        <w:rPr>
          <w:rStyle w:val="17"/>
          <w:rFonts w:hint="eastAsia" w:ascii="仿宋" w:hAnsi="仿宋" w:eastAsia="仿宋"/>
          <w:b w:val="0"/>
          <w:bCs/>
          <w:color w:val="000000"/>
          <w:sz w:val="32"/>
          <w:szCs w:val="32"/>
        </w:rPr>
        <w:t xml:space="preserve">万元，完成预算 </w:t>
      </w:r>
      <w:r>
        <w:rPr>
          <w:rStyle w:val="17"/>
          <w:rFonts w:hint="eastAsia" w:ascii="仿宋" w:hAnsi="仿宋" w:eastAsia="仿宋"/>
          <w:b w:val="0"/>
          <w:bCs/>
          <w:color w:val="000000"/>
          <w:sz w:val="32"/>
          <w:szCs w:val="32"/>
          <w:lang w:val="en-US" w:eastAsia="zh-CN"/>
        </w:rPr>
        <w:t>100</w:t>
      </w:r>
      <w:r>
        <w:rPr>
          <w:rStyle w:val="17"/>
          <w:rFonts w:ascii="仿宋" w:hAnsi="仿宋" w:eastAsia="仿宋"/>
          <w:b w:val="0"/>
          <w:bCs/>
          <w:color w:val="000000"/>
          <w:sz w:val="32"/>
          <w:szCs w:val="32"/>
        </w:rPr>
        <w:t>%</w:t>
      </w:r>
      <w:r>
        <w:rPr>
          <w:rStyle w:val="17"/>
          <w:rFonts w:hint="eastAsia" w:ascii="仿宋" w:hAnsi="仿宋" w:eastAsia="仿宋"/>
          <w:b w:val="0"/>
          <w:bCs/>
          <w:color w:val="000000"/>
          <w:sz w:val="32"/>
          <w:szCs w:val="32"/>
        </w:rPr>
        <w:t>。</w:t>
      </w:r>
    </w:p>
    <w:p w14:paraId="4D4AA076">
      <w:pPr>
        <w:numPr>
          <w:ilvl w:val="0"/>
          <w:numId w:val="0"/>
        </w:numPr>
        <w:spacing w:line="600" w:lineRule="exact"/>
        <w:ind w:firstLine="643" w:firstLineChars="200"/>
        <w:rPr>
          <w:rStyle w:val="17"/>
          <w:rFonts w:hint="eastAsia" w:ascii="仿宋" w:hAnsi="仿宋" w:eastAsia="仿宋"/>
          <w:b w:val="0"/>
          <w:bCs/>
          <w:color w:val="000000"/>
          <w:sz w:val="32"/>
          <w:szCs w:val="32"/>
        </w:rPr>
      </w:pPr>
      <w:r>
        <w:rPr>
          <w:rStyle w:val="17"/>
          <w:rFonts w:hint="eastAsia" w:ascii="仿宋" w:hAnsi="仿宋" w:eastAsia="仿宋"/>
          <w:bCs/>
          <w:color w:val="000000"/>
          <w:sz w:val="32"/>
          <w:szCs w:val="32"/>
          <w:lang w:val="en-US" w:eastAsia="zh-CN"/>
        </w:rPr>
        <w:t>2.</w:t>
      </w:r>
      <w:r>
        <w:rPr>
          <w:rStyle w:val="17"/>
          <w:rFonts w:hint="eastAsia" w:ascii="仿宋" w:hAnsi="仿宋" w:eastAsia="仿宋"/>
          <w:bCs/>
          <w:color w:val="000000"/>
          <w:sz w:val="32"/>
          <w:szCs w:val="32"/>
        </w:rPr>
        <w:t>教育（类）普通教育（款）小学教育（项）</w:t>
      </w:r>
      <w:r>
        <w:rPr>
          <w:rStyle w:val="17"/>
          <w:rFonts w:hint="eastAsia" w:ascii="仿宋" w:hAnsi="仿宋" w:eastAsia="仿宋"/>
          <w:bCs/>
          <w:color w:val="000000"/>
          <w:sz w:val="32"/>
          <w:szCs w:val="32"/>
          <w:lang w:eastAsia="zh-CN"/>
        </w:rPr>
        <w:t>：</w:t>
      </w:r>
      <w:r>
        <w:rPr>
          <w:rStyle w:val="17"/>
          <w:rFonts w:hint="eastAsia" w:ascii="仿宋" w:hAnsi="仿宋" w:eastAsia="仿宋"/>
          <w:b w:val="0"/>
          <w:bCs/>
          <w:color w:val="000000"/>
          <w:sz w:val="32"/>
          <w:szCs w:val="32"/>
        </w:rPr>
        <w:t>支出决算为</w:t>
      </w:r>
      <w:r>
        <w:rPr>
          <w:rStyle w:val="17"/>
          <w:rFonts w:hint="eastAsia" w:ascii="仿宋" w:hAnsi="仿宋" w:eastAsia="仿宋"/>
          <w:b w:val="0"/>
          <w:bCs/>
          <w:color w:val="000000"/>
          <w:sz w:val="32"/>
          <w:szCs w:val="32"/>
          <w:lang w:val="en-US" w:eastAsia="zh-CN"/>
        </w:rPr>
        <w:t>50.95</w:t>
      </w:r>
      <w:r>
        <w:rPr>
          <w:rStyle w:val="17"/>
          <w:rFonts w:hint="eastAsia" w:ascii="仿宋" w:hAnsi="仿宋" w:eastAsia="仿宋"/>
          <w:b w:val="0"/>
          <w:bCs/>
          <w:color w:val="000000"/>
          <w:sz w:val="32"/>
          <w:szCs w:val="32"/>
        </w:rPr>
        <w:t>万元，完成预算</w:t>
      </w:r>
      <w:r>
        <w:rPr>
          <w:rStyle w:val="17"/>
          <w:rFonts w:hint="eastAsia" w:ascii="仿宋" w:hAnsi="仿宋" w:eastAsia="仿宋"/>
          <w:b w:val="0"/>
          <w:bCs/>
          <w:color w:val="000000"/>
          <w:sz w:val="32"/>
          <w:szCs w:val="32"/>
          <w:lang w:val="en-US" w:eastAsia="zh-CN"/>
        </w:rPr>
        <w:t>100</w:t>
      </w:r>
      <w:r>
        <w:rPr>
          <w:rStyle w:val="17"/>
          <w:rFonts w:ascii="仿宋" w:hAnsi="仿宋" w:eastAsia="仿宋"/>
          <w:b w:val="0"/>
          <w:bCs/>
          <w:color w:val="000000"/>
          <w:sz w:val="32"/>
          <w:szCs w:val="32"/>
        </w:rPr>
        <w:t>%</w:t>
      </w:r>
      <w:r>
        <w:rPr>
          <w:rStyle w:val="17"/>
          <w:rFonts w:hint="eastAsia" w:ascii="仿宋" w:hAnsi="仿宋" w:eastAsia="仿宋"/>
          <w:b w:val="0"/>
          <w:bCs/>
          <w:color w:val="000000"/>
          <w:sz w:val="32"/>
          <w:szCs w:val="32"/>
        </w:rPr>
        <w:t>。</w:t>
      </w:r>
    </w:p>
    <w:p w14:paraId="15E6C699">
      <w:pPr>
        <w:spacing w:line="600" w:lineRule="exact"/>
        <w:ind w:firstLine="643" w:firstLineChars="200"/>
        <w:rPr>
          <w:rStyle w:val="17"/>
          <w:rFonts w:ascii="仿宋" w:hAnsi="仿宋" w:eastAsia="仿宋"/>
          <w:b w:val="0"/>
          <w:bCs/>
          <w:color w:val="000000"/>
          <w:sz w:val="32"/>
          <w:szCs w:val="32"/>
        </w:rPr>
      </w:pPr>
      <w:r>
        <w:rPr>
          <w:rStyle w:val="17"/>
          <w:rFonts w:hint="eastAsia" w:ascii="仿宋" w:hAnsi="仿宋" w:eastAsia="仿宋"/>
          <w:bCs/>
          <w:color w:val="000000"/>
          <w:sz w:val="32"/>
          <w:szCs w:val="32"/>
        </w:rPr>
        <w:t>3</w:t>
      </w:r>
      <w:r>
        <w:rPr>
          <w:rStyle w:val="17"/>
          <w:rFonts w:ascii="仿宋" w:hAnsi="仿宋" w:eastAsia="仿宋"/>
          <w:bCs/>
          <w:color w:val="000000"/>
          <w:sz w:val="32"/>
          <w:szCs w:val="32"/>
        </w:rPr>
        <w:t>.</w:t>
      </w:r>
      <w:r>
        <w:rPr>
          <w:rStyle w:val="17"/>
          <w:rFonts w:hint="eastAsia" w:ascii="仿宋" w:hAnsi="仿宋" w:eastAsia="仿宋"/>
          <w:bCs/>
          <w:color w:val="000000"/>
          <w:sz w:val="32"/>
          <w:szCs w:val="32"/>
        </w:rPr>
        <w:t>教育（类）普通教育（款）初中教育（项）</w:t>
      </w:r>
      <w:r>
        <w:rPr>
          <w:rStyle w:val="17"/>
          <w:rFonts w:hint="eastAsia" w:ascii="仿宋" w:hAnsi="仿宋" w:eastAsia="仿宋"/>
          <w:bCs/>
          <w:color w:val="000000"/>
          <w:sz w:val="32"/>
          <w:szCs w:val="32"/>
          <w:lang w:eastAsia="zh-CN"/>
        </w:rPr>
        <w:t>：</w:t>
      </w:r>
      <w:r>
        <w:rPr>
          <w:rStyle w:val="17"/>
          <w:rFonts w:hint="eastAsia" w:ascii="仿宋" w:hAnsi="仿宋" w:eastAsia="仿宋"/>
          <w:b w:val="0"/>
          <w:bCs/>
          <w:color w:val="000000"/>
          <w:sz w:val="32"/>
          <w:szCs w:val="32"/>
        </w:rPr>
        <w:t>支出决算为</w:t>
      </w:r>
      <w:r>
        <w:rPr>
          <w:rStyle w:val="17"/>
          <w:rFonts w:hint="eastAsia" w:ascii="仿宋" w:hAnsi="仿宋" w:eastAsia="仿宋"/>
          <w:b w:val="0"/>
          <w:bCs/>
          <w:color w:val="000000"/>
          <w:sz w:val="32"/>
          <w:szCs w:val="32"/>
          <w:lang w:val="en-US" w:eastAsia="zh-CN"/>
        </w:rPr>
        <w:t>536.68</w:t>
      </w:r>
      <w:r>
        <w:rPr>
          <w:rStyle w:val="17"/>
          <w:rFonts w:hint="eastAsia" w:ascii="仿宋" w:hAnsi="仿宋" w:eastAsia="仿宋"/>
          <w:b w:val="0"/>
          <w:bCs/>
          <w:color w:val="000000"/>
          <w:sz w:val="32"/>
          <w:szCs w:val="32"/>
        </w:rPr>
        <w:t>万元，完成预算</w:t>
      </w:r>
      <w:r>
        <w:rPr>
          <w:rStyle w:val="17"/>
          <w:rFonts w:hint="eastAsia" w:ascii="仿宋" w:hAnsi="仿宋" w:eastAsia="仿宋"/>
          <w:b w:val="0"/>
          <w:bCs/>
          <w:color w:val="000000"/>
          <w:sz w:val="32"/>
          <w:szCs w:val="32"/>
          <w:lang w:val="en-US" w:eastAsia="zh-CN"/>
        </w:rPr>
        <w:t>100</w:t>
      </w:r>
      <w:r>
        <w:rPr>
          <w:rStyle w:val="17"/>
          <w:rFonts w:ascii="仿宋" w:hAnsi="仿宋" w:eastAsia="仿宋"/>
          <w:b w:val="0"/>
          <w:bCs/>
          <w:color w:val="000000"/>
          <w:sz w:val="32"/>
          <w:szCs w:val="32"/>
        </w:rPr>
        <w:t>%</w:t>
      </w:r>
      <w:r>
        <w:rPr>
          <w:rStyle w:val="17"/>
          <w:rFonts w:hint="eastAsia" w:ascii="仿宋" w:hAnsi="仿宋" w:eastAsia="仿宋"/>
          <w:b w:val="0"/>
          <w:bCs/>
          <w:color w:val="000000"/>
          <w:sz w:val="32"/>
          <w:szCs w:val="32"/>
        </w:rPr>
        <w:t>。</w:t>
      </w:r>
    </w:p>
    <w:p w14:paraId="37151418">
      <w:pPr>
        <w:spacing w:line="600" w:lineRule="exact"/>
        <w:ind w:firstLine="643" w:firstLineChars="200"/>
        <w:rPr>
          <w:rFonts w:ascii="仿宋" w:hAnsi="仿宋" w:eastAsia="仿宋"/>
          <w:bCs/>
          <w:color w:val="000000"/>
          <w:sz w:val="32"/>
          <w:szCs w:val="32"/>
        </w:rPr>
      </w:pPr>
      <w:r>
        <w:rPr>
          <w:rStyle w:val="17"/>
          <w:rFonts w:hint="eastAsia" w:ascii="仿宋" w:hAnsi="仿宋" w:eastAsia="仿宋"/>
          <w:bCs/>
          <w:color w:val="000000"/>
          <w:sz w:val="32"/>
          <w:szCs w:val="32"/>
          <w:lang w:val="en-US" w:eastAsia="zh-CN"/>
        </w:rPr>
        <w:t>4</w:t>
      </w:r>
      <w:r>
        <w:rPr>
          <w:rStyle w:val="17"/>
          <w:rFonts w:ascii="仿宋" w:hAnsi="仿宋" w:eastAsia="仿宋"/>
          <w:bCs/>
          <w:color w:val="000000"/>
          <w:sz w:val="32"/>
          <w:szCs w:val="32"/>
        </w:rPr>
        <w:t>.</w:t>
      </w:r>
      <w:r>
        <w:rPr>
          <w:rStyle w:val="17"/>
          <w:rFonts w:hint="eastAsia" w:ascii="仿宋" w:hAnsi="仿宋" w:eastAsia="仿宋"/>
          <w:bCs/>
          <w:color w:val="000000"/>
          <w:sz w:val="32"/>
          <w:szCs w:val="32"/>
        </w:rPr>
        <w:t>教育（类）教育费附加安排的支出（款）其他教育费附加安排的支出（项）</w:t>
      </w:r>
      <w:r>
        <w:rPr>
          <w:rStyle w:val="17"/>
          <w:rFonts w:hint="eastAsia" w:ascii="仿宋" w:hAnsi="仿宋" w:eastAsia="仿宋"/>
          <w:bCs/>
          <w:color w:val="000000"/>
          <w:sz w:val="32"/>
          <w:szCs w:val="32"/>
          <w:lang w:eastAsia="zh-CN"/>
        </w:rPr>
        <w:t>：</w:t>
      </w:r>
      <w:r>
        <w:rPr>
          <w:rStyle w:val="17"/>
          <w:rFonts w:hint="eastAsia" w:ascii="仿宋" w:hAnsi="仿宋" w:eastAsia="仿宋"/>
          <w:b w:val="0"/>
          <w:bCs/>
          <w:color w:val="000000"/>
          <w:sz w:val="32"/>
          <w:szCs w:val="32"/>
        </w:rPr>
        <w:t>支出决算为</w:t>
      </w:r>
      <w:r>
        <w:rPr>
          <w:rStyle w:val="17"/>
          <w:rFonts w:hint="eastAsia" w:ascii="仿宋" w:hAnsi="仿宋" w:eastAsia="仿宋"/>
          <w:b w:val="0"/>
          <w:bCs/>
          <w:color w:val="000000"/>
          <w:sz w:val="32"/>
          <w:szCs w:val="32"/>
          <w:lang w:val="en-US" w:eastAsia="zh-CN"/>
        </w:rPr>
        <w:t>2.90</w:t>
      </w:r>
      <w:r>
        <w:rPr>
          <w:rStyle w:val="17"/>
          <w:rFonts w:hint="eastAsia" w:ascii="仿宋" w:hAnsi="仿宋" w:eastAsia="仿宋"/>
          <w:b w:val="0"/>
          <w:bCs/>
          <w:color w:val="000000"/>
          <w:sz w:val="32"/>
          <w:szCs w:val="32"/>
        </w:rPr>
        <w:t>万元，完成预算</w:t>
      </w:r>
      <w:r>
        <w:rPr>
          <w:rStyle w:val="17"/>
          <w:rFonts w:hint="eastAsia" w:ascii="仿宋" w:hAnsi="仿宋" w:eastAsia="仿宋"/>
          <w:b w:val="0"/>
          <w:bCs/>
          <w:color w:val="000000"/>
          <w:sz w:val="32"/>
          <w:szCs w:val="32"/>
          <w:lang w:val="en-US" w:eastAsia="zh-CN"/>
        </w:rPr>
        <w:t>100</w:t>
      </w:r>
      <w:r>
        <w:rPr>
          <w:rStyle w:val="17"/>
          <w:rFonts w:ascii="仿宋" w:hAnsi="仿宋" w:eastAsia="仿宋"/>
          <w:b w:val="0"/>
          <w:bCs/>
          <w:color w:val="000000"/>
          <w:sz w:val="32"/>
          <w:szCs w:val="32"/>
        </w:rPr>
        <w:t>%</w:t>
      </w:r>
      <w:r>
        <w:rPr>
          <w:rStyle w:val="17"/>
          <w:rFonts w:hint="eastAsia" w:ascii="仿宋" w:hAnsi="仿宋" w:eastAsia="仿宋"/>
          <w:b w:val="0"/>
          <w:bCs/>
          <w:color w:val="000000"/>
          <w:sz w:val="32"/>
          <w:szCs w:val="32"/>
        </w:rPr>
        <w:t>。</w:t>
      </w:r>
    </w:p>
    <w:p w14:paraId="6EEBAFA2">
      <w:pPr>
        <w:spacing w:line="600" w:lineRule="exact"/>
        <w:ind w:firstLine="643" w:firstLineChars="200"/>
        <w:rPr>
          <w:rStyle w:val="17"/>
          <w:rFonts w:ascii="仿宋" w:hAnsi="仿宋" w:eastAsia="仿宋"/>
          <w:b w:val="0"/>
          <w:bCs/>
          <w:color w:val="000000"/>
          <w:sz w:val="32"/>
          <w:szCs w:val="32"/>
        </w:rPr>
      </w:pPr>
      <w:r>
        <w:rPr>
          <w:rStyle w:val="17"/>
          <w:rFonts w:hint="eastAsia" w:ascii="仿宋" w:hAnsi="仿宋" w:eastAsia="仿宋"/>
          <w:bCs/>
          <w:color w:val="000000"/>
          <w:sz w:val="32"/>
          <w:szCs w:val="32"/>
          <w:lang w:val="en-US" w:eastAsia="zh-CN"/>
        </w:rPr>
        <w:t>5</w:t>
      </w:r>
      <w:r>
        <w:rPr>
          <w:rStyle w:val="17"/>
          <w:rFonts w:ascii="仿宋" w:hAnsi="仿宋" w:eastAsia="仿宋"/>
          <w:bCs/>
          <w:color w:val="000000"/>
          <w:sz w:val="32"/>
          <w:szCs w:val="32"/>
        </w:rPr>
        <w:t>.</w:t>
      </w:r>
      <w:r>
        <w:rPr>
          <w:rStyle w:val="17"/>
          <w:rFonts w:hint="eastAsia" w:ascii="仿宋" w:hAnsi="仿宋" w:eastAsia="仿宋"/>
          <w:bCs/>
          <w:color w:val="000000"/>
          <w:sz w:val="32"/>
          <w:szCs w:val="32"/>
        </w:rPr>
        <w:t>社会保障和就业（类）行政事业单位离退休（款）机关事业单位基本养老保险缴费支出（项）</w:t>
      </w:r>
      <w:r>
        <w:rPr>
          <w:rStyle w:val="17"/>
          <w:rFonts w:hint="eastAsia" w:ascii="仿宋" w:hAnsi="仿宋" w:eastAsia="仿宋"/>
          <w:bCs/>
          <w:color w:val="000000"/>
          <w:sz w:val="32"/>
          <w:szCs w:val="32"/>
          <w:lang w:eastAsia="zh-CN"/>
        </w:rPr>
        <w:t>：</w:t>
      </w:r>
      <w:r>
        <w:rPr>
          <w:rStyle w:val="17"/>
          <w:rFonts w:hint="eastAsia" w:ascii="仿宋" w:hAnsi="仿宋" w:eastAsia="仿宋"/>
          <w:b w:val="0"/>
          <w:bCs/>
          <w:color w:val="000000"/>
          <w:sz w:val="32"/>
          <w:szCs w:val="32"/>
        </w:rPr>
        <w:t>支出决算为</w:t>
      </w:r>
      <w:r>
        <w:rPr>
          <w:rStyle w:val="17"/>
          <w:rFonts w:hint="eastAsia" w:ascii="仿宋" w:hAnsi="仿宋" w:eastAsia="仿宋"/>
          <w:b w:val="0"/>
          <w:bCs/>
          <w:color w:val="000000"/>
          <w:sz w:val="32"/>
          <w:szCs w:val="32"/>
          <w:lang w:val="en-US" w:eastAsia="zh-CN"/>
        </w:rPr>
        <w:t>41.60</w:t>
      </w:r>
      <w:r>
        <w:rPr>
          <w:rStyle w:val="17"/>
          <w:rFonts w:hint="eastAsia" w:ascii="仿宋" w:hAnsi="仿宋" w:eastAsia="仿宋"/>
          <w:b w:val="0"/>
          <w:bCs/>
          <w:color w:val="000000"/>
          <w:sz w:val="32"/>
          <w:szCs w:val="32"/>
        </w:rPr>
        <w:t>万元，完成预算100</w:t>
      </w:r>
      <w:r>
        <w:rPr>
          <w:rStyle w:val="17"/>
          <w:rFonts w:ascii="仿宋" w:hAnsi="仿宋" w:eastAsia="仿宋"/>
          <w:b w:val="0"/>
          <w:bCs/>
          <w:color w:val="000000"/>
          <w:sz w:val="32"/>
          <w:szCs w:val="32"/>
        </w:rPr>
        <w:t>%</w:t>
      </w:r>
      <w:r>
        <w:rPr>
          <w:rStyle w:val="17"/>
          <w:rFonts w:hint="eastAsia" w:ascii="仿宋" w:hAnsi="仿宋" w:eastAsia="仿宋"/>
          <w:b w:val="0"/>
          <w:bCs/>
          <w:color w:val="000000"/>
          <w:sz w:val="32"/>
          <w:szCs w:val="32"/>
        </w:rPr>
        <w:t>。</w:t>
      </w:r>
    </w:p>
    <w:p w14:paraId="66138AA9">
      <w:pPr>
        <w:spacing w:line="600" w:lineRule="exact"/>
        <w:ind w:firstLine="643" w:firstLineChars="200"/>
        <w:rPr>
          <w:rStyle w:val="17"/>
          <w:rFonts w:ascii="仿宋" w:hAnsi="仿宋" w:eastAsia="仿宋"/>
          <w:b w:val="0"/>
          <w:bCs/>
          <w:color w:val="000000"/>
          <w:sz w:val="32"/>
          <w:szCs w:val="32"/>
        </w:rPr>
      </w:pPr>
      <w:r>
        <w:rPr>
          <w:rStyle w:val="17"/>
          <w:rFonts w:hint="eastAsia" w:ascii="仿宋" w:hAnsi="仿宋" w:eastAsia="仿宋"/>
          <w:bCs/>
          <w:color w:val="000000"/>
          <w:sz w:val="32"/>
          <w:szCs w:val="32"/>
          <w:lang w:val="en-US" w:eastAsia="zh-CN"/>
        </w:rPr>
        <w:t>6</w:t>
      </w:r>
      <w:r>
        <w:rPr>
          <w:rStyle w:val="17"/>
          <w:rFonts w:ascii="仿宋" w:hAnsi="仿宋" w:eastAsia="仿宋"/>
          <w:bCs/>
          <w:color w:val="000000"/>
          <w:sz w:val="32"/>
          <w:szCs w:val="32"/>
        </w:rPr>
        <w:t>.</w:t>
      </w:r>
      <w:r>
        <w:rPr>
          <w:rStyle w:val="17"/>
          <w:rFonts w:hint="eastAsia" w:ascii="仿宋" w:hAnsi="仿宋" w:eastAsia="仿宋"/>
          <w:bCs/>
          <w:color w:val="000000"/>
          <w:sz w:val="32"/>
          <w:szCs w:val="32"/>
        </w:rPr>
        <w:t>社会保障和就业（类）行政事业单位离退休（款）机关事业单位职业年金缴费支出（项）</w:t>
      </w:r>
      <w:r>
        <w:rPr>
          <w:rStyle w:val="17"/>
          <w:rFonts w:hint="eastAsia" w:ascii="仿宋" w:hAnsi="仿宋" w:eastAsia="仿宋"/>
          <w:bCs/>
          <w:color w:val="000000"/>
          <w:sz w:val="32"/>
          <w:szCs w:val="32"/>
          <w:lang w:eastAsia="zh-CN"/>
        </w:rPr>
        <w:t>：</w:t>
      </w:r>
      <w:r>
        <w:rPr>
          <w:rStyle w:val="17"/>
          <w:rFonts w:hint="eastAsia" w:ascii="仿宋" w:hAnsi="仿宋" w:eastAsia="仿宋"/>
          <w:b w:val="0"/>
          <w:bCs/>
          <w:color w:val="000000"/>
          <w:sz w:val="32"/>
          <w:szCs w:val="32"/>
        </w:rPr>
        <w:t>支出决算为</w:t>
      </w:r>
      <w:r>
        <w:rPr>
          <w:rStyle w:val="17"/>
          <w:rFonts w:hint="eastAsia" w:ascii="仿宋" w:hAnsi="仿宋" w:eastAsia="仿宋"/>
          <w:b w:val="0"/>
          <w:bCs/>
          <w:color w:val="000000"/>
          <w:sz w:val="32"/>
          <w:szCs w:val="32"/>
          <w:lang w:val="en-US" w:eastAsia="zh-CN"/>
        </w:rPr>
        <w:t>20.72</w:t>
      </w:r>
      <w:r>
        <w:rPr>
          <w:rStyle w:val="17"/>
          <w:rFonts w:hint="eastAsia" w:ascii="仿宋" w:hAnsi="仿宋" w:eastAsia="仿宋"/>
          <w:b w:val="0"/>
          <w:bCs/>
          <w:color w:val="000000"/>
          <w:sz w:val="32"/>
          <w:szCs w:val="32"/>
        </w:rPr>
        <w:t>万元，完成预算100</w:t>
      </w:r>
      <w:r>
        <w:rPr>
          <w:rStyle w:val="17"/>
          <w:rFonts w:ascii="仿宋" w:hAnsi="仿宋" w:eastAsia="仿宋"/>
          <w:b w:val="0"/>
          <w:bCs/>
          <w:color w:val="000000"/>
          <w:sz w:val="32"/>
          <w:szCs w:val="32"/>
        </w:rPr>
        <w:t>%</w:t>
      </w:r>
      <w:r>
        <w:rPr>
          <w:rStyle w:val="17"/>
          <w:rFonts w:hint="eastAsia" w:ascii="仿宋" w:hAnsi="仿宋" w:eastAsia="仿宋"/>
          <w:b w:val="0"/>
          <w:bCs/>
          <w:color w:val="000000"/>
          <w:sz w:val="32"/>
          <w:szCs w:val="32"/>
        </w:rPr>
        <w:t>。</w:t>
      </w:r>
    </w:p>
    <w:p w14:paraId="0D5CE0A6">
      <w:pPr>
        <w:spacing w:line="600" w:lineRule="exact"/>
        <w:ind w:firstLine="643" w:firstLineChars="200"/>
        <w:rPr>
          <w:rStyle w:val="17"/>
          <w:rFonts w:ascii="仿宋" w:hAnsi="仿宋" w:eastAsia="仿宋"/>
          <w:b w:val="0"/>
          <w:bCs/>
          <w:color w:val="000000"/>
          <w:sz w:val="32"/>
          <w:szCs w:val="32"/>
        </w:rPr>
      </w:pPr>
      <w:r>
        <w:rPr>
          <w:rStyle w:val="17"/>
          <w:rFonts w:hint="eastAsia" w:ascii="仿宋" w:hAnsi="仿宋" w:eastAsia="仿宋"/>
          <w:bCs/>
          <w:color w:val="000000"/>
          <w:sz w:val="32"/>
          <w:szCs w:val="32"/>
          <w:lang w:val="en-US" w:eastAsia="zh-CN"/>
        </w:rPr>
        <w:t>7</w:t>
      </w:r>
      <w:r>
        <w:rPr>
          <w:rStyle w:val="17"/>
          <w:rFonts w:ascii="仿宋" w:hAnsi="仿宋" w:eastAsia="仿宋"/>
          <w:bCs/>
          <w:color w:val="000000"/>
          <w:sz w:val="32"/>
          <w:szCs w:val="32"/>
        </w:rPr>
        <w:t>.</w:t>
      </w:r>
      <w:r>
        <w:rPr>
          <w:rStyle w:val="17"/>
          <w:rFonts w:hint="eastAsia" w:ascii="仿宋" w:hAnsi="仿宋" w:eastAsia="仿宋"/>
          <w:bCs/>
          <w:color w:val="000000"/>
          <w:sz w:val="32"/>
          <w:szCs w:val="32"/>
        </w:rPr>
        <w:t>社会保障和就业（类）其他社会保障和就业支出（款）其他社会保障和就业支出（项）</w:t>
      </w:r>
      <w:r>
        <w:rPr>
          <w:rStyle w:val="17"/>
          <w:rFonts w:hint="eastAsia" w:ascii="仿宋" w:hAnsi="仿宋" w:eastAsia="仿宋"/>
          <w:bCs/>
          <w:color w:val="000000"/>
          <w:sz w:val="32"/>
          <w:szCs w:val="32"/>
          <w:lang w:eastAsia="zh-CN"/>
        </w:rPr>
        <w:t>：</w:t>
      </w:r>
      <w:r>
        <w:rPr>
          <w:rStyle w:val="17"/>
          <w:rFonts w:hint="eastAsia" w:ascii="仿宋" w:hAnsi="仿宋" w:eastAsia="仿宋"/>
          <w:b w:val="0"/>
          <w:bCs/>
          <w:color w:val="000000"/>
          <w:sz w:val="32"/>
          <w:szCs w:val="32"/>
        </w:rPr>
        <w:t>支出决算为</w:t>
      </w:r>
      <w:r>
        <w:rPr>
          <w:rStyle w:val="17"/>
          <w:rFonts w:hint="eastAsia" w:ascii="仿宋" w:hAnsi="仿宋" w:eastAsia="仿宋"/>
          <w:b w:val="0"/>
          <w:bCs/>
          <w:color w:val="000000"/>
          <w:sz w:val="32"/>
          <w:szCs w:val="32"/>
          <w:lang w:val="en-US" w:eastAsia="zh-CN"/>
        </w:rPr>
        <w:t>25.86</w:t>
      </w:r>
      <w:r>
        <w:rPr>
          <w:rStyle w:val="17"/>
          <w:rFonts w:hint="eastAsia" w:ascii="仿宋" w:hAnsi="仿宋" w:eastAsia="仿宋"/>
          <w:b w:val="0"/>
          <w:bCs/>
          <w:color w:val="000000"/>
          <w:sz w:val="32"/>
          <w:szCs w:val="32"/>
        </w:rPr>
        <w:t>万元，完成预算100</w:t>
      </w:r>
      <w:r>
        <w:rPr>
          <w:rStyle w:val="17"/>
          <w:rFonts w:ascii="仿宋" w:hAnsi="仿宋" w:eastAsia="仿宋"/>
          <w:b w:val="0"/>
          <w:bCs/>
          <w:color w:val="000000"/>
          <w:sz w:val="32"/>
          <w:szCs w:val="32"/>
        </w:rPr>
        <w:t>%</w:t>
      </w:r>
      <w:r>
        <w:rPr>
          <w:rStyle w:val="17"/>
          <w:rFonts w:hint="eastAsia" w:ascii="仿宋" w:hAnsi="仿宋" w:eastAsia="仿宋"/>
          <w:b w:val="0"/>
          <w:bCs/>
          <w:color w:val="000000"/>
          <w:sz w:val="32"/>
          <w:szCs w:val="32"/>
        </w:rPr>
        <w:t>。</w:t>
      </w:r>
    </w:p>
    <w:p w14:paraId="39A2C480">
      <w:pPr>
        <w:spacing w:line="600" w:lineRule="exact"/>
        <w:ind w:firstLine="643" w:firstLineChars="200"/>
        <w:rPr>
          <w:rStyle w:val="17"/>
          <w:rFonts w:ascii="仿宋" w:hAnsi="仿宋" w:eastAsia="仿宋"/>
          <w:b w:val="0"/>
          <w:bCs/>
          <w:color w:val="000000"/>
          <w:sz w:val="32"/>
          <w:szCs w:val="32"/>
        </w:rPr>
      </w:pPr>
      <w:r>
        <w:rPr>
          <w:rStyle w:val="17"/>
          <w:rFonts w:hint="eastAsia" w:ascii="仿宋" w:hAnsi="仿宋" w:eastAsia="仿宋"/>
          <w:bCs/>
          <w:color w:val="000000"/>
          <w:sz w:val="32"/>
          <w:szCs w:val="32"/>
          <w:lang w:val="en-US" w:eastAsia="zh-CN"/>
        </w:rPr>
        <w:t>8</w:t>
      </w:r>
      <w:r>
        <w:rPr>
          <w:rStyle w:val="17"/>
          <w:rFonts w:ascii="仿宋" w:hAnsi="仿宋" w:eastAsia="仿宋"/>
          <w:bCs/>
          <w:color w:val="000000"/>
          <w:sz w:val="32"/>
          <w:szCs w:val="32"/>
        </w:rPr>
        <w:t>.</w:t>
      </w:r>
      <w:r>
        <w:rPr>
          <w:rStyle w:val="17"/>
          <w:rFonts w:hint="eastAsia" w:ascii="仿宋" w:hAnsi="仿宋" w:eastAsia="仿宋"/>
          <w:bCs/>
          <w:color w:val="000000"/>
          <w:sz w:val="32"/>
          <w:szCs w:val="32"/>
          <w:lang w:eastAsia="zh-CN"/>
        </w:rPr>
        <w:t>卫生健康</w:t>
      </w:r>
      <w:r>
        <w:rPr>
          <w:rStyle w:val="17"/>
          <w:rFonts w:hint="eastAsia" w:ascii="仿宋" w:hAnsi="仿宋" w:eastAsia="仿宋"/>
          <w:bCs/>
          <w:color w:val="000000"/>
          <w:sz w:val="32"/>
          <w:szCs w:val="32"/>
        </w:rPr>
        <w:t>（类）行政事业单位医疗（款）事业单位医疗（项）</w:t>
      </w:r>
      <w:r>
        <w:rPr>
          <w:rStyle w:val="17"/>
          <w:rFonts w:hint="eastAsia" w:ascii="仿宋" w:hAnsi="仿宋" w:eastAsia="仿宋"/>
          <w:bCs/>
          <w:color w:val="000000"/>
          <w:sz w:val="32"/>
          <w:szCs w:val="32"/>
          <w:lang w:eastAsia="zh-CN"/>
        </w:rPr>
        <w:t>：</w:t>
      </w:r>
      <w:r>
        <w:rPr>
          <w:rStyle w:val="17"/>
          <w:rFonts w:hint="eastAsia" w:ascii="仿宋" w:hAnsi="仿宋" w:eastAsia="仿宋"/>
          <w:b w:val="0"/>
          <w:bCs/>
          <w:color w:val="000000"/>
          <w:sz w:val="32"/>
          <w:szCs w:val="32"/>
        </w:rPr>
        <w:t>支出决算为</w:t>
      </w:r>
      <w:r>
        <w:rPr>
          <w:rStyle w:val="17"/>
          <w:rFonts w:hint="eastAsia" w:ascii="仿宋" w:hAnsi="仿宋" w:eastAsia="仿宋"/>
          <w:b w:val="0"/>
          <w:bCs/>
          <w:color w:val="000000"/>
          <w:sz w:val="32"/>
          <w:szCs w:val="32"/>
          <w:lang w:val="en-US" w:eastAsia="zh-CN"/>
        </w:rPr>
        <w:t>16.08</w:t>
      </w:r>
      <w:r>
        <w:rPr>
          <w:rStyle w:val="17"/>
          <w:rFonts w:hint="eastAsia" w:ascii="仿宋" w:hAnsi="仿宋" w:eastAsia="仿宋"/>
          <w:b w:val="0"/>
          <w:bCs/>
          <w:color w:val="000000"/>
          <w:sz w:val="32"/>
          <w:szCs w:val="32"/>
        </w:rPr>
        <w:t>万元，完成预算100</w:t>
      </w:r>
      <w:r>
        <w:rPr>
          <w:rStyle w:val="17"/>
          <w:rFonts w:ascii="仿宋" w:hAnsi="仿宋" w:eastAsia="仿宋"/>
          <w:b w:val="0"/>
          <w:bCs/>
          <w:color w:val="000000"/>
          <w:sz w:val="32"/>
          <w:szCs w:val="32"/>
        </w:rPr>
        <w:t>%</w:t>
      </w:r>
      <w:r>
        <w:rPr>
          <w:rStyle w:val="17"/>
          <w:rFonts w:hint="eastAsia" w:ascii="仿宋" w:hAnsi="仿宋" w:eastAsia="仿宋"/>
          <w:b w:val="0"/>
          <w:bCs/>
          <w:color w:val="000000"/>
          <w:sz w:val="32"/>
          <w:szCs w:val="32"/>
        </w:rPr>
        <w:t>。</w:t>
      </w:r>
    </w:p>
    <w:p w14:paraId="024CE598">
      <w:pPr>
        <w:spacing w:line="600" w:lineRule="exact"/>
        <w:ind w:firstLine="643" w:firstLineChars="200"/>
        <w:rPr>
          <w:rStyle w:val="17"/>
          <w:rFonts w:ascii="仿宋" w:hAnsi="仿宋" w:eastAsia="仿宋"/>
          <w:b w:val="0"/>
          <w:bCs/>
          <w:color w:val="000000"/>
          <w:sz w:val="32"/>
          <w:szCs w:val="32"/>
        </w:rPr>
      </w:pPr>
      <w:r>
        <w:rPr>
          <w:rStyle w:val="17"/>
          <w:rFonts w:hint="eastAsia" w:ascii="仿宋" w:hAnsi="仿宋" w:eastAsia="仿宋"/>
          <w:bCs/>
          <w:color w:val="000000"/>
          <w:sz w:val="32"/>
          <w:szCs w:val="32"/>
          <w:lang w:val="en-US" w:eastAsia="zh-CN"/>
        </w:rPr>
        <w:t>9</w:t>
      </w:r>
      <w:r>
        <w:rPr>
          <w:rStyle w:val="17"/>
          <w:rFonts w:ascii="仿宋" w:hAnsi="仿宋" w:eastAsia="仿宋"/>
          <w:bCs/>
          <w:color w:val="000000"/>
          <w:sz w:val="32"/>
          <w:szCs w:val="32"/>
        </w:rPr>
        <w:t>.</w:t>
      </w:r>
      <w:r>
        <w:rPr>
          <w:rStyle w:val="17"/>
          <w:rFonts w:hint="eastAsia" w:ascii="仿宋" w:hAnsi="仿宋" w:eastAsia="仿宋"/>
          <w:bCs/>
          <w:color w:val="000000"/>
          <w:sz w:val="32"/>
          <w:szCs w:val="32"/>
          <w:lang w:eastAsia="zh-CN"/>
        </w:rPr>
        <w:t>卫生健康</w:t>
      </w:r>
      <w:r>
        <w:rPr>
          <w:rStyle w:val="17"/>
          <w:rFonts w:hint="eastAsia" w:ascii="仿宋" w:hAnsi="仿宋" w:eastAsia="仿宋"/>
          <w:bCs/>
          <w:color w:val="000000"/>
          <w:sz w:val="32"/>
          <w:szCs w:val="32"/>
        </w:rPr>
        <w:t>（类）行政事业单位医疗（款）公务员医疗补助（项）</w:t>
      </w:r>
      <w:r>
        <w:rPr>
          <w:rStyle w:val="17"/>
          <w:rFonts w:hint="eastAsia" w:ascii="仿宋" w:hAnsi="仿宋" w:eastAsia="仿宋"/>
          <w:bCs/>
          <w:color w:val="000000"/>
          <w:sz w:val="32"/>
          <w:szCs w:val="32"/>
          <w:lang w:eastAsia="zh-CN"/>
        </w:rPr>
        <w:t>：</w:t>
      </w:r>
      <w:r>
        <w:rPr>
          <w:rStyle w:val="17"/>
          <w:rFonts w:hint="eastAsia" w:ascii="仿宋" w:hAnsi="仿宋" w:eastAsia="仿宋"/>
          <w:b w:val="0"/>
          <w:bCs/>
          <w:color w:val="000000"/>
          <w:sz w:val="32"/>
          <w:szCs w:val="32"/>
        </w:rPr>
        <w:t>支出决算为</w:t>
      </w:r>
      <w:r>
        <w:rPr>
          <w:rStyle w:val="17"/>
          <w:rFonts w:hint="eastAsia" w:ascii="仿宋" w:hAnsi="仿宋" w:eastAsia="仿宋"/>
          <w:b w:val="0"/>
          <w:bCs/>
          <w:color w:val="000000"/>
          <w:sz w:val="32"/>
          <w:szCs w:val="32"/>
          <w:lang w:val="en-US" w:eastAsia="zh-CN"/>
        </w:rPr>
        <w:t>2.70</w:t>
      </w:r>
      <w:r>
        <w:rPr>
          <w:rStyle w:val="17"/>
          <w:rFonts w:hint="eastAsia" w:ascii="仿宋" w:hAnsi="仿宋" w:eastAsia="仿宋"/>
          <w:b w:val="0"/>
          <w:bCs/>
          <w:color w:val="000000"/>
          <w:sz w:val="32"/>
          <w:szCs w:val="32"/>
        </w:rPr>
        <w:t>万元，完成预算100</w:t>
      </w:r>
      <w:r>
        <w:rPr>
          <w:rStyle w:val="17"/>
          <w:rFonts w:ascii="仿宋" w:hAnsi="仿宋" w:eastAsia="仿宋"/>
          <w:b w:val="0"/>
          <w:bCs/>
          <w:color w:val="000000"/>
          <w:sz w:val="32"/>
          <w:szCs w:val="32"/>
        </w:rPr>
        <w:t>%</w:t>
      </w:r>
      <w:r>
        <w:rPr>
          <w:rStyle w:val="17"/>
          <w:rFonts w:hint="eastAsia" w:ascii="仿宋" w:hAnsi="仿宋" w:eastAsia="仿宋"/>
          <w:b w:val="0"/>
          <w:bCs/>
          <w:color w:val="000000"/>
          <w:sz w:val="32"/>
          <w:szCs w:val="32"/>
        </w:rPr>
        <w:t>。</w:t>
      </w:r>
    </w:p>
    <w:p w14:paraId="78FCB4A2">
      <w:pPr>
        <w:spacing w:line="600" w:lineRule="exact"/>
        <w:ind w:firstLine="643" w:firstLineChars="200"/>
        <w:rPr>
          <w:rStyle w:val="17"/>
          <w:rFonts w:ascii="仿宋" w:hAnsi="仿宋" w:eastAsia="仿宋"/>
          <w:b w:val="0"/>
          <w:bCs/>
          <w:color w:val="000000"/>
          <w:sz w:val="32"/>
          <w:szCs w:val="32"/>
        </w:rPr>
      </w:pPr>
      <w:r>
        <w:rPr>
          <w:rStyle w:val="17"/>
          <w:rFonts w:hint="eastAsia" w:ascii="仿宋" w:hAnsi="仿宋" w:eastAsia="仿宋"/>
          <w:bCs/>
          <w:color w:val="000000"/>
          <w:sz w:val="32"/>
          <w:szCs w:val="32"/>
        </w:rPr>
        <w:t>1</w:t>
      </w:r>
      <w:r>
        <w:rPr>
          <w:rStyle w:val="17"/>
          <w:rFonts w:hint="eastAsia" w:ascii="仿宋" w:hAnsi="仿宋" w:eastAsia="仿宋"/>
          <w:bCs/>
          <w:color w:val="000000"/>
          <w:sz w:val="32"/>
          <w:szCs w:val="32"/>
          <w:lang w:val="en-US" w:eastAsia="zh-CN"/>
        </w:rPr>
        <w:t>0</w:t>
      </w:r>
      <w:r>
        <w:rPr>
          <w:rStyle w:val="17"/>
          <w:rFonts w:ascii="仿宋" w:hAnsi="仿宋" w:eastAsia="仿宋"/>
          <w:bCs/>
          <w:color w:val="000000"/>
          <w:sz w:val="32"/>
          <w:szCs w:val="32"/>
        </w:rPr>
        <w:t>.</w:t>
      </w:r>
      <w:r>
        <w:rPr>
          <w:rStyle w:val="17"/>
          <w:rFonts w:hint="eastAsia" w:ascii="仿宋" w:hAnsi="仿宋" w:eastAsia="仿宋"/>
          <w:bCs/>
          <w:color w:val="000000"/>
          <w:sz w:val="32"/>
          <w:szCs w:val="32"/>
        </w:rPr>
        <w:t>住房保障支出（类）住房保障支出（款）住房公积金支出（项）</w:t>
      </w:r>
      <w:r>
        <w:rPr>
          <w:rStyle w:val="17"/>
          <w:rFonts w:hint="eastAsia" w:ascii="仿宋" w:hAnsi="仿宋" w:eastAsia="仿宋"/>
          <w:bCs/>
          <w:color w:val="000000"/>
          <w:sz w:val="32"/>
          <w:szCs w:val="32"/>
          <w:lang w:eastAsia="zh-CN"/>
        </w:rPr>
        <w:t>：</w:t>
      </w:r>
      <w:r>
        <w:rPr>
          <w:rStyle w:val="17"/>
          <w:rFonts w:hint="eastAsia" w:ascii="仿宋" w:hAnsi="仿宋" w:eastAsia="仿宋"/>
          <w:b w:val="0"/>
          <w:bCs/>
          <w:color w:val="000000"/>
          <w:sz w:val="32"/>
          <w:szCs w:val="32"/>
        </w:rPr>
        <w:t>支出决算为</w:t>
      </w:r>
      <w:r>
        <w:rPr>
          <w:rStyle w:val="17"/>
          <w:rFonts w:hint="eastAsia" w:ascii="仿宋" w:hAnsi="仿宋" w:eastAsia="仿宋"/>
          <w:b w:val="0"/>
          <w:bCs/>
          <w:color w:val="000000"/>
          <w:sz w:val="32"/>
          <w:szCs w:val="32"/>
          <w:lang w:val="en-US" w:eastAsia="zh-CN"/>
        </w:rPr>
        <w:t>42.08</w:t>
      </w:r>
      <w:r>
        <w:rPr>
          <w:rStyle w:val="17"/>
          <w:rFonts w:hint="eastAsia" w:ascii="仿宋" w:hAnsi="仿宋" w:eastAsia="仿宋"/>
          <w:b w:val="0"/>
          <w:bCs/>
          <w:color w:val="000000"/>
          <w:sz w:val="32"/>
          <w:szCs w:val="32"/>
        </w:rPr>
        <w:t>万元，完成预算100</w:t>
      </w:r>
      <w:r>
        <w:rPr>
          <w:rStyle w:val="17"/>
          <w:rFonts w:ascii="仿宋" w:hAnsi="仿宋" w:eastAsia="仿宋"/>
          <w:b w:val="0"/>
          <w:bCs/>
          <w:color w:val="000000"/>
          <w:sz w:val="32"/>
          <w:szCs w:val="32"/>
        </w:rPr>
        <w:t>%</w:t>
      </w:r>
      <w:r>
        <w:rPr>
          <w:rStyle w:val="17"/>
          <w:rFonts w:hint="eastAsia" w:ascii="仿宋" w:hAnsi="仿宋" w:eastAsia="仿宋"/>
          <w:b w:val="0"/>
          <w:bCs/>
          <w:color w:val="000000"/>
          <w:sz w:val="32"/>
          <w:szCs w:val="32"/>
        </w:rPr>
        <w:t>.</w:t>
      </w:r>
    </w:p>
    <w:p w14:paraId="6892283E">
      <w:pPr>
        <w:spacing w:line="600" w:lineRule="exact"/>
        <w:ind w:firstLine="640"/>
        <w:rPr>
          <w:rFonts w:ascii="仿宋" w:hAnsi="仿宋" w:eastAsia="仿宋"/>
          <w:b/>
          <w:sz w:val="32"/>
          <w:szCs w:val="32"/>
        </w:rPr>
      </w:pPr>
    </w:p>
    <w:p w14:paraId="689474FC">
      <w:pPr>
        <w:tabs>
          <w:tab w:val="right" w:pos="8306"/>
        </w:tabs>
        <w:spacing w:line="600" w:lineRule="exact"/>
        <w:ind w:firstLine="640"/>
        <w:outlineLvl w:val="1"/>
        <w:rPr>
          <w:rStyle w:val="29"/>
        </w:rPr>
      </w:pPr>
      <w:bookmarkStart w:id="34" w:name="_Toc15377214"/>
      <w:bookmarkStart w:id="35" w:name="_Toc15396608"/>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29"/>
          <w:rFonts w:hint="eastAsia" w:ascii="黑体" w:hAnsi="黑体" w:eastAsia="黑体"/>
          <w:b w:val="0"/>
        </w:rPr>
        <w:t>般公共预算财政拨款基本支出决算情况说明</w:t>
      </w:r>
      <w:bookmarkEnd w:id="34"/>
      <w:bookmarkEnd w:id="35"/>
      <w:r>
        <w:rPr>
          <w:rStyle w:val="29"/>
          <w:rFonts w:ascii="黑体" w:hAnsi="黑体" w:eastAsia="黑体"/>
          <w:b w:val="0"/>
        </w:rPr>
        <w:tab/>
      </w:r>
    </w:p>
    <w:p w14:paraId="76AA1B7F">
      <w:pPr>
        <w:spacing w:line="600" w:lineRule="exact"/>
        <w:ind w:firstLine="645"/>
        <w:rPr>
          <w:rFonts w:ascii="仿宋" w:hAnsi="仿宋" w:eastAsia="仿宋"/>
          <w:sz w:val="32"/>
          <w:szCs w:val="32"/>
        </w:rPr>
      </w:pPr>
      <w:r>
        <w:rPr>
          <w:rFonts w:hint="eastAsia" w:ascii="仿宋" w:hAnsi="仿宋" w:eastAsia="仿宋"/>
          <w:sz w:val="32"/>
          <w:szCs w:val="32"/>
        </w:rPr>
        <w:t>2023年度一般公共预算财政拨款基本支出</w:t>
      </w:r>
      <w:r>
        <w:rPr>
          <w:rFonts w:ascii="仿宋" w:hAnsi="仿宋" w:eastAsia="仿宋"/>
          <w:b/>
          <w:sz w:val="32"/>
          <w:szCs w:val="32"/>
        </w:rPr>
        <w:t>611.2</w:t>
      </w:r>
      <w:r>
        <w:rPr>
          <w:rFonts w:hint="eastAsia" w:ascii="仿宋" w:hAnsi="仿宋" w:eastAsia="仿宋"/>
          <w:b/>
          <w:sz w:val="32"/>
          <w:szCs w:val="32"/>
          <w:lang w:val="en-US" w:eastAsia="zh-CN"/>
        </w:rPr>
        <w:t>1</w:t>
      </w:r>
      <w:r>
        <w:rPr>
          <w:rFonts w:hint="eastAsia" w:ascii="仿宋" w:hAnsi="仿宋" w:eastAsia="仿宋"/>
          <w:sz w:val="32"/>
          <w:szCs w:val="32"/>
        </w:rPr>
        <w:t>万元，其中：</w:t>
      </w:r>
    </w:p>
    <w:p w14:paraId="0E372CD7">
      <w:pPr>
        <w:spacing w:line="600" w:lineRule="exact"/>
        <w:ind w:firstLine="645"/>
        <w:rPr>
          <w:rFonts w:hint="eastAsia" w:ascii="仿宋" w:hAnsi="仿宋" w:eastAsia="仿宋"/>
          <w:color w:val="000000"/>
          <w:sz w:val="32"/>
          <w:szCs w:val="32"/>
          <w:lang w:eastAsia="zh-CN"/>
        </w:rPr>
      </w:pPr>
      <w:r>
        <w:rPr>
          <w:rFonts w:hint="eastAsia" w:ascii="仿宋" w:hAnsi="仿宋" w:eastAsia="仿宋"/>
          <w:sz w:val="32"/>
          <w:szCs w:val="32"/>
        </w:rPr>
        <w:t>人员经费</w:t>
      </w:r>
      <w:r>
        <w:rPr>
          <w:rFonts w:ascii="仿宋" w:hAnsi="仿宋" w:eastAsia="仿宋"/>
          <w:b/>
          <w:sz w:val="32"/>
          <w:szCs w:val="32"/>
        </w:rPr>
        <w:t>590.6</w:t>
      </w:r>
      <w:r>
        <w:rPr>
          <w:rFonts w:hint="eastAsia" w:ascii="仿宋" w:hAnsi="仿宋" w:eastAsia="仿宋"/>
          <w:sz w:val="32"/>
          <w:szCs w:val="32"/>
        </w:rPr>
        <w:t>万元，主要包括：</w:t>
      </w:r>
      <w:r>
        <w:rPr>
          <w:rFonts w:hint="eastAsia" w:ascii="仿宋" w:hAnsi="仿宋" w:eastAsia="仿宋"/>
          <w:color w:val="auto"/>
          <w:sz w:val="32"/>
          <w:szCs w:val="32"/>
          <w:highlight w:val="none"/>
        </w:rPr>
        <w:t>基本工资、津贴补贴、伙食补助费、绩效工资、机关事业单位基本养老保险缴费、职业年金缴费、职工基本医疗保险缴费</w:t>
      </w:r>
      <w:r>
        <w:rPr>
          <w:rFonts w:hint="eastAsia" w:ascii="仿宋" w:hAnsi="仿宋" w:eastAsia="仿宋"/>
          <w:color w:val="auto"/>
          <w:sz w:val="32"/>
          <w:szCs w:val="32"/>
          <w:highlight w:val="none"/>
          <w:lang w:eastAsia="zh-CN"/>
        </w:rPr>
        <w:t>、公务员医疗补助缴费、</w:t>
      </w:r>
      <w:r>
        <w:rPr>
          <w:rFonts w:hint="eastAsia" w:ascii="仿宋" w:hAnsi="仿宋" w:eastAsia="仿宋"/>
          <w:color w:val="auto"/>
          <w:sz w:val="32"/>
          <w:szCs w:val="32"/>
          <w:highlight w:val="none"/>
        </w:rPr>
        <w:t>其他社会保障缴费、住房公积金</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其他工资福利支出等</w:t>
      </w:r>
      <w:r>
        <w:rPr>
          <w:rFonts w:hint="eastAsia" w:ascii="仿宋" w:hAnsi="仿宋" w:eastAsia="仿宋"/>
          <w:color w:val="auto"/>
          <w:sz w:val="32"/>
          <w:szCs w:val="32"/>
          <w:highlight w:val="none"/>
          <w:lang w:eastAsia="zh-CN"/>
        </w:rPr>
        <w:t>。</w:t>
      </w:r>
    </w:p>
    <w:p w14:paraId="22D0C2BD">
      <w:pPr>
        <w:spacing w:line="600" w:lineRule="exact"/>
        <w:ind w:firstLine="640"/>
        <w:rPr>
          <w:rFonts w:hint="eastAsia" w:ascii="仿宋" w:hAnsi="仿宋" w:eastAsia="仿宋"/>
          <w:b/>
          <w:sz w:val="32"/>
          <w:szCs w:val="32"/>
          <w:lang w:eastAsia="zh-CN"/>
        </w:rPr>
      </w:pPr>
      <w:r>
        <w:rPr>
          <w:rFonts w:hint="eastAsia" w:ascii="仿宋" w:hAnsi="仿宋" w:eastAsia="仿宋"/>
          <w:sz w:val="32"/>
          <w:szCs w:val="32"/>
        </w:rPr>
        <w:t>公用经费</w:t>
      </w:r>
      <w:r>
        <w:rPr>
          <w:rFonts w:ascii="仿宋" w:hAnsi="仿宋" w:eastAsia="仿宋"/>
          <w:b/>
          <w:sz w:val="32"/>
          <w:szCs w:val="32"/>
        </w:rPr>
        <w:t>20.61</w:t>
      </w:r>
      <w:r>
        <w:rPr>
          <w:rFonts w:hint="eastAsia" w:ascii="仿宋" w:hAnsi="仿宋" w:eastAsia="仿宋"/>
          <w:sz w:val="32"/>
          <w:szCs w:val="32"/>
        </w:rPr>
        <w:t>万元，主要包括：</w:t>
      </w:r>
      <w:r>
        <w:rPr>
          <w:rFonts w:hint="eastAsia" w:ascii="仿宋" w:hAnsi="仿宋" w:eastAsia="仿宋"/>
          <w:color w:val="auto"/>
          <w:sz w:val="32"/>
          <w:szCs w:val="32"/>
          <w:highlight w:val="none"/>
          <w:lang w:eastAsia="zh-CN"/>
        </w:rPr>
        <w:t>办公费、电费、邮电费、差旅费、培训费、工会经费、福利费、劳务费、其他商品和服务支出</w:t>
      </w:r>
      <w:r>
        <w:rPr>
          <w:rFonts w:hint="eastAsia" w:ascii="仿宋" w:hAnsi="仿宋" w:eastAsia="仿宋"/>
          <w:color w:val="auto"/>
          <w:sz w:val="32"/>
          <w:szCs w:val="32"/>
          <w:highlight w:val="none"/>
        </w:rPr>
        <w:t>等</w:t>
      </w:r>
      <w:r>
        <w:rPr>
          <w:rFonts w:hint="eastAsia" w:ascii="仿宋" w:hAnsi="仿宋" w:eastAsia="仿宋"/>
          <w:color w:val="auto"/>
          <w:sz w:val="32"/>
          <w:szCs w:val="32"/>
          <w:highlight w:val="none"/>
          <w:lang w:eastAsia="zh-CN"/>
        </w:rPr>
        <w:t>。</w:t>
      </w:r>
    </w:p>
    <w:p w14:paraId="26E547DA">
      <w:pPr>
        <w:spacing w:line="600" w:lineRule="exact"/>
        <w:ind w:firstLine="640" w:firstLineChars="200"/>
        <w:outlineLvl w:val="1"/>
        <w:rPr>
          <w:rStyle w:val="29"/>
          <w:rFonts w:ascii="黑体" w:hAnsi="黑体" w:eastAsia="黑体"/>
          <w:b w:val="0"/>
        </w:rPr>
      </w:pPr>
      <w:bookmarkStart w:id="36" w:name="_Toc15377215"/>
      <w:bookmarkStart w:id="37" w:name="_Toc15396609"/>
      <w:r>
        <w:rPr>
          <w:rFonts w:hint="eastAsia" w:ascii="黑体" w:eastAsia="黑体"/>
          <w:sz w:val="32"/>
          <w:szCs w:val="32"/>
        </w:rPr>
        <w:t>七、</w:t>
      </w:r>
      <w:r>
        <w:rPr>
          <w:rStyle w:val="29"/>
          <w:rFonts w:hint="eastAsia" w:ascii="黑体" w:hAnsi="黑体" w:eastAsia="黑体"/>
          <w:b w:val="0"/>
        </w:rPr>
        <w:t>财政拨款</w:t>
      </w:r>
      <w:r>
        <w:rPr>
          <w:rStyle w:val="29"/>
          <w:rFonts w:hint="eastAsia" w:ascii="黑体" w:hAnsi="黑体" w:eastAsia="黑体"/>
        </w:rPr>
        <w:t>“</w:t>
      </w:r>
      <w:r>
        <w:rPr>
          <w:rStyle w:val="29"/>
          <w:rFonts w:hint="eastAsia" w:ascii="黑体" w:hAnsi="黑体" w:eastAsia="黑体"/>
          <w:b w:val="0"/>
        </w:rPr>
        <w:t>三公”经费支出决算情况说明</w:t>
      </w:r>
      <w:bookmarkEnd w:id="36"/>
      <w:bookmarkEnd w:id="37"/>
    </w:p>
    <w:p w14:paraId="4DD57F3C">
      <w:pPr>
        <w:spacing w:line="600" w:lineRule="exact"/>
        <w:ind w:firstLine="640"/>
        <w:outlineLvl w:val="2"/>
        <w:rPr>
          <w:rFonts w:ascii="仿宋" w:hAnsi="仿宋" w:eastAsia="仿宋"/>
          <w:b/>
          <w:sz w:val="32"/>
          <w:szCs w:val="32"/>
        </w:rPr>
      </w:pPr>
      <w:bookmarkStart w:id="38" w:name="_Toc15377216"/>
      <w:r>
        <w:rPr>
          <w:rFonts w:hint="eastAsia" w:ascii="仿宋" w:hAnsi="仿宋" w:eastAsia="仿宋"/>
          <w:b/>
          <w:sz w:val="32"/>
          <w:szCs w:val="32"/>
        </w:rPr>
        <w:t>（一）“三公”经费财政拨款支出决算总体情况说明</w:t>
      </w:r>
      <w:bookmarkEnd w:id="38"/>
    </w:p>
    <w:p w14:paraId="0EF6A308">
      <w:pPr>
        <w:spacing w:line="600" w:lineRule="exact"/>
        <w:ind w:firstLine="640"/>
        <w:rPr>
          <w:rFonts w:ascii="仿宋" w:hAnsi="仿宋" w:eastAsia="仿宋"/>
          <w:sz w:val="32"/>
          <w:szCs w:val="32"/>
        </w:rPr>
      </w:pPr>
      <w:r>
        <w:rPr>
          <w:rFonts w:hint="eastAsia" w:ascii="仿宋" w:hAnsi="仿宋" w:eastAsia="仿宋"/>
          <w:sz w:val="32"/>
          <w:szCs w:val="32"/>
        </w:rPr>
        <w:t>2023年度“三公”经费财政拨款支出决算为</w:t>
      </w:r>
      <w:r>
        <w:rPr>
          <w:rFonts w:ascii="仿宋" w:hAnsi="仿宋" w:eastAsia="仿宋"/>
          <w:b/>
          <w:sz w:val="32"/>
          <w:szCs w:val="32"/>
        </w:rPr>
        <w:t>0</w:t>
      </w:r>
      <w:r>
        <w:rPr>
          <w:rFonts w:hint="eastAsia" w:ascii="仿宋" w:hAnsi="仿宋" w:eastAsia="仿宋"/>
          <w:sz w:val="32"/>
          <w:szCs w:val="32"/>
        </w:rPr>
        <w:t>万元，完成预算</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，较上年度减少</w:t>
      </w:r>
      <w:r>
        <w:rPr>
          <w:rFonts w:hint="eastAsia" w:ascii="仿宋" w:hAnsi="仿宋" w:eastAsia="仿宋"/>
          <w:sz w:val="32"/>
          <w:szCs w:val="32"/>
          <w:lang w:val="en-US" w:eastAsia="zh-CN"/>
        </w:rPr>
        <w:t>0.26</w:t>
      </w:r>
      <w:r>
        <w:rPr>
          <w:rFonts w:hint="eastAsia" w:ascii="仿宋" w:hAnsi="仿宋" w:eastAsia="仿宋"/>
          <w:sz w:val="32"/>
          <w:szCs w:val="32"/>
        </w:rPr>
        <w:t>万元，下降</w:t>
      </w:r>
      <w:r>
        <w:rPr>
          <w:rFonts w:hint="eastAsia" w:ascii="仿宋" w:hAnsi="仿宋" w:eastAsia="仿宋"/>
          <w:sz w:val="32"/>
          <w:szCs w:val="32"/>
          <w:lang w:val="en-US" w:eastAsia="zh-CN"/>
        </w:rPr>
        <w:t>100</w:t>
      </w:r>
      <w:r>
        <w:rPr>
          <w:rFonts w:hint="eastAsia" w:ascii="仿宋" w:hAnsi="仿宋" w:eastAsia="仿宋"/>
          <w:sz w:val="32"/>
          <w:szCs w:val="32"/>
        </w:rPr>
        <w:t>%。决算数小于预算数的主要原因是</w:t>
      </w:r>
      <w:r>
        <w:rPr>
          <w:rFonts w:hint="eastAsia" w:ascii="仿宋" w:hAnsi="仿宋" w:eastAsia="仿宋"/>
          <w:sz w:val="32"/>
          <w:szCs w:val="32"/>
          <w:lang w:eastAsia="zh-CN"/>
        </w:rPr>
        <w:t>本年无“三公”经费预算</w:t>
      </w:r>
      <w:r>
        <w:rPr>
          <w:rFonts w:hint="eastAsia" w:ascii="仿宋" w:hAnsi="仿宋" w:eastAsia="仿宋"/>
          <w:sz w:val="32"/>
          <w:szCs w:val="32"/>
        </w:rPr>
        <w:t>。</w:t>
      </w:r>
    </w:p>
    <w:p w14:paraId="2E9B2EF2">
      <w:pPr>
        <w:spacing w:line="600" w:lineRule="exact"/>
        <w:ind w:firstLine="640"/>
        <w:outlineLvl w:val="2"/>
        <w:rPr>
          <w:rFonts w:ascii="仿宋" w:hAnsi="仿宋" w:eastAsia="仿宋"/>
          <w:b/>
          <w:sz w:val="32"/>
          <w:szCs w:val="32"/>
        </w:rPr>
      </w:pPr>
      <w:bookmarkStart w:id="39" w:name="_Toc15377217"/>
      <w:r>
        <w:rPr>
          <w:rFonts w:hint="eastAsia" w:ascii="仿宋" w:hAnsi="仿宋" w:eastAsia="仿宋"/>
          <w:b/>
          <w:sz w:val="32"/>
          <w:szCs w:val="32"/>
        </w:rPr>
        <w:t>（二）“三公”经费财政拨款支出决算具体情况说明</w:t>
      </w:r>
      <w:bookmarkEnd w:id="39"/>
    </w:p>
    <w:p w14:paraId="1B91164A">
      <w:pPr>
        <w:spacing w:line="600" w:lineRule="exact"/>
        <w:ind w:firstLine="640"/>
        <w:rPr>
          <w:rFonts w:ascii="仿宋" w:hAnsi="仿宋" w:eastAsia="仿宋"/>
          <w:sz w:val="32"/>
          <w:szCs w:val="32"/>
        </w:rPr>
      </w:pPr>
      <w:r>
        <w:rPr>
          <w:rFonts w:hint="eastAsia" w:ascii="仿宋" w:hAnsi="仿宋" w:eastAsia="仿宋"/>
          <w:sz w:val="32"/>
          <w:szCs w:val="32"/>
        </w:rPr>
        <w:t>2023年度“三公”经费财政拨款支出决算中，因公出国（境）费支出决算</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；公务用车购置及运行维护费支出决算</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；公务接待费支出决算</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。具体情况如下：</w:t>
      </w:r>
    </w:p>
    <w:p w14:paraId="54F8E75F">
      <w:pPr>
        <w:spacing w:line="600" w:lineRule="exact"/>
        <w:ind w:firstLine="640"/>
        <w:rPr>
          <w:rFonts w:ascii="仿宋_GB2312" w:eastAsia="仿宋_GB2312"/>
          <w:b/>
          <w:sz w:val="32"/>
          <w:szCs w:val="32"/>
        </w:rPr>
      </w:pPr>
      <w:bookmarkStart w:id="40" w:name="_Toc15396610"/>
      <w:bookmarkStart w:id="41" w:name="_Toc15377218"/>
      <w:r>
        <w:drawing>
          <wp:anchor distT="0" distB="0" distL="114300" distR="114300" simplePos="0" relativeHeight="251665408" behindDoc="0" locked="0" layoutInCell="1" allowOverlap="1">
            <wp:simplePos x="0" y="0"/>
            <wp:positionH relativeFrom="column">
              <wp:posOffset>125730</wp:posOffset>
            </wp:positionH>
            <wp:positionV relativeFrom="paragraph">
              <wp:posOffset>137795</wp:posOffset>
            </wp:positionV>
            <wp:extent cx="5008880" cy="2149475"/>
            <wp:effectExtent l="5080" t="4445" r="15240" b="17780"/>
            <wp:wrapSquare wrapText="bothSides"/>
            <wp:docPr id="17"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4381ECF1">
      <w:pPr>
        <w:spacing w:line="600" w:lineRule="exact"/>
        <w:ind w:firstLine="640"/>
        <w:rPr>
          <w:rFonts w:ascii="仿宋_GB2312" w:eastAsia="仿宋_GB2312"/>
          <w:b/>
          <w:sz w:val="32"/>
          <w:szCs w:val="32"/>
        </w:rPr>
      </w:pPr>
    </w:p>
    <w:p w14:paraId="20E3F589">
      <w:pPr>
        <w:spacing w:line="600" w:lineRule="exact"/>
        <w:ind w:firstLine="640"/>
        <w:rPr>
          <w:rFonts w:ascii="仿宋_GB2312" w:eastAsia="仿宋_GB2312"/>
          <w:sz w:val="32"/>
          <w:szCs w:val="32"/>
        </w:rPr>
      </w:pPr>
      <w:r>
        <w:rPr>
          <w:rFonts w:ascii="仿宋_GB2312" w:eastAsia="仿宋_GB2312"/>
          <w:b/>
          <w:sz w:val="32"/>
          <w:szCs w:val="32"/>
        </w:rPr>
        <w:t>1.</w:t>
      </w:r>
      <w:r>
        <w:rPr>
          <w:rFonts w:hint="eastAsia" w:ascii="仿宋_GB2312" w:eastAsia="仿宋_GB2312"/>
          <w:b/>
          <w:sz w:val="32"/>
          <w:szCs w:val="32"/>
        </w:rPr>
        <w:t>因公出国（境）经费支出</w:t>
      </w:r>
      <w:r>
        <w:rPr>
          <w:rFonts w:ascii="仿宋" w:hAnsi="仿宋" w:eastAsia="仿宋"/>
          <w:b/>
          <w:sz w:val="32"/>
          <w:szCs w:val="32"/>
        </w:rPr>
        <w:t>0</w:t>
      </w:r>
      <w:r>
        <w:rPr>
          <w:rFonts w:hint="eastAsia" w:ascii="仿宋_GB2312" w:eastAsia="仿宋_GB2312"/>
          <w:sz w:val="32"/>
          <w:szCs w:val="32"/>
        </w:rPr>
        <w:t>万元，</w:t>
      </w:r>
      <w:r>
        <w:rPr>
          <w:rStyle w:val="17"/>
          <w:rFonts w:hint="eastAsia" w:ascii="仿宋" w:hAnsi="仿宋" w:eastAsia="仿宋"/>
          <w:b w:val="0"/>
          <w:bCs/>
          <w:sz w:val="32"/>
          <w:szCs w:val="32"/>
        </w:rPr>
        <w:t>完成预算</w:t>
      </w:r>
      <w:r>
        <w:rPr>
          <w:rStyle w:val="17"/>
          <w:rFonts w:ascii="仿宋" w:hAnsi="仿宋" w:eastAsia="仿宋"/>
          <w:bCs/>
          <w:sz w:val="32"/>
          <w:szCs w:val="32"/>
        </w:rPr>
        <w:t>0</w:t>
      </w:r>
      <w:r>
        <w:rPr>
          <w:rStyle w:val="17"/>
          <w:rFonts w:ascii="仿宋" w:hAnsi="仿宋" w:eastAsia="仿宋"/>
          <w:b w:val="0"/>
          <w:bCs/>
          <w:sz w:val="32"/>
          <w:szCs w:val="32"/>
        </w:rPr>
        <w:t>%</w:t>
      </w:r>
      <w:r>
        <w:rPr>
          <w:rStyle w:val="17"/>
          <w:rFonts w:hint="eastAsia" w:ascii="仿宋" w:hAnsi="仿宋" w:eastAsia="仿宋"/>
          <w:b w:val="0"/>
          <w:bCs/>
          <w:sz w:val="32"/>
          <w:szCs w:val="32"/>
        </w:rPr>
        <w:t>。</w:t>
      </w:r>
      <w:r>
        <w:rPr>
          <w:rFonts w:hint="eastAsia" w:ascii="仿宋_GB2312" w:eastAsia="仿宋_GB2312"/>
          <w:sz w:val="32"/>
          <w:szCs w:val="32"/>
        </w:rPr>
        <w:t>全年安排因公出国（境）团组</w:t>
      </w:r>
      <w:r>
        <w:rPr>
          <w:rFonts w:ascii="仿宋_GB2312" w:eastAsia="仿宋_GB2312"/>
          <w:b/>
          <w:sz w:val="32"/>
          <w:szCs w:val="32"/>
        </w:rPr>
        <w:t>0</w:t>
      </w:r>
      <w:r>
        <w:rPr>
          <w:rFonts w:hint="eastAsia" w:ascii="仿宋_GB2312" w:eastAsia="仿宋_GB2312"/>
          <w:sz w:val="32"/>
          <w:szCs w:val="32"/>
        </w:rPr>
        <w:t>次，出国（境）</w:t>
      </w:r>
      <w:r>
        <w:rPr>
          <w:rFonts w:ascii="仿宋_GB2312" w:eastAsia="仿宋_GB2312"/>
          <w:b/>
          <w:sz w:val="32"/>
          <w:szCs w:val="32"/>
        </w:rPr>
        <w:t>0</w:t>
      </w:r>
      <w:r>
        <w:rPr>
          <w:rFonts w:hint="eastAsia" w:ascii="仿宋_GB2312" w:eastAsia="仿宋_GB2312"/>
          <w:sz w:val="32"/>
          <w:szCs w:val="32"/>
        </w:rPr>
        <w:t>人。因公出国（境）支出决算比2022年增加</w:t>
      </w:r>
      <w:r>
        <w:rPr>
          <w:rFonts w:hint="eastAsia" w:ascii="仿宋_GB2312" w:eastAsia="仿宋_GB2312"/>
          <w:sz w:val="32"/>
          <w:szCs w:val="32"/>
          <w:lang w:val="en-US" w:eastAsia="zh-CN"/>
        </w:rPr>
        <w:t>0</w:t>
      </w:r>
      <w:r>
        <w:rPr>
          <w:rFonts w:hint="eastAsia" w:ascii="仿宋_GB2312" w:eastAsia="仿宋_GB2312"/>
          <w:sz w:val="32"/>
          <w:szCs w:val="32"/>
        </w:rPr>
        <w:t>万元，增长</w:t>
      </w:r>
      <w:r>
        <w:rPr>
          <w:rFonts w:hint="eastAsia" w:ascii="仿宋_GB2312" w:eastAsia="仿宋_GB2312"/>
          <w:sz w:val="32"/>
          <w:szCs w:val="32"/>
          <w:lang w:val="en-US" w:eastAsia="zh-CN"/>
        </w:rPr>
        <w:t>0</w:t>
      </w:r>
      <w:r>
        <w:rPr>
          <w:rFonts w:ascii="仿宋_GB2312" w:eastAsia="仿宋_GB2312"/>
          <w:sz w:val="32"/>
          <w:szCs w:val="32"/>
        </w:rPr>
        <w:t>%</w:t>
      </w:r>
      <w:r>
        <w:rPr>
          <w:rFonts w:hint="eastAsia" w:ascii="仿宋_GB2312" w:eastAsia="仿宋_GB2312"/>
          <w:sz w:val="32"/>
          <w:szCs w:val="32"/>
        </w:rPr>
        <w:t>。</w:t>
      </w:r>
    </w:p>
    <w:p w14:paraId="1A810381">
      <w:pPr>
        <w:spacing w:line="600" w:lineRule="exact"/>
        <w:ind w:firstLine="64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rFonts w:ascii="仿宋" w:hAnsi="仿宋" w:eastAsia="仿宋"/>
          <w:b/>
          <w:sz w:val="32"/>
          <w:szCs w:val="32"/>
        </w:rPr>
        <w:t>0</w:t>
      </w:r>
      <w:r>
        <w:rPr>
          <w:rFonts w:hint="eastAsia" w:ascii="仿宋_GB2312" w:eastAsia="仿宋_GB2312"/>
          <w:sz w:val="32"/>
          <w:szCs w:val="32"/>
        </w:rPr>
        <w:t>万元</w:t>
      </w:r>
      <w:r>
        <w:rPr>
          <w:rFonts w:hint="eastAsia" w:ascii="仿宋_GB2312" w:eastAsia="仿宋_GB2312"/>
          <w:sz w:val="32"/>
          <w:szCs w:val="32"/>
          <w:lang w:eastAsia="zh-CN"/>
        </w:rPr>
        <w:t>，</w:t>
      </w:r>
      <w:bookmarkStart w:id="71" w:name="_GoBack"/>
      <w:bookmarkEnd w:id="71"/>
      <w:r>
        <w:rPr>
          <w:rStyle w:val="17"/>
          <w:rFonts w:hint="eastAsia" w:ascii="仿宋" w:hAnsi="仿宋" w:eastAsia="仿宋"/>
          <w:b w:val="0"/>
          <w:bCs/>
          <w:sz w:val="32"/>
          <w:szCs w:val="32"/>
        </w:rPr>
        <w:t>完成预算</w:t>
      </w:r>
      <w:r>
        <w:rPr>
          <w:rStyle w:val="17"/>
          <w:rFonts w:ascii="仿宋" w:hAnsi="仿宋" w:eastAsia="仿宋"/>
          <w:bCs/>
          <w:sz w:val="32"/>
          <w:szCs w:val="32"/>
        </w:rPr>
        <w:t>0</w:t>
      </w:r>
      <w:r>
        <w:rPr>
          <w:rStyle w:val="17"/>
          <w:rFonts w:ascii="仿宋" w:hAnsi="仿宋" w:eastAsia="仿宋"/>
          <w:b w:val="0"/>
          <w:bCs/>
          <w:sz w:val="32"/>
          <w:szCs w:val="32"/>
        </w:rPr>
        <w:t>%</w:t>
      </w:r>
      <w:r>
        <w:rPr>
          <w:rStyle w:val="17"/>
          <w:rFonts w:hint="eastAsia" w:ascii="仿宋" w:hAnsi="仿宋" w:eastAsia="仿宋"/>
          <w:b w:val="0"/>
          <w:bCs/>
          <w:sz w:val="32"/>
          <w:szCs w:val="32"/>
        </w:rPr>
        <w:t>。</w:t>
      </w:r>
      <w:r>
        <w:rPr>
          <w:rFonts w:hint="eastAsia" w:ascii="仿宋_GB2312" w:eastAsia="仿宋_GB2312"/>
          <w:sz w:val="32"/>
          <w:szCs w:val="32"/>
        </w:rPr>
        <w:t>公务用车购置及运行维护费支出决算比2022年度减少</w:t>
      </w:r>
      <w:r>
        <w:rPr>
          <w:rFonts w:hint="eastAsia" w:ascii="仿宋_GB2312" w:eastAsia="仿宋_GB2312"/>
          <w:sz w:val="32"/>
          <w:szCs w:val="32"/>
          <w:lang w:val="en-US" w:eastAsia="zh-CN"/>
        </w:rPr>
        <w:t>0</w:t>
      </w:r>
      <w:r>
        <w:rPr>
          <w:rFonts w:hint="eastAsia" w:ascii="仿宋_GB2312" w:eastAsia="仿宋_GB2312"/>
          <w:sz w:val="32"/>
          <w:szCs w:val="32"/>
        </w:rPr>
        <w:t>万元，下降</w:t>
      </w:r>
      <w:r>
        <w:rPr>
          <w:rFonts w:hint="eastAsia" w:ascii="仿宋_GB2312" w:eastAsia="仿宋_GB2312"/>
          <w:sz w:val="32"/>
          <w:szCs w:val="32"/>
          <w:lang w:val="en-US" w:eastAsia="zh-CN"/>
        </w:rPr>
        <w:t>0</w:t>
      </w:r>
      <w:r>
        <w:rPr>
          <w:rFonts w:ascii="仿宋_GB2312" w:eastAsia="仿宋_GB2312"/>
          <w:sz w:val="32"/>
          <w:szCs w:val="32"/>
        </w:rPr>
        <w:t>%</w:t>
      </w:r>
      <w:r>
        <w:rPr>
          <w:rFonts w:hint="eastAsia" w:ascii="仿宋_GB2312" w:eastAsia="仿宋_GB2312"/>
          <w:sz w:val="32"/>
          <w:szCs w:val="32"/>
        </w:rPr>
        <w:t>。</w:t>
      </w:r>
    </w:p>
    <w:p w14:paraId="65E5DC2C">
      <w:pPr>
        <w:spacing w:line="600"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rFonts w:ascii="仿宋" w:hAnsi="仿宋" w:eastAsia="仿宋"/>
          <w:b/>
          <w:sz w:val="32"/>
          <w:szCs w:val="32"/>
        </w:rPr>
        <w:t>0</w:t>
      </w:r>
      <w:r>
        <w:rPr>
          <w:rFonts w:hint="eastAsia" w:ascii="仿宋_GB2312" w:eastAsia="仿宋_GB2312"/>
          <w:sz w:val="32"/>
          <w:szCs w:val="32"/>
        </w:rPr>
        <w:t>万元。全年按规定更新购置公务用车</w:t>
      </w:r>
      <w:r>
        <w:rPr>
          <w:rFonts w:hint="eastAsia" w:ascii="仿宋_GB2312" w:eastAsia="仿宋_GB2312"/>
          <w:sz w:val="32"/>
          <w:szCs w:val="32"/>
          <w:lang w:val="en-US" w:eastAsia="zh-CN"/>
        </w:rPr>
        <w:t>0</w:t>
      </w:r>
      <w:r>
        <w:rPr>
          <w:rFonts w:hint="eastAsia" w:ascii="仿宋_GB2312" w:eastAsia="仿宋_GB2312"/>
          <w:sz w:val="32"/>
          <w:szCs w:val="32"/>
        </w:rPr>
        <w:t>辆，其中：轿车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万元，越野车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万元，载客汽车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万元。截至2023年</w:t>
      </w:r>
      <w:r>
        <w:rPr>
          <w:rFonts w:ascii="仿宋_GB2312" w:eastAsia="仿宋_GB2312"/>
          <w:sz w:val="32"/>
          <w:szCs w:val="32"/>
        </w:rPr>
        <w:t>12</w:t>
      </w:r>
      <w:r>
        <w:rPr>
          <w:rFonts w:hint="eastAsia" w:ascii="仿宋_GB2312" w:eastAsia="仿宋_GB2312"/>
          <w:sz w:val="32"/>
          <w:szCs w:val="32"/>
        </w:rPr>
        <w:t>月31日，单位共有公务用车</w:t>
      </w:r>
      <w:r>
        <w:rPr>
          <w:rFonts w:hint="eastAsia" w:ascii="仿宋_GB2312" w:eastAsia="仿宋_GB2312"/>
          <w:sz w:val="32"/>
          <w:szCs w:val="32"/>
          <w:lang w:val="en-US" w:eastAsia="zh-CN"/>
        </w:rPr>
        <w:t>0</w:t>
      </w:r>
      <w:r>
        <w:rPr>
          <w:rFonts w:hint="eastAsia" w:ascii="仿宋_GB2312" w:eastAsia="仿宋_GB2312"/>
          <w:sz w:val="32"/>
          <w:szCs w:val="32"/>
        </w:rPr>
        <w:t>辆，其中：轿车</w:t>
      </w:r>
      <w:r>
        <w:rPr>
          <w:rFonts w:hint="eastAsia" w:ascii="仿宋_GB2312" w:eastAsia="仿宋_GB2312"/>
          <w:sz w:val="32"/>
          <w:szCs w:val="32"/>
          <w:lang w:val="en-US" w:eastAsia="zh-CN"/>
        </w:rPr>
        <w:t>0</w:t>
      </w:r>
      <w:r>
        <w:rPr>
          <w:rFonts w:hint="eastAsia" w:ascii="仿宋_GB2312" w:eastAsia="仿宋_GB2312"/>
          <w:sz w:val="32"/>
          <w:szCs w:val="32"/>
        </w:rPr>
        <w:t>辆、越野车</w:t>
      </w:r>
      <w:r>
        <w:rPr>
          <w:rFonts w:hint="eastAsia" w:ascii="仿宋_GB2312" w:eastAsia="仿宋_GB2312"/>
          <w:sz w:val="32"/>
          <w:szCs w:val="32"/>
          <w:lang w:val="en-US" w:eastAsia="zh-CN"/>
        </w:rPr>
        <w:t>0</w:t>
      </w:r>
      <w:r>
        <w:rPr>
          <w:rFonts w:hint="eastAsia" w:ascii="仿宋_GB2312" w:eastAsia="仿宋_GB2312"/>
          <w:sz w:val="32"/>
          <w:szCs w:val="32"/>
        </w:rPr>
        <w:t>辆、载客汽车</w:t>
      </w:r>
      <w:r>
        <w:rPr>
          <w:rFonts w:hint="eastAsia" w:ascii="仿宋_GB2312" w:eastAsia="仿宋_GB2312"/>
          <w:sz w:val="32"/>
          <w:szCs w:val="32"/>
          <w:lang w:val="en-US" w:eastAsia="zh-CN"/>
        </w:rPr>
        <w:t>0</w:t>
      </w:r>
      <w:r>
        <w:rPr>
          <w:rFonts w:hint="eastAsia" w:ascii="仿宋_GB2312" w:eastAsia="仿宋_GB2312"/>
          <w:sz w:val="32"/>
          <w:szCs w:val="32"/>
        </w:rPr>
        <w:t>辆。</w:t>
      </w:r>
    </w:p>
    <w:p w14:paraId="1AD3E4FD">
      <w:pPr>
        <w:spacing w:line="600" w:lineRule="exact"/>
        <w:ind w:firstLine="640"/>
        <w:rPr>
          <w:rFonts w:hint="eastAsia" w:ascii="仿宋_GB2312" w:eastAsia="仿宋_GB2312"/>
          <w:sz w:val="32"/>
          <w:szCs w:val="32"/>
        </w:rPr>
      </w:pPr>
      <w:r>
        <w:rPr>
          <w:rFonts w:hint="eastAsia" w:ascii="仿宋_GB2312" w:eastAsia="仿宋_GB2312"/>
          <w:b/>
          <w:sz w:val="32"/>
          <w:szCs w:val="32"/>
        </w:rPr>
        <w:t>公务用车运行维护费支出</w:t>
      </w:r>
      <w:r>
        <w:rPr>
          <w:rFonts w:ascii="仿宋" w:hAnsi="仿宋" w:eastAsia="仿宋"/>
          <w:b/>
          <w:sz w:val="32"/>
          <w:szCs w:val="32"/>
        </w:rPr>
        <w:t>0</w:t>
      </w:r>
      <w:r>
        <w:rPr>
          <w:rFonts w:hint="eastAsia" w:ascii="仿宋_GB2312" w:eastAsia="仿宋_GB2312"/>
          <w:sz w:val="32"/>
          <w:szCs w:val="32"/>
        </w:rPr>
        <w:t>万元。</w:t>
      </w:r>
    </w:p>
    <w:p w14:paraId="46987B7E">
      <w:pPr>
        <w:spacing w:line="600" w:lineRule="exact"/>
        <w:ind w:firstLine="640"/>
        <w:rPr>
          <w:rFonts w:ascii="仿宋_GB2312" w:eastAsia="仿宋_GB2312"/>
          <w:sz w:val="32"/>
          <w:szCs w:val="32"/>
        </w:rPr>
      </w:pPr>
      <w:r>
        <w:rPr>
          <w:rFonts w:ascii="仿宋_GB2312" w:eastAsia="仿宋_GB2312"/>
          <w:b/>
          <w:sz w:val="32"/>
          <w:szCs w:val="32"/>
        </w:rPr>
        <w:t>3.</w:t>
      </w:r>
      <w:r>
        <w:rPr>
          <w:rFonts w:hint="eastAsia" w:ascii="仿宋_GB2312" w:eastAsia="仿宋_GB2312"/>
          <w:b/>
          <w:sz w:val="32"/>
          <w:szCs w:val="32"/>
        </w:rPr>
        <w:t>公务接待费支出</w:t>
      </w:r>
      <w:r>
        <w:rPr>
          <w:rFonts w:ascii="仿宋" w:hAnsi="仿宋" w:eastAsia="仿宋"/>
          <w:b/>
          <w:sz w:val="32"/>
          <w:szCs w:val="32"/>
        </w:rPr>
        <w:t>0</w:t>
      </w:r>
      <w:r>
        <w:rPr>
          <w:rFonts w:hint="eastAsia" w:ascii="仿宋_GB2312" w:eastAsia="仿宋_GB2312"/>
          <w:sz w:val="32"/>
          <w:szCs w:val="32"/>
        </w:rPr>
        <w:t>万元，</w:t>
      </w:r>
      <w:r>
        <w:rPr>
          <w:rStyle w:val="17"/>
          <w:rFonts w:hint="eastAsia" w:ascii="仿宋" w:hAnsi="仿宋" w:eastAsia="仿宋"/>
          <w:b w:val="0"/>
          <w:bCs/>
          <w:sz w:val="32"/>
          <w:szCs w:val="32"/>
        </w:rPr>
        <w:t>完成预算</w:t>
      </w:r>
      <w:r>
        <w:rPr>
          <w:rStyle w:val="17"/>
          <w:rFonts w:ascii="仿宋" w:hAnsi="仿宋" w:eastAsia="仿宋"/>
          <w:b w:val="0"/>
          <w:bCs/>
          <w:sz w:val="32"/>
          <w:szCs w:val="32"/>
        </w:rPr>
        <w:t>0%</w:t>
      </w:r>
      <w:r>
        <w:rPr>
          <w:rStyle w:val="17"/>
          <w:rFonts w:hint="eastAsia" w:ascii="仿宋" w:hAnsi="仿宋" w:eastAsia="仿宋"/>
          <w:b w:val="0"/>
          <w:bCs/>
          <w:sz w:val="32"/>
          <w:szCs w:val="32"/>
        </w:rPr>
        <w:t>。</w:t>
      </w:r>
      <w:r>
        <w:rPr>
          <w:rFonts w:hint="eastAsia" w:ascii="仿宋_GB2312" w:eastAsia="仿宋_GB2312"/>
          <w:sz w:val="32"/>
          <w:szCs w:val="32"/>
        </w:rPr>
        <w:t>公务接待费支出决算比2022年度减少</w:t>
      </w:r>
      <w:r>
        <w:rPr>
          <w:rFonts w:hint="eastAsia" w:ascii="仿宋_GB2312" w:eastAsia="仿宋_GB2312"/>
          <w:sz w:val="32"/>
          <w:szCs w:val="32"/>
          <w:lang w:val="en-US" w:eastAsia="zh-CN"/>
        </w:rPr>
        <w:t>0.26</w:t>
      </w:r>
      <w:r>
        <w:rPr>
          <w:rFonts w:hint="eastAsia" w:ascii="仿宋_GB2312" w:eastAsia="仿宋_GB2312"/>
          <w:sz w:val="32"/>
          <w:szCs w:val="32"/>
        </w:rPr>
        <w:t>万元，下降</w:t>
      </w:r>
      <w:r>
        <w:rPr>
          <w:rFonts w:hint="eastAsia" w:ascii="仿宋_GB2312" w:eastAsia="仿宋_GB2312"/>
          <w:sz w:val="32"/>
          <w:szCs w:val="32"/>
          <w:lang w:val="en-US" w:eastAsia="zh-CN"/>
        </w:rPr>
        <w:t>100</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sz w:val="32"/>
          <w:szCs w:val="32"/>
          <w:lang w:eastAsia="zh-CN"/>
        </w:rPr>
        <w:t>本年无“三公”经费预算</w:t>
      </w:r>
      <w:r>
        <w:rPr>
          <w:rFonts w:hint="eastAsia" w:ascii="仿宋_GB2312" w:eastAsia="仿宋_GB2312"/>
          <w:sz w:val="32"/>
          <w:szCs w:val="32"/>
        </w:rPr>
        <w:t>。其中：</w:t>
      </w:r>
    </w:p>
    <w:p w14:paraId="17085156">
      <w:pPr>
        <w:spacing w:line="600" w:lineRule="exact"/>
        <w:ind w:firstLine="640"/>
        <w:rPr>
          <w:rFonts w:ascii="仿宋_GB2312" w:eastAsia="仿宋_GB2312"/>
          <w:sz w:val="32"/>
          <w:szCs w:val="32"/>
        </w:rPr>
      </w:pPr>
      <w:r>
        <w:rPr>
          <w:rFonts w:hint="eastAsia" w:ascii="仿宋" w:hAnsi="仿宋" w:eastAsia="仿宋"/>
          <w:b/>
          <w:sz w:val="32"/>
          <w:szCs w:val="32"/>
        </w:rPr>
        <w:t>国内公务接待支出</w:t>
      </w:r>
      <w:r>
        <w:rPr>
          <w:rFonts w:ascii="仿宋" w:hAnsi="仿宋" w:eastAsia="仿宋"/>
          <w:b/>
          <w:sz w:val="32"/>
          <w:szCs w:val="32"/>
        </w:rPr>
        <w:t>0</w:t>
      </w:r>
      <w:r>
        <w:rPr>
          <w:rFonts w:hint="eastAsia" w:ascii="仿宋_GB2312" w:eastAsia="仿宋_GB2312"/>
          <w:sz w:val="32"/>
          <w:szCs w:val="32"/>
        </w:rPr>
        <w:t>万元。国内公务接待</w:t>
      </w:r>
      <w:r>
        <w:rPr>
          <w:rFonts w:hint="eastAsia" w:ascii="仿宋_GB2312" w:eastAsia="仿宋_GB2312"/>
          <w:sz w:val="32"/>
          <w:szCs w:val="32"/>
          <w:lang w:val="en-US" w:eastAsia="zh-CN"/>
        </w:rPr>
        <w:t>0</w:t>
      </w:r>
      <w:r>
        <w:rPr>
          <w:rFonts w:hint="eastAsia" w:ascii="仿宋_GB2312" w:eastAsia="仿宋_GB2312"/>
          <w:sz w:val="32"/>
          <w:szCs w:val="32"/>
        </w:rPr>
        <w:t>批次，</w:t>
      </w:r>
      <w:r>
        <w:rPr>
          <w:rFonts w:hint="eastAsia" w:ascii="仿宋_GB2312" w:eastAsia="仿宋_GB2312"/>
          <w:sz w:val="32"/>
          <w:szCs w:val="32"/>
          <w:lang w:val="en-US" w:eastAsia="zh-CN"/>
        </w:rPr>
        <w:t>0</w:t>
      </w:r>
      <w:r>
        <w:rPr>
          <w:rFonts w:hint="eastAsia" w:ascii="仿宋_GB2312" w:eastAsia="仿宋_GB2312"/>
          <w:sz w:val="32"/>
          <w:szCs w:val="32"/>
        </w:rPr>
        <w:t>人次（不包括陪同人员），共计支出</w:t>
      </w:r>
      <w:r>
        <w:rPr>
          <w:rFonts w:hint="eastAsia" w:ascii="仿宋_GB2312" w:eastAsia="仿宋_GB2312"/>
          <w:sz w:val="32"/>
          <w:szCs w:val="32"/>
          <w:lang w:val="en-US" w:eastAsia="zh-CN"/>
        </w:rPr>
        <w:t>0</w:t>
      </w:r>
      <w:r>
        <w:rPr>
          <w:rFonts w:hint="eastAsia" w:ascii="仿宋_GB2312" w:eastAsia="仿宋_GB2312"/>
          <w:sz w:val="32"/>
          <w:szCs w:val="32"/>
        </w:rPr>
        <w:t>万元。</w:t>
      </w:r>
    </w:p>
    <w:p w14:paraId="3545AF95">
      <w:pPr>
        <w:spacing w:line="600" w:lineRule="exact"/>
        <w:ind w:firstLine="643" w:firstLineChars="200"/>
        <w:rPr>
          <w:rFonts w:ascii="仿宋_GB2312" w:eastAsia="仿宋_GB2312"/>
          <w:sz w:val="32"/>
          <w:szCs w:val="32"/>
        </w:rPr>
      </w:pPr>
      <w:r>
        <w:rPr>
          <w:rFonts w:hint="eastAsia" w:ascii="仿宋" w:hAnsi="仿宋" w:eastAsia="仿宋"/>
          <w:b/>
          <w:sz w:val="32"/>
          <w:szCs w:val="32"/>
        </w:rPr>
        <w:t>外事接待支出</w:t>
      </w:r>
      <w:r>
        <w:rPr>
          <w:rFonts w:ascii="仿宋" w:hAnsi="仿宋" w:eastAsia="仿宋"/>
          <w:b/>
          <w:sz w:val="32"/>
          <w:szCs w:val="32"/>
        </w:rPr>
        <w:t>0</w:t>
      </w:r>
      <w:r>
        <w:rPr>
          <w:rFonts w:hint="eastAsia" w:ascii="仿宋_GB2312" w:eastAsia="仿宋_GB2312"/>
          <w:sz w:val="32"/>
          <w:szCs w:val="32"/>
        </w:rPr>
        <w:t>万元。外事接待</w:t>
      </w:r>
      <w:r>
        <w:rPr>
          <w:rFonts w:hint="eastAsia" w:ascii="仿宋_GB2312" w:eastAsia="仿宋_GB2312"/>
          <w:sz w:val="32"/>
          <w:szCs w:val="32"/>
          <w:lang w:val="en-US" w:eastAsia="zh-CN"/>
        </w:rPr>
        <w:t>0</w:t>
      </w:r>
      <w:r>
        <w:rPr>
          <w:rFonts w:hint="eastAsia" w:ascii="仿宋_GB2312" w:eastAsia="仿宋_GB2312"/>
          <w:sz w:val="32"/>
          <w:szCs w:val="32"/>
        </w:rPr>
        <w:t>批次，</w:t>
      </w:r>
      <w:r>
        <w:rPr>
          <w:rFonts w:hint="eastAsia" w:ascii="仿宋_GB2312" w:eastAsia="仿宋_GB2312"/>
          <w:sz w:val="32"/>
          <w:szCs w:val="32"/>
          <w:lang w:val="en-US" w:eastAsia="zh-CN"/>
        </w:rPr>
        <w:t>0</w:t>
      </w:r>
      <w:r>
        <w:rPr>
          <w:rFonts w:hint="eastAsia" w:ascii="仿宋_GB2312" w:eastAsia="仿宋_GB2312"/>
          <w:sz w:val="32"/>
          <w:szCs w:val="32"/>
        </w:rPr>
        <w:t>人次（不包括陪同人员），共计支出</w:t>
      </w:r>
      <w:r>
        <w:rPr>
          <w:rFonts w:hint="eastAsia" w:ascii="仿宋_GB2312" w:eastAsia="仿宋_GB2312"/>
          <w:sz w:val="32"/>
          <w:szCs w:val="32"/>
          <w:lang w:val="en-US" w:eastAsia="zh-CN"/>
        </w:rPr>
        <w:t>0</w:t>
      </w:r>
      <w:r>
        <w:rPr>
          <w:rFonts w:hint="eastAsia" w:ascii="仿宋_GB2312" w:eastAsia="仿宋_GB2312"/>
          <w:sz w:val="32"/>
          <w:szCs w:val="32"/>
        </w:rPr>
        <w:t>万元。</w:t>
      </w:r>
    </w:p>
    <w:p w14:paraId="695529EE">
      <w:pPr>
        <w:spacing w:line="600" w:lineRule="exact"/>
        <w:ind w:firstLine="640"/>
        <w:outlineLvl w:val="1"/>
        <w:rPr>
          <w:rFonts w:ascii="黑体" w:eastAsia="黑体"/>
          <w:sz w:val="32"/>
          <w:szCs w:val="32"/>
        </w:rPr>
      </w:pPr>
    </w:p>
    <w:p w14:paraId="3BD28BDF">
      <w:pPr>
        <w:spacing w:line="600" w:lineRule="exact"/>
        <w:ind w:firstLine="640"/>
        <w:outlineLvl w:val="1"/>
        <w:rPr>
          <w:rStyle w:val="29"/>
          <w:rFonts w:ascii="黑体" w:hAnsi="黑体" w:eastAsia="黑体"/>
        </w:rPr>
      </w:pPr>
      <w:r>
        <w:rPr>
          <w:rFonts w:hint="eastAsia" w:ascii="黑体" w:eastAsia="黑体"/>
          <w:sz w:val="32"/>
          <w:szCs w:val="32"/>
        </w:rPr>
        <w:t>八、</w:t>
      </w:r>
      <w:r>
        <w:rPr>
          <w:rStyle w:val="29"/>
          <w:rFonts w:hint="eastAsia" w:ascii="黑体" w:hAnsi="黑体" w:eastAsia="黑体"/>
          <w:b w:val="0"/>
        </w:rPr>
        <w:t>政府性基金预算支出决算情况说明</w:t>
      </w:r>
      <w:bookmarkEnd w:id="40"/>
      <w:bookmarkEnd w:id="41"/>
    </w:p>
    <w:p w14:paraId="3CF82C40">
      <w:pPr>
        <w:spacing w:line="600" w:lineRule="exact"/>
        <w:ind w:firstLine="640"/>
        <w:rPr>
          <w:rFonts w:ascii="仿宋_GB2312" w:eastAsia="仿宋_GB2312"/>
          <w:sz w:val="32"/>
          <w:szCs w:val="32"/>
        </w:rPr>
      </w:pPr>
      <w:r>
        <w:rPr>
          <w:rFonts w:hint="eastAsia" w:ascii="仿宋_GB2312" w:eastAsia="仿宋_GB2312"/>
          <w:sz w:val="32"/>
          <w:szCs w:val="32"/>
        </w:rPr>
        <w:t>2023年度政府性基金预算财政拨款支出</w:t>
      </w:r>
      <w:r>
        <w:rPr>
          <w:rFonts w:ascii="仿宋" w:hAnsi="仿宋" w:eastAsia="仿宋"/>
          <w:b/>
          <w:sz w:val="32"/>
          <w:szCs w:val="32"/>
        </w:rPr>
        <w:t>0</w:t>
      </w:r>
      <w:r>
        <w:rPr>
          <w:rFonts w:hint="eastAsia" w:ascii="仿宋_GB2312" w:eastAsia="仿宋_GB2312"/>
          <w:sz w:val="32"/>
          <w:szCs w:val="32"/>
        </w:rPr>
        <w:t>万元。</w:t>
      </w:r>
    </w:p>
    <w:p w14:paraId="6632FA15">
      <w:pPr>
        <w:spacing w:line="600" w:lineRule="exact"/>
        <w:ind w:firstLine="640"/>
        <w:rPr>
          <w:rFonts w:ascii="仿宋_GB2312" w:eastAsia="仿宋_GB2312"/>
          <w:sz w:val="32"/>
          <w:szCs w:val="32"/>
        </w:rPr>
      </w:pPr>
    </w:p>
    <w:p w14:paraId="58992270">
      <w:pPr>
        <w:numPr>
          <w:ilvl w:val="0"/>
          <w:numId w:val="4"/>
        </w:numPr>
        <w:spacing w:line="600" w:lineRule="exact"/>
        <w:ind w:firstLine="640"/>
        <w:outlineLvl w:val="1"/>
        <w:rPr>
          <w:rStyle w:val="29"/>
          <w:rFonts w:ascii="黑体" w:hAnsi="黑体" w:eastAsia="黑体"/>
          <w:b w:val="0"/>
        </w:rPr>
      </w:pPr>
      <w:bookmarkStart w:id="42" w:name="_Toc15396611"/>
      <w:bookmarkStart w:id="43" w:name="_Toc15377219"/>
      <w:r>
        <w:rPr>
          <w:rStyle w:val="29"/>
          <w:rFonts w:hint="eastAsia" w:ascii="黑体" w:hAnsi="黑体" w:eastAsia="黑体"/>
          <w:b w:val="0"/>
        </w:rPr>
        <w:t>国有资本经营预算支出决算情况说明</w:t>
      </w:r>
      <w:bookmarkEnd w:id="42"/>
      <w:bookmarkEnd w:id="43"/>
    </w:p>
    <w:p w14:paraId="2D4B60C1">
      <w:pPr>
        <w:spacing w:line="600" w:lineRule="exact"/>
        <w:ind w:firstLine="640"/>
        <w:rPr>
          <w:rFonts w:ascii="仿宋_GB2312" w:eastAsia="仿宋_GB2312"/>
          <w:sz w:val="32"/>
          <w:szCs w:val="32"/>
        </w:rPr>
      </w:pPr>
      <w:r>
        <w:rPr>
          <w:rFonts w:hint="eastAsia" w:ascii="仿宋_GB2312" w:eastAsia="仿宋_GB2312"/>
          <w:sz w:val="32"/>
          <w:szCs w:val="32"/>
        </w:rPr>
        <w:t>2023年度国有资本经营预算财政拨款支出</w:t>
      </w:r>
      <w:r>
        <w:rPr>
          <w:rFonts w:ascii="仿宋" w:hAnsi="仿宋" w:eastAsia="仿宋"/>
          <w:b/>
          <w:sz w:val="32"/>
          <w:szCs w:val="32"/>
        </w:rPr>
        <w:t>0</w:t>
      </w:r>
      <w:r>
        <w:rPr>
          <w:rFonts w:hint="eastAsia" w:ascii="仿宋_GB2312" w:eastAsia="仿宋_GB2312"/>
          <w:sz w:val="32"/>
          <w:szCs w:val="32"/>
        </w:rPr>
        <w:t>万元。</w:t>
      </w:r>
    </w:p>
    <w:p w14:paraId="69EDE118">
      <w:pPr>
        <w:spacing w:line="580" w:lineRule="exact"/>
        <w:jc w:val="center"/>
        <w:rPr>
          <w:rFonts w:ascii="方正小标宋简体" w:hAnsi="方正小标宋简体" w:eastAsia="方正小标宋简体" w:cs="方正小标宋简体"/>
          <w:sz w:val="44"/>
          <w:szCs w:val="44"/>
        </w:rPr>
      </w:pPr>
    </w:p>
    <w:p w14:paraId="4C0FFD8A">
      <w:pPr>
        <w:numPr>
          <w:ilvl w:val="0"/>
          <w:numId w:val="4"/>
        </w:numPr>
        <w:spacing w:line="600" w:lineRule="exact"/>
        <w:ind w:firstLine="640"/>
        <w:outlineLvl w:val="1"/>
        <w:rPr>
          <w:rStyle w:val="29"/>
          <w:rFonts w:ascii="黑体" w:hAnsi="黑体" w:eastAsia="黑体"/>
          <w:b w:val="0"/>
        </w:rPr>
      </w:pPr>
      <w:bookmarkStart w:id="44" w:name="_Toc15377221"/>
      <w:bookmarkStart w:id="45" w:name="_Toc15396612"/>
      <w:r>
        <w:rPr>
          <w:rStyle w:val="29"/>
          <w:rFonts w:hint="eastAsia" w:ascii="黑体" w:hAnsi="黑体" w:eastAsia="黑体"/>
          <w:b w:val="0"/>
        </w:rPr>
        <w:t>其他重要事项的情况说明</w:t>
      </w:r>
      <w:bookmarkEnd w:id="44"/>
      <w:bookmarkEnd w:id="45"/>
    </w:p>
    <w:p w14:paraId="6405A06D">
      <w:pPr>
        <w:spacing w:line="600" w:lineRule="exact"/>
        <w:ind w:firstLine="643" w:firstLineChars="200"/>
        <w:outlineLvl w:val="2"/>
        <w:rPr>
          <w:rFonts w:ascii="仿宋" w:hAnsi="仿宋" w:eastAsia="仿宋"/>
          <w:sz w:val="32"/>
          <w:szCs w:val="32"/>
        </w:rPr>
      </w:pPr>
      <w:bookmarkStart w:id="46" w:name="_Toc15377222"/>
      <w:r>
        <w:rPr>
          <w:rFonts w:hint="eastAsia" w:ascii="仿宋" w:hAnsi="仿宋" w:eastAsia="仿宋"/>
          <w:b/>
          <w:sz w:val="32"/>
          <w:szCs w:val="32"/>
        </w:rPr>
        <w:t>（一）机关运行经费支出情况</w:t>
      </w:r>
      <w:bookmarkEnd w:id="46"/>
    </w:p>
    <w:p w14:paraId="1D9B245C">
      <w:pPr>
        <w:spacing w:line="600" w:lineRule="exact"/>
        <w:ind w:firstLine="640" w:firstLineChars="200"/>
        <w:rPr>
          <w:rFonts w:hint="eastAsia" w:ascii="仿宋" w:hAnsi="仿宋" w:eastAsia="仿宋_GB2312"/>
          <w:b/>
          <w:sz w:val="32"/>
          <w:szCs w:val="32"/>
          <w:lang w:eastAsia="zh-CN"/>
        </w:rPr>
      </w:pPr>
      <w:r>
        <w:rPr>
          <w:rFonts w:hint="eastAsia" w:ascii="仿宋_GB2312" w:eastAsia="仿宋_GB2312"/>
          <w:sz w:val="32"/>
          <w:szCs w:val="32"/>
        </w:rPr>
        <w:t>2023年度，</w:t>
      </w:r>
      <w:r>
        <w:rPr>
          <w:rFonts w:ascii="仿宋_GB2312" w:eastAsia="仿宋_GB2312"/>
          <w:b/>
          <w:sz w:val="32"/>
          <w:szCs w:val="32"/>
        </w:rPr>
        <w:t>峨边彝族自治县平等乡中心小学</w:t>
      </w:r>
      <w:r>
        <w:rPr>
          <w:rFonts w:hint="eastAsia" w:ascii="仿宋_GB2312" w:eastAsia="仿宋_GB2312"/>
          <w:sz w:val="32"/>
          <w:szCs w:val="32"/>
        </w:rPr>
        <w:t>机关运行经费支出</w:t>
      </w:r>
      <w:r>
        <w:rPr>
          <w:rFonts w:ascii="仿宋" w:hAnsi="仿宋" w:eastAsia="仿宋"/>
          <w:b/>
          <w:sz w:val="32"/>
          <w:szCs w:val="32"/>
        </w:rPr>
        <w:t>0</w:t>
      </w:r>
      <w:r>
        <w:rPr>
          <w:rFonts w:hint="eastAsia" w:ascii="仿宋_GB2312" w:eastAsia="仿宋_GB2312"/>
          <w:sz w:val="32"/>
          <w:szCs w:val="32"/>
        </w:rPr>
        <w:t>万元，比2022年度增加</w:t>
      </w:r>
      <w:r>
        <w:rPr>
          <w:rFonts w:hint="eastAsia" w:ascii="仿宋_GB2312" w:eastAsia="仿宋_GB2312"/>
          <w:sz w:val="32"/>
          <w:szCs w:val="32"/>
          <w:lang w:val="en-US" w:eastAsia="zh-CN"/>
        </w:rPr>
        <w:t>0</w:t>
      </w:r>
      <w:r>
        <w:rPr>
          <w:rFonts w:hint="eastAsia" w:ascii="仿宋_GB2312" w:eastAsia="仿宋_GB2312"/>
          <w:sz w:val="32"/>
          <w:szCs w:val="32"/>
        </w:rPr>
        <w:t>万元，增长</w:t>
      </w:r>
      <w:r>
        <w:rPr>
          <w:rFonts w:hint="eastAsia" w:ascii="仿宋_GB2312" w:eastAsia="仿宋_GB2312"/>
          <w:sz w:val="32"/>
          <w:szCs w:val="32"/>
          <w:lang w:val="en-US" w:eastAsia="zh-CN"/>
        </w:rPr>
        <w:t>0</w:t>
      </w:r>
      <w:r>
        <w:rPr>
          <w:rFonts w:ascii="仿宋_GB2312" w:eastAsia="仿宋_GB2312"/>
          <w:sz w:val="32"/>
          <w:szCs w:val="32"/>
        </w:rPr>
        <w:t>%</w:t>
      </w:r>
      <w:r>
        <w:rPr>
          <w:rFonts w:hint="eastAsia" w:ascii="仿宋_GB2312" w:eastAsia="仿宋_GB2312"/>
          <w:sz w:val="32"/>
          <w:szCs w:val="32"/>
          <w:lang w:eastAsia="zh-CN"/>
        </w:rPr>
        <w:t>。</w:t>
      </w:r>
    </w:p>
    <w:p w14:paraId="657942FC">
      <w:pPr>
        <w:autoSpaceDE w:val="0"/>
        <w:autoSpaceDN w:val="0"/>
        <w:adjustRightInd w:val="0"/>
        <w:spacing w:line="600" w:lineRule="exact"/>
        <w:ind w:firstLine="643" w:firstLineChars="200"/>
        <w:jc w:val="left"/>
        <w:outlineLvl w:val="2"/>
        <w:rPr>
          <w:rFonts w:ascii="仿宋" w:hAnsi="仿宋" w:eastAsia="仿宋"/>
          <w:b/>
          <w:sz w:val="32"/>
          <w:szCs w:val="32"/>
        </w:rPr>
      </w:pPr>
      <w:bookmarkStart w:id="47" w:name="_Toc15377223"/>
      <w:r>
        <w:rPr>
          <w:rFonts w:hint="eastAsia" w:ascii="仿宋" w:hAnsi="仿宋" w:eastAsia="仿宋"/>
          <w:b/>
          <w:sz w:val="32"/>
          <w:szCs w:val="32"/>
        </w:rPr>
        <w:t>（二）政府采购支出情况</w:t>
      </w:r>
      <w:bookmarkEnd w:id="47"/>
    </w:p>
    <w:p w14:paraId="1FF996DF">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w:t>
      </w:r>
      <w:r>
        <w:rPr>
          <w:rFonts w:ascii="仿宋_GB2312" w:eastAsia="仿宋_GB2312"/>
          <w:b/>
          <w:sz w:val="32"/>
          <w:szCs w:val="32"/>
        </w:rPr>
        <w:t>峨边彝族自治县平等乡中心小学</w:t>
      </w:r>
      <w:r>
        <w:rPr>
          <w:rFonts w:hint="eastAsia" w:ascii="仿宋_GB2312" w:eastAsia="仿宋_GB2312"/>
          <w:sz w:val="32"/>
          <w:szCs w:val="32"/>
        </w:rPr>
        <w:t>政府采购支出总额</w:t>
      </w:r>
      <w:r>
        <w:rPr>
          <w:rFonts w:ascii="仿宋" w:hAnsi="仿宋" w:eastAsia="仿宋"/>
          <w:b/>
          <w:sz w:val="32"/>
          <w:szCs w:val="32"/>
        </w:rPr>
        <w:t>0</w:t>
      </w:r>
      <w:r>
        <w:rPr>
          <w:rFonts w:hint="eastAsia" w:ascii="仿宋_GB2312" w:eastAsia="仿宋_GB2312"/>
          <w:sz w:val="32"/>
          <w:szCs w:val="32"/>
        </w:rPr>
        <w:t>万元，其中：政府采购货物支出</w:t>
      </w:r>
      <w:r>
        <w:rPr>
          <w:rFonts w:ascii="仿宋" w:hAnsi="仿宋" w:eastAsia="仿宋"/>
          <w:b/>
          <w:sz w:val="32"/>
          <w:szCs w:val="32"/>
        </w:rPr>
        <w:t>0</w:t>
      </w:r>
      <w:r>
        <w:rPr>
          <w:rFonts w:hint="eastAsia" w:ascii="仿宋_GB2312" w:eastAsia="仿宋_GB2312"/>
          <w:sz w:val="32"/>
          <w:szCs w:val="32"/>
        </w:rPr>
        <w:t>万元、政府采购工程支出</w:t>
      </w:r>
      <w:r>
        <w:rPr>
          <w:rFonts w:ascii="仿宋" w:hAnsi="仿宋" w:eastAsia="仿宋"/>
          <w:b/>
          <w:sz w:val="32"/>
          <w:szCs w:val="32"/>
        </w:rPr>
        <w:t>0</w:t>
      </w:r>
      <w:r>
        <w:rPr>
          <w:rFonts w:hint="eastAsia" w:ascii="仿宋_GB2312" w:eastAsia="仿宋_GB2312"/>
          <w:sz w:val="32"/>
          <w:szCs w:val="32"/>
        </w:rPr>
        <w:t>万元、政府采购服务支出</w:t>
      </w:r>
      <w:r>
        <w:rPr>
          <w:rFonts w:ascii="仿宋" w:hAnsi="仿宋" w:eastAsia="仿宋"/>
          <w:b/>
          <w:sz w:val="32"/>
          <w:szCs w:val="32"/>
        </w:rPr>
        <w:t>0</w:t>
      </w:r>
      <w:r>
        <w:rPr>
          <w:rFonts w:hint="eastAsia" w:ascii="仿宋_GB2312" w:eastAsia="仿宋_GB2312"/>
          <w:sz w:val="32"/>
          <w:szCs w:val="32"/>
        </w:rPr>
        <w:t>万元。授予中小企业合同金额</w:t>
      </w:r>
      <w:r>
        <w:rPr>
          <w:rFonts w:ascii="仿宋" w:hAnsi="仿宋" w:eastAsia="仿宋"/>
          <w:b/>
          <w:sz w:val="32"/>
          <w:szCs w:val="32"/>
        </w:rPr>
        <w:t>0</w:t>
      </w:r>
      <w:r>
        <w:rPr>
          <w:rFonts w:hint="eastAsia" w:ascii="仿宋_GB2312" w:eastAsia="仿宋_GB2312"/>
          <w:sz w:val="32"/>
          <w:szCs w:val="32"/>
        </w:rPr>
        <w:t>万元，占政府采购支出总额的</w:t>
      </w:r>
      <w:r>
        <w:rPr>
          <w:rFonts w:ascii="仿宋_GB2312" w:eastAsia="仿宋_GB2312"/>
          <w:sz w:val="32"/>
          <w:szCs w:val="32"/>
        </w:rPr>
        <w:t>0%</w:t>
      </w:r>
      <w:r>
        <w:rPr>
          <w:rFonts w:hint="eastAsia" w:ascii="仿宋_GB2312" w:eastAsia="仿宋_GB2312"/>
          <w:sz w:val="32"/>
          <w:szCs w:val="32"/>
        </w:rPr>
        <w:t>，其中：授予小微企业合同金额</w:t>
      </w:r>
      <w:r>
        <w:rPr>
          <w:rFonts w:ascii="仿宋" w:hAnsi="仿宋" w:eastAsia="仿宋"/>
          <w:b/>
          <w:sz w:val="32"/>
          <w:szCs w:val="32"/>
        </w:rPr>
        <w:t>0</w:t>
      </w:r>
      <w:r>
        <w:rPr>
          <w:rFonts w:hint="eastAsia" w:ascii="仿宋_GB2312" w:eastAsia="仿宋_GB2312"/>
          <w:sz w:val="32"/>
          <w:szCs w:val="32"/>
        </w:rPr>
        <w:t>万元，占政府采购支出总额的</w:t>
      </w:r>
      <w:r>
        <w:rPr>
          <w:rFonts w:ascii="仿宋_GB2312" w:eastAsia="仿宋_GB2312"/>
          <w:b/>
          <w:sz w:val="32"/>
          <w:szCs w:val="32"/>
        </w:rPr>
        <w:t>0</w:t>
      </w:r>
      <w:r>
        <w:rPr>
          <w:rFonts w:ascii="仿宋_GB2312" w:eastAsia="仿宋_GB2312"/>
          <w:sz w:val="32"/>
          <w:szCs w:val="32"/>
        </w:rPr>
        <w:t>%</w:t>
      </w:r>
      <w:r>
        <w:rPr>
          <w:rFonts w:hint="eastAsia" w:ascii="仿宋_GB2312" w:eastAsia="仿宋_GB2312"/>
          <w:sz w:val="32"/>
          <w:szCs w:val="32"/>
        </w:rPr>
        <w:t>。</w:t>
      </w:r>
    </w:p>
    <w:p w14:paraId="3DDF726F">
      <w:pPr>
        <w:autoSpaceDE w:val="0"/>
        <w:autoSpaceDN w:val="0"/>
        <w:adjustRightInd w:val="0"/>
        <w:spacing w:line="600" w:lineRule="exact"/>
        <w:ind w:firstLine="643" w:firstLineChars="200"/>
        <w:jc w:val="left"/>
        <w:outlineLvl w:val="2"/>
        <w:rPr>
          <w:rFonts w:ascii="仿宋" w:hAnsi="仿宋" w:eastAsia="仿宋"/>
          <w:b/>
          <w:sz w:val="32"/>
          <w:szCs w:val="32"/>
        </w:rPr>
      </w:pPr>
      <w:bookmarkStart w:id="48" w:name="_Toc15377224"/>
      <w:r>
        <w:rPr>
          <w:rFonts w:hint="eastAsia" w:ascii="仿宋" w:hAnsi="仿宋" w:eastAsia="仿宋"/>
          <w:b/>
          <w:sz w:val="32"/>
          <w:szCs w:val="32"/>
        </w:rPr>
        <w:t>（三）国有资产占有使用情况</w:t>
      </w:r>
      <w:bookmarkEnd w:id="48"/>
    </w:p>
    <w:p w14:paraId="431027CD">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截至2023年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w:t>
      </w:r>
      <w:r>
        <w:rPr>
          <w:rFonts w:ascii="仿宋_GB2312" w:eastAsia="仿宋_GB2312"/>
          <w:b/>
          <w:sz w:val="32"/>
          <w:szCs w:val="32"/>
        </w:rPr>
        <w:t>峨边彝族自治县平等乡中心小学</w:t>
      </w:r>
      <w:r>
        <w:rPr>
          <w:rFonts w:hint="eastAsia" w:ascii="仿宋_GB2312" w:eastAsia="仿宋_GB2312"/>
          <w:sz w:val="32"/>
          <w:szCs w:val="32"/>
        </w:rPr>
        <w:t>共有车辆</w:t>
      </w:r>
      <w:r>
        <w:rPr>
          <w:rFonts w:hint="eastAsia" w:ascii="仿宋_GB2312" w:eastAsia="仿宋_GB2312"/>
          <w:b/>
          <w:sz w:val="32"/>
          <w:szCs w:val="32"/>
        </w:rPr>
        <w:t>0</w:t>
      </w:r>
      <w:r>
        <w:rPr>
          <w:rFonts w:hint="eastAsia" w:ascii="仿宋_GB2312" w:eastAsia="仿宋_GB2312"/>
          <w:sz w:val="32"/>
          <w:szCs w:val="32"/>
        </w:rPr>
        <w:t>辆</w:t>
      </w:r>
      <w:r>
        <w:rPr>
          <w:rFonts w:hint="eastAsia" w:ascii="仿宋_GB2312" w:eastAsia="仿宋_GB2312"/>
          <w:sz w:val="32"/>
          <w:szCs w:val="32"/>
          <w:lang w:eastAsia="zh-CN"/>
        </w:rPr>
        <w:t>。</w:t>
      </w:r>
      <w:r>
        <w:rPr>
          <w:rFonts w:hint="eastAsia" w:ascii="仿宋_GB2312" w:eastAsia="仿宋_GB2312"/>
          <w:sz w:val="32"/>
          <w:szCs w:val="32"/>
        </w:rPr>
        <w:t>单价</w:t>
      </w:r>
      <w:r>
        <w:rPr>
          <w:rFonts w:ascii="仿宋_GB2312" w:eastAsia="仿宋_GB2312"/>
          <w:sz w:val="32"/>
          <w:szCs w:val="32"/>
        </w:rPr>
        <w:t>100</w:t>
      </w:r>
      <w:r>
        <w:rPr>
          <w:rFonts w:hint="eastAsia" w:ascii="仿宋_GB2312" w:eastAsia="仿宋_GB2312"/>
          <w:sz w:val="32"/>
          <w:szCs w:val="32"/>
        </w:rPr>
        <w:t>万元以上设备（不含车辆）</w:t>
      </w:r>
      <w:r>
        <w:rPr>
          <w:rFonts w:ascii="仿宋_GB2312" w:eastAsia="仿宋_GB2312"/>
          <w:b/>
          <w:sz w:val="32"/>
          <w:szCs w:val="32"/>
        </w:rPr>
        <w:t>0</w:t>
      </w:r>
      <w:r>
        <w:rPr>
          <w:rFonts w:hint="eastAsia" w:ascii="仿宋_GB2312" w:eastAsia="仿宋_GB2312"/>
          <w:sz w:val="32"/>
          <w:szCs w:val="32"/>
        </w:rPr>
        <w:t>台（套）。</w:t>
      </w:r>
    </w:p>
    <w:p w14:paraId="46312FA3">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14:paraId="235AD5B2">
      <w:pPr>
        <w:spacing w:line="600" w:lineRule="exact"/>
        <w:ind w:firstLine="640" w:firstLineChars="200"/>
        <w:rPr>
          <w:rFonts w:ascii="仿宋_GB2312" w:eastAsia="仿宋_GB2312"/>
          <w:sz w:val="32"/>
          <w:szCs w:val="32"/>
        </w:rPr>
      </w:pPr>
      <w:r>
        <w:rPr>
          <w:rFonts w:hint="eastAsia" w:ascii="仿宋_GB2312" w:eastAsia="仿宋_GB2312"/>
          <w:sz w:val="32"/>
          <w:szCs w:val="32"/>
        </w:rPr>
        <w:t>根据预算绩效管理要求，本单位在2023年度预算编制阶段，组织对</w:t>
      </w:r>
      <w:r>
        <w:rPr>
          <w:rFonts w:hint="eastAsia" w:ascii="仿宋_GB2312" w:hAnsi="仿宋_GB2312" w:eastAsia="仿宋_GB2312" w:cs="仿宋_GB2312"/>
          <w:sz w:val="32"/>
          <w:szCs w:val="32"/>
        </w:rPr>
        <w:t>公用经费、营养餐、特岗教师</w:t>
      </w:r>
      <w:r>
        <w:rPr>
          <w:rFonts w:hint="eastAsia" w:ascii="仿宋_GB2312" w:hAnsi="仿宋_GB2312" w:eastAsia="仿宋_GB2312" w:cs="仿宋_GB2312"/>
          <w:sz w:val="32"/>
          <w:szCs w:val="32"/>
          <w:lang w:eastAsia="zh-CN"/>
        </w:rPr>
        <w:t>工资</w:t>
      </w:r>
      <w:r>
        <w:rPr>
          <w:rFonts w:hint="eastAsia" w:ascii="仿宋_GB2312" w:eastAsia="仿宋_GB2312"/>
          <w:sz w:val="32"/>
          <w:szCs w:val="32"/>
        </w:rPr>
        <w:t>等</w:t>
      </w:r>
      <w:r>
        <w:rPr>
          <w:rFonts w:hint="eastAsia" w:ascii="仿宋_GB2312" w:eastAsia="仿宋_GB2312"/>
          <w:sz w:val="32"/>
          <w:szCs w:val="32"/>
          <w:lang w:val="en-US" w:eastAsia="zh-CN"/>
        </w:rPr>
        <w:t>9</w:t>
      </w:r>
      <w:r>
        <w:rPr>
          <w:rFonts w:hint="eastAsia" w:ascii="仿宋_GB2312" w:eastAsia="仿宋_GB2312"/>
          <w:sz w:val="32"/>
          <w:szCs w:val="32"/>
        </w:rPr>
        <w:t>个项目开展了预算事前绩效评估，对</w:t>
      </w:r>
      <w:r>
        <w:rPr>
          <w:rFonts w:hint="eastAsia" w:ascii="仿宋_GB2312" w:eastAsia="仿宋_GB2312"/>
          <w:sz w:val="32"/>
          <w:szCs w:val="32"/>
          <w:lang w:val="en-US" w:eastAsia="zh-CN"/>
        </w:rPr>
        <w:t>9</w:t>
      </w:r>
      <w:r>
        <w:rPr>
          <w:rFonts w:hint="eastAsia" w:ascii="仿宋_GB2312" w:eastAsia="仿宋_GB2312"/>
          <w:sz w:val="32"/>
          <w:szCs w:val="32"/>
        </w:rPr>
        <w:t>个项目编制了绩效目标，预算执行过程中，选取</w:t>
      </w:r>
      <w:r>
        <w:rPr>
          <w:rFonts w:hint="eastAsia" w:ascii="仿宋_GB2312" w:eastAsia="仿宋_GB2312"/>
          <w:sz w:val="32"/>
          <w:szCs w:val="32"/>
          <w:lang w:val="en-US" w:eastAsia="zh-CN"/>
        </w:rPr>
        <w:t>9</w:t>
      </w:r>
      <w:r>
        <w:rPr>
          <w:rFonts w:hint="eastAsia" w:ascii="仿宋_GB2312" w:eastAsia="仿宋_GB2312"/>
          <w:sz w:val="32"/>
          <w:szCs w:val="32"/>
        </w:rPr>
        <w:t>个项目开展绩效监控，组织对</w:t>
      </w:r>
      <w:r>
        <w:rPr>
          <w:rFonts w:hint="eastAsia" w:ascii="仿宋_GB2312" w:eastAsia="仿宋_GB2312"/>
          <w:sz w:val="32"/>
          <w:szCs w:val="32"/>
          <w:lang w:val="en-US" w:eastAsia="zh-CN"/>
        </w:rPr>
        <w:t>9</w:t>
      </w:r>
      <w:r>
        <w:rPr>
          <w:rFonts w:hint="eastAsia" w:ascii="仿宋_GB2312" w:eastAsia="仿宋_GB2312"/>
          <w:sz w:val="32"/>
          <w:szCs w:val="32"/>
        </w:rPr>
        <w:t>个项目开展绩效自评，绩效自评表详见第四部分附件。</w:t>
      </w:r>
    </w:p>
    <w:p w14:paraId="73BB1FD7">
      <w:pPr>
        <w:spacing w:line="600" w:lineRule="exact"/>
        <w:ind w:firstLine="640" w:firstLineChars="200"/>
        <w:rPr>
          <w:rFonts w:ascii="仿宋_GB2312" w:eastAsia="仿宋_GB2312"/>
          <w:sz w:val="32"/>
          <w:szCs w:val="32"/>
        </w:rPr>
      </w:pPr>
      <w:r>
        <w:rPr>
          <w:rFonts w:hint="eastAsia" w:ascii="仿宋_GB2312" w:eastAsia="仿宋_GB2312"/>
          <w:sz w:val="32"/>
          <w:szCs w:val="32"/>
        </w:rPr>
        <w:br w:type="page"/>
      </w:r>
    </w:p>
    <w:p w14:paraId="7E6E9CAC">
      <w:pPr>
        <w:numPr>
          <w:ilvl w:val="0"/>
          <w:numId w:val="5"/>
        </w:numPr>
        <w:spacing w:line="600" w:lineRule="exact"/>
        <w:ind w:firstLine="660" w:firstLineChars="150"/>
        <w:jc w:val="center"/>
        <w:outlineLvl w:val="0"/>
        <w:rPr>
          <w:rStyle w:val="28"/>
          <w:rFonts w:ascii="黑体" w:hAnsi="黑体" w:eastAsia="黑体"/>
          <w:b w:val="0"/>
        </w:rPr>
      </w:pPr>
      <w:bookmarkStart w:id="49" w:name="_Toc15396613"/>
      <w:bookmarkStart w:id="50" w:name="_Toc15377225"/>
      <w:r>
        <w:rPr>
          <w:rFonts w:hint="eastAsia" w:ascii="黑体" w:hAnsi="黑体" w:eastAsia="黑体"/>
          <w:sz w:val="44"/>
          <w:szCs w:val="44"/>
        </w:rPr>
        <w:t>名</w:t>
      </w:r>
      <w:r>
        <w:rPr>
          <w:rStyle w:val="28"/>
          <w:rFonts w:hint="eastAsia" w:ascii="黑体" w:hAnsi="黑体" w:eastAsia="黑体"/>
          <w:b w:val="0"/>
        </w:rPr>
        <w:t>词解释</w:t>
      </w:r>
      <w:bookmarkEnd w:id="49"/>
      <w:bookmarkEnd w:id="50"/>
    </w:p>
    <w:p w14:paraId="20333313">
      <w:pPr>
        <w:pStyle w:val="26"/>
        <w:spacing w:line="560" w:lineRule="exact"/>
        <w:ind w:firstLine="640" w:firstLineChars="200"/>
        <w:outlineLvl w:val="1"/>
        <w:rPr>
          <w:rFonts w:ascii="仿宋_GB2312" w:eastAsia="仿宋_GB2312"/>
          <w:color w:val="auto"/>
          <w:sz w:val="32"/>
          <w:szCs w:val="32"/>
          <w:highlight w:val="none"/>
        </w:rPr>
      </w:pPr>
      <w:bookmarkStart w:id="51" w:name="_Toc10507"/>
      <w:bookmarkStart w:id="52" w:name="_Toc18263"/>
      <w:bookmarkStart w:id="53" w:name="_Toc15396614"/>
      <w:bookmarkStart w:id="54" w:name="_Toc15377226"/>
      <w:r>
        <w:rPr>
          <w:rFonts w:ascii="仿宋_GB2312" w:eastAsia="仿宋_GB2312"/>
          <w:color w:val="auto"/>
          <w:sz w:val="32"/>
          <w:szCs w:val="32"/>
          <w:highlight w:val="none"/>
        </w:rPr>
        <w:t>1.</w:t>
      </w:r>
      <w:r>
        <w:rPr>
          <w:rFonts w:hint="eastAsia" w:ascii="仿宋_GB2312" w:eastAsia="仿宋_GB2312"/>
          <w:color w:val="auto"/>
          <w:sz w:val="32"/>
          <w:szCs w:val="32"/>
          <w:highlight w:val="none"/>
        </w:rPr>
        <w:t>财政拨款收入：指单位从同级财政部门取得的财政预算资金。</w:t>
      </w:r>
      <w:bookmarkEnd w:id="51"/>
      <w:bookmarkEnd w:id="52"/>
    </w:p>
    <w:p w14:paraId="74574919">
      <w:pPr>
        <w:pStyle w:val="26"/>
        <w:spacing w:line="560" w:lineRule="exact"/>
        <w:ind w:firstLine="640" w:firstLineChars="200"/>
        <w:rPr>
          <w:rFonts w:hint="eastAsia" w:ascii="仿宋_GB2312" w:eastAsia="仿宋_GB2312"/>
          <w:color w:val="auto"/>
          <w:sz w:val="32"/>
          <w:szCs w:val="32"/>
          <w:highlight w:val="none"/>
        </w:rPr>
      </w:pPr>
      <w:r>
        <w:rPr>
          <w:rFonts w:ascii="仿宋_GB2312" w:eastAsia="仿宋_GB2312"/>
          <w:color w:val="auto"/>
          <w:sz w:val="32"/>
          <w:szCs w:val="32"/>
          <w:highlight w:val="none"/>
        </w:rPr>
        <w:t>2.</w:t>
      </w:r>
      <w:r>
        <w:rPr>
          <w:rFonts w:hint="eastAsia" w:ascii="仿宋_GB2312" w:eastAsia="仿宋_GB2312"/>
          <w:color w:val="auto"/>
          <w:sz w:val="32"/>
          <w:szCs w:val="32"/>
          <w:highlight w:val="none"/>
        </w:rPr>
        <w:t>事业收入：指事业单位开展专业业务活动及辅助活动取得的收入。</w:t>
      </w:r>
    </w:p>
    <w:p w14:paraId="7F8899CA">
      <w:pPr>
        <w:pStyle w:val="26"/>
        <w:spacing w:line="560" w:lineRule="exact"/>
        <w:ind w:firstLine="640" w:firstLineChars="200"/>
        <w:rPr>
          <w:rFonts w:hint="eastAsia" w:ascii="仿宋_GB2312" w:eastAsia="仿宋_GB2312"/>
          <w:color w:val="auto"/>
          <w:sz w:val="32"/>
          <w:szCs w:val="32"/>
          <w:highlight w:val="none"/>
        </w:rPr>
      </w:pPr>
      <w:r>
        <w:rPr>
          <w:rFonts w:ascii="仿宋_GB2312" w:eastAsia="仿宋_GB2312"/>
          <w:color w:val="auto"/>
          <w:sz w:val="32"/>
          <w:szCs w:val="32"/>
          <w:highlight w:val="none"/>
        </w:rPr>
        <w:t>3.</w:t>
      </w:r>
      <w:r>
        <w:rPr>
          <w:rFonts w:hint="eastAsia" w:ascii="仿宋_GB2312" w:eastAsia="仿宋_GB2312"/>
          <w:color w:val="auto"/>
          <w:sz w:val="32"/>
          <w:szCs w:val="32"/>
          <w:highlight w:val="none"/>
        </w:rPr>
        <w:t>经营收入：指事业单位在专业业务活动及其辅助活动之外开展非独立核算经营活动取得的收入。</w:t>
      </w:r>
    </w:p>
    <w:p w14:paraId="7669C9F4">
      <w:pPr>
        <w:pStyle w:val="26"/>
        <w:spacing w:line="560" w:lineRule="exact"/>
        <w:ind w:firstLine="640" w:firstLineChars="200"/>
        <w:outlineLvl w:val="1"/>
        <w:rPr>
          <w:rFonts w:ascii="仿宋_GB2312" w:eastAsia="仿宋_GB2312"/>
          <w:color w:val="auto"/>
          <w:sz w:val="32"/>
          <w:szCs w:val="32"/>
          <w:highlight w:val="none"/>
        </w:rPr>
      </w:pPr>
      <w:bookmarkStart w:id="55" w:name="_Toc14840"/>
      <w:bookmarkStart w:id="56" w:name="_Toc30467"/>
      <w:r>
        <w:rPr>
          <w:rFonts w:ascii="仿宋_GB2312" w:eastAsia="仿宋_GB2312"/>
          <w:color w:val="auto"/>
          <w:sz w:val="32"/>
          <w:szCs w:val="32"/>
          <w:highlight w:val="none"/>
        </w:rPr>
        <w:t>4.</w:t>
      </w:r>
      <w:r>
        <w:rPr>
          <w:rFonts w:hint="eastAsia" w:ascii="仿宋_GB2312" w:eastAsia="仿宋_GB2312"/>
          <w:color w:val="auto"/>
          <w:sz w:val="32"/>
          <w:szCs w:val="32"/>
          <w:highlight w:val="none"/>
        </w:rPr>
        <w:t>其他收入：指单位取得的除上述收入以外的各项收入。</w:t>
      </w:r>
      <w:bookmarkEnd w:id="55"/>
      <w:bookmarkEnd w:id="56"/>
    </w:p>
    <w:p w14:paraId="2679464F">
      <w:pPr>
        <w:pStyle w:val="26"/>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5.</w:t>
      </w:r>
      <w:r>
        <w:rPr>
          <w:rFonts w:hint="eastAsia" w:ascii="仿宋_GB2312" w:hAnsi="华文中宋" w:eastAsia="仿宋_GB2312"/>
          <w:sz w:val="32"/>
          <w:szCs w:val="32"/>
          <w:u w:val="none"/>
          <w:lang w:eastAsia="zh-CN"/>
        </w:rPr>
        <w:t>使用非财政拨款结余（含专用结余）</w:t>
      </w:r>
      <w:r>
        <w:rPr>
          <w:rFonts w:hint="eastAsia" w:ascii="仿宋_GB2312" w:eastAsia="仿宋_GB2312"/>
          <w:color w:val="auto"/>
          <w:sz w:val="32"/>
          <w:szCs w:val="32"/>
          <w:highlight w:val="none"/>
        </w:rPr>
        <w:t>：指事业单位</w:t>
      </w:r>
      <w:r>
        <w:rPr>
          <w:rFonts w:hint="eastAsia" w:ascii="仿宋_GB2312" w:eastAsia="仿宋_GB2312"/>
          <w:color w:val="auto"/>
          <w:sz w:val="32"/>
          <w:szCs w:val="32"/>
          <w:highlight w:val="none"/>
          <w:lang w:eastAsia="zh-CN"/>
        </w:rPr>
        <w:t>使用以前年度积累的非财政拨款结余弥补当年收支差额的金额。</w:t>
      </w:r>
      <w:r>
        <w:rPr>
          <w:rFonts w:ascii="仿宋_GB2312" w:eastAsia="仿宋_GB2312"/>
          <w:color w:val="auto"/>
          <w:sz w:val="32"/>
          <w:szCs w:val="32"/>
          <w:highlight w:val="none"/>
        </w:rPr>
        <w:t xml:space="preserve"> </w:t>
      </w:r>
    </w:p>
    <w:p w14:paraId="0CD0A92A">
      <w:pPr>
        <w:pStyle w:val="26"/>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6.</w:t>
      </w:r>
      <w:r>
        <w:rPr>
          <w:rFonts w:hint="eastAsia" w:ascii="仿宋_GB2312" w:eastAsia="仿宋_GB2312"/>
          <w:color w:val="auto"/>
          <w:sz w:val="32"/>
          <w:szCs w:val="32"/>
          <w:highlight w:val="none"/>
        </w:rPr>
        <w:t>年初结转和结余：指以前年度尚未完成、结转到本年按有关规定继续使用的资金。</w:t>
      </w:r>
      <w:r>
        <w:rPr>
          <w:rFonts w:ascii="仿宋_GB2312" w:eastAsia="仿宋_GB2312"/>
          <w:color w:val="auto"/>
          <w:sz w:val="32"/>
          <w:szCs w:val="32"/>
          <w:highlight w:val="none"/>
        </w:rPr>
        <w:t xml:space="preserve"> </w:t>
      </w:r>
    </w:p>
    <w:p w14:paraId="7800C5FD">
      <w:pPr>
        <w:pStyle w:val="26"/>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7.</w:t>
      </w:r>
      <w:r>
        <w:rPr>
          <w:rFonts w:hint="eastAsia" w:ascii="仿宋_GB2312" w:eastAsia="仿宋_GB2312"/>
          <w:color w:val="auto"/>
          <w:sz w:val="32"/>
          <w:szCs w:val="32"/>
          <w:highlight w:val="none"/>
        </w:rPr>
        <w:t>结余分配：指事业单位按照会计制度规定</w:t>
      </w:r>
      <w:r>
        <w:rPr>
          <w:rFonts w:hint="eastAsia" w:ascii="仿宋_GB2312" w:eastAsia="仿宋_GB2312"/>
          <w:color w:val="auto"/>
          <w:sz w:val="32"/>
          <w:szCs w:val="32"/>
          <w:highlight w:val="none"/>
          <w:lang w:eastAsia="zh-CN"/>
        </w:rPr>
        <w:t>缴纳的所得税、提取的专用结余以及转入非财政拨款结余的金额</w:t>
      </w:r>
      <w:r>
        <w:rPr>
          <w:rFonts w:hint="eastAsia" w:ascii="仿宋_GB2312" w:eastAsia="仿宋_GB2312"/>
          <w:color w:val="auto"/>
          <w:sz w:val="32"/>
          <w:szCs w:val="32"/>
          <w:highlight w:val="none"/>
        </w:rPr>
        <w:t>等。</w:t>
      </w:r>
    </w:p>
    <w:p w14:paraId="16737086">
      <w:pPr>
        <w:pStyle w:val="26"/>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8</w:t>
      </w:r>
      <w:r>
        <w:rPr>
          <w:rFonts w:hint="eastAsia" w:ascii="仿宋_GB2312" w:eastAsia="仿宋_GB2312"/>
          <w:color w:val="auto"/>
          <w:sz w:val="32"/>
          <w:szCs w:val="32"/>
          <w:highlight w:val="none"/>
          <w:lang w:val="en-US" w:eastAsia="zh-CN"/>
        </w:rPr>
        <w:t>.</w:t>
      </w:r>
      <w:r>
        <w:rPr>
          <w:rFonts w:hint="eastAsia" w:ascii="仿宋_GB2312" w:eastAsia="仿宋_GB2312"/>
          <w:color w:val="auto"/>
          <w:sz w:val="32"/>
          <w:szCs w:val="32"/>
          <w:highlight w:val="none"/>
        </w:rPr>
        <w:t>年末结转和结余：指单位按有关规定结转到下年或以后年度继续使用的资金。</w:t>
      </w:r>
    </w:p>
    <w:p w14:paraId="646906F0">
      <w:pPr>
        <w:spacing w:line="600" w:lineRule="exact"/>
        <w:ind w:firstLine="640" w:firstLineChars="200"/>
        <w:rPr>
          <w:rFonts w:ascii="仿宋" w:hAnsi="仿宋" w:eastAsia="仿宋"/>
          <w:sz w:val="32"/>
          <w:szCs w:val="32"/>
        </w:rPr>
      </w:pPr>
      <w:r>
        <w:rPr>
          <w:rFonts w:ascii="仿宋_GB2312" w:eastAsia="仿宋_GB2312"/>
          <w:color w:val="auto"/>
          <w:sz w:val="32"/>
          <w:szCs w:val="32"/>
          <w:highlight w:val="none"/>
        </w:rPr>
        <w:t>9.</w:t>
      </w:r>
      <w:r>
        <w:rPr>
          <w:rFonts w:ascii="仿宋" w:hAnsi="仿宋" w:eastAsia="仿宋"/>
          <w:sz w:val="32"/>
          <w:szCs w:val="32"/>
        </w:rPr>
        <w:t>教育支出（类）</w:t>
      </w:r>
      <w:r>
        <w:rPr>
          <w:rFonts w:hint="eastAsia" w:ascii="仿宋" w:hAnsi="仿宋" w:eastAsia="仿宋"/>
          <w:sz w:val="32"/>
          <w:szCs w:val="32"/>
        </w:rPr>
        <w:t>普通教育（款）学前教育（项）：指反映各部门举办的学前教育支出。</w:t>
      </w:r>
    </w:p>
    <w:p w14:paraId="55724243">
      <w:pPr>
        <w:spacing w:line="60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0</w:t>
      </w:r>
      <w:r>
        <w:rPr>
          <w:rFonts w:ascii="仿宋" w:hAnsi="仿宋" w:eastAsia="仿宋"/>
          <w:sz w:val="32"/>
          <w:szCs w:val="32"/>
        </w:rPr>
        <w:t>.教育支出（类）</w:t>
      </w:r>
      <w:r>
        <w:rPr>
          <w:rFonts w:hint="eastAsia" w:ascii="仿宋" w:hAnsi="仿宋" w:eastAsia="仿宋"/>
          <w:sz w:val="32"/>
          <w:szCs w:val="32"/>
        </w:rPr>
        <w:t>普通教育（款）小学教育（项）：指反映各部门举办的小学教育支出。</w:t>
      </w:r>
    </w:p>
    <w:p w14:paraId="022A9D4D">
      <w:pPr>
        <w:spacing w:line="60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1</w:t>
      </w:r>
      <w:r>
        <w:rPr>
          <w:rFonts w:ascii="仿宋" w:hAnsi="仿宋" w:eastAsia="仿宋"/>
          <w:sz w:val="32"/>
          <w:szCs w:val="32"/>
        </w:rPr>
        <w:t>.教育支出（类）</w:t>
      </w:r>
      <w:r>
        <w:rPr>
          <w:rFonts w:hint="eastAsia" w:ascii="仿宋" w:hAnsi="仿宋" w:eastAsia="仿宋"/>
          <w:sz w:val="32"/>
          <w:szCs w:val="32"/>
        </w:rPr>
        <w:t>普通教育（款）初中教育（项）：指反映各部门举办的初中教育支出。</w:t>
      </w:r>
    </w:p>
    <w:p w14:paraId="4D948C28">
      <w:pPr>
        <w:spacing w:line="60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2</w:t>
      </w:r>
      <w:r>
        <w:rPr>
          <w:rFonts w:ascii="仿宋" w:hAnsi="仿宋" w:eastAsia="仿宋"/>
          <w:sz w:val="32"/>
          <w:szCs w:val="32"/>
        </w:rPr>
        <w:t>.教育支出（类）</w:t>
      </w:r>
      <w:r>
        <w:rPr>
          <w:rFonts w:hint="eastAsia" w:ascii="仿宋" w:hAnsi="仿宋" w:eastAsia="仿宋"/>
          <w:sz w:val="32"/>
          <w:szCs w:val="32"/>
        </w:rPr>
        <w:t>其他教育支出（款）其他教育支出（项）：指反映除上述项目以外其他用于教育方面的支出。</w:t>
      </w:r>
    </w:p>
    <w:p w14:paraId="10DC80A7">
      <w:pPr>
        <w:spacing w:line="600" w:lineRule="exact"/>
        <w:ind w:firstLine="640" w:firstLineChars="200"/>
        <w:rPr>
          <w:rStyle w:val="17"/>
          <w:rFonts w:hint="eastAsia" w:ascii="仿宋" w:hAnsi="仿宋" w:eastAsia="仿宋"/>
          <w:b w:val="0"/>
          <w:bCs w:val="0"/>
          <w:color w:val="auto"/>
          <w:sz w:val="32"/>
          <w:szCs w:val="32"/>
          <w:highlight w:val="none"/>
        </w:rPr>
      </w:pPr>
      <w:r>
        <w:rPr>
          <w:rStyle w:val="17"/>
          <w:rFonts w:hint="eastAsia" w:ascii="仿宋" w:hAnsi="仿宋" w:eastAsia="仿宋"/>
          <w:b w:val="0"/>
          <w:bCs w:val="0"/>
          <w:color w:val="auto"/>
          <w:sz w:val="32"/>
          <w:szCs w:val="32"/>
          <w:highlight w:val="none"/>
          <w:lang w:val="en-US" w:eastAsia="zh-CN"/>
        </w:rPr>
        <w:t>13.</w:t>
      </w:r>
      <w:r>
        <w:rPr>
          <w:rStyle w:val="17"/>
          <w:rFonts w:hint="eastAsia" w:ascii="仿宋" w:hAnsi="仿宋" w:eastAsia="仿宋"/>
          <w:b w:val="0"/>
          <w:bCs w:val="0"/>
          <w:color w:val="auto"/>
          <w:sz w:val="32"/>
          <w:szCs w:val="32"/>
          <w:highlight w:val="none"/>
        </w:rPr>
        <w:t>社会保障和就业（类）行政事业单位养老支出（款）机关事业单位基本养老保险缴费支出（项）</w:t>
      </w:r>
      <w:r>
        <w:rPr>
          <w:rStyle w:val="17"/>
          <w:rFonts w:hint="eastAsia" w:ascii="仿宋" w:hAnsi="仿宋" w:eastAsia="仿宋"/>
          <w:b w:val="0"/>
          <w:bCs w:val="0"/>
          <w:color w:val="auto"/>
          <w:sz w:val="32"/>
          <w:szCs w:val="32"/>
          <w:highlight w:val="none"/>
          <w:lang w:eastAsia="zh-CN"/>
        </w:rPr>
        <w:t>：</w:t>
      </w:r>
      <w:r>
        <w:rPr>
          <w:rStyle w:val="17"/>
          <w:rFonts w:ascii="仿宋" w:hAnsi="仿宋" w:eastAsia="仿宋"/>
          <w:b w:val="0"/>
          <w:bCs w:val="0"/>
          <w:color w:val="auto"/>
          <w:sz w:val="32"/>
          <w:szCs w:val="32"/>
          <w:highlight w:val="none"/>
        </w:rPr>
        <w:t xml:space="preserve"> </w:t>
      </w:r>
      <w:r>
        <w:rPr>
          <w:rFonts w:hint="eastAsia" w:ascii="仿宋" w:hAnsi="仿宋" w:eastAsia="仿宋" w:cs="宋体"/>
          <w:color w:val="000000"/>
          <w:kern w:val="0"/>
          <w:sz w:val="32"/>
          <w:szCs w:val="32"/>
        </w:rPr>
        <w:t>反映机关事业单位实施养老保险制度由单位缴纳的基本养老保险支出。</w:t>
      </w:r>
    </w:p>
    <w:p w14:paraId="10DE0D30">
      <w:pPr>
        <w:spacing w:line="600" w:lineRule="exact"/>
        <w:ind w:firstLine="640" w:firstLineChars="200"/>
        <w:rPr>
          <w:rFonts w:hint="eastAsia" w:ascii="仿宋" w:hAnsi="仿宋" w:eastAsia="仿宋" w:cs="宋体"/>
          <w:color w:val="000000"/>
          <w:kern w:val="0"/>
          <w:sz w:val="32"/>
          <w:szCs w:val="32"/>
        </w:rPr>
      </w:pPr>
      <w:r>
        <w:rPr>
          <w:rStyle w:val="17"/>
          <w:rFonts w:hint="eastAsia" w:ascii="仿宋" w:hAnsi="仿宋" w:eastAsia="仿宋"/>
          <w:b w:val="0"/>
          <w:bCs w:val="0"/>
          <w:color w:val="auto"/>
          <w:sz w:val="32"/>
          <w:szCs w:val="32"/>
          <w:highlight w:val="none"/>
          <w:lang w:val="en-US" w:eastAsia="zh-CN"/>
        </w:rPr>
        <w:t>14.</w:t>
      </w:r>
      <w:r>
        <w:rPr>
          <w:rStyle w:val="17"/>
          <w:rFonts w:hint="eastAsia" w:ascii="仿宋" w:hAnsi="仿宋" w:eastAsia="仿宋"/>
          <w:b w:val="0"/>
          <w:bCs w:val="0"/>
          <w:color w:val="auto"/>
          <w:sz w:val="32"/>
          <w:szCs w:val="32"/>
          <w:highlight w:val="none"/>
        </w:rPr>
        <w:t>社会保障和就业（类）行政事业单位养老支出（款）机关事业单位职业年金缴费支出（项）</w:t>
      </w:r>
      <w:r>
        <w:rPr>
          <w:rStyle w:val="17"/>
          <w:rFonts w:hint="eastAsia" w:ascii="仿宋" w:hAnsi="仿宋" w:eastAsia="仿宋"/>
          <w:b w:val="0"/>
          <w:bCs w:val="0"/>
          <w:color w:val="auto"/>
          <w:sz w:val="32"/>
          <w:szCs w:val="32"/>
          <w:highlight w:val="none"/>
          <w:lang w:eastAsia="zh-CN"/>
        </w:rPr>
        <w:t>：</w:t>
      </w:r>
      <w:r>
        <w:rPr>
          <w:rStyle w:val="17"/>
          <w:rFonts w:ascii="仿宋" w:hAnsi="仿宋" w:eastAsia="仿宋"/>
          <w:b w:val="0"/>
          <w:bCs w:val="0"/>
          <w:color w:val="auto"/>
          <w:sz w:val="32"/>
          <w:szCs w:val="32"/>
          <w:highlight w:val="none"/>
        </w:rPr>
        <w:t xml:space="preserve"> </w:t>
      </w:r>
      <w:r>
        <w:rPr>
          <w:rFonts w:hint="eastAsia" w:ascii="仿宋" w:hAnsi="仿宋" w:eastAsia="仿宋" w:cs="宋体"/>
          <w:color w:val="000000"/>
          <w:kern w:val="0"/>
          <w:sz w:val="32"/>
          <w:szCs w:val="32"/>
        </w:rPr>
        <w:t>反映机关事业单位实施养老保险制度由单位缴纳的职业年金支出。</w:t>
      </w:r>
    </w:p>
    <w:p w14:paraId="73E392B7">
      <w:pPr>
        <w:spacing w:line="600" w:lineRule="exact"/>
        <w:ind w:firstLine="640" w:firstLineChars="200"/>
        <w:rPr>
          <w:rFonts w:hint="eastAsia" w:ascii="仿宋" w:hAnsi="仿宋" w:eastAsia="仿宋" w:cs="宋体"/>
          <w:color w:val="000000"/>
          <w:kern w:val="0"/>
          <w:sz w:val="32"/>
          <w:szCs w:val="32"/>
        </w:rPr>
      </w:pPr>
      <w:r>
        <w:rPr>
          <w:rStyle w:val="17"/>
          <w:rFonts w:hint="eastAsia" w:ascii="仿宋" w:hAnsi="仿宋" w:eastAsia="仿宋"/>
          <w:b w:val="0"/>
          <w:bCs w:val="0"/>
          <w:color w:val="auto"/>
          <w:sz w:val="32"/>
          <w:szCs w:val="32"/>
          <w:highlight w:val="none"/>
          <w:lang w:val="en-US" w:eastAsia="zh-CN"/>
        </w:rPr>
        <w:t>15.</w:t>
      </w:r>
      <w:r>
        <w:rPr>
          <w:rStyle w:val="17"/>
          <w:rFonts w:hint="eastAsia" w:ascii="仿宋" w:hAnsi="仿宋" w:eastAsia="仿宋"/>
          <w:b w:val="0"/>
          <w:bCs w:val="0"/>
          <w:color w:val="auto"/>
          <w:sz w:val="32"/>
          <w:szCs w:val="32"/>
          <w:highlight w:val="none"/>
        </w:rPr>
        <w:t>社会保障和就业（类）抚恤（款）死亡抚恤（项）</w:t>
      </w:r>
      <w:r>
        <w:rPr>
          <w:rStyle w:val="17"/>
          <w:rFonts w:hint="eastAsia" w:ascii="仿宋" w:hAnsi="仿宋" w:eastAsia="仿宋"/>
          <w:b w:val="0"/>
          <w:bCs w:val="0"/>
          <w:color w:val="auto"/>
          <w:sz w:val="32"/>
          <w:szCs w:val="32"/>
          <w:highlight w:val="none"/>
          <w:lang w:eastAsia="zh-CN"/>
        </w:rPr>
        <w:t>：</w:t>
      </w:r>
      <w:r>
        <w:rPr>
          <w:rStyle w:val="17"/>
          <w:rFonts w:ascii="仿宋" w:hAnsi="仿宋" w:eastAsia="仿宋"/>
          <w:b w:val="0"/>
          <w:bCs w:val="0"/>
          <w:color w:val="auto"/>
          <w:sz w:val="32"/>
          <w:szCs w:val="32"/>
          <w:highlight w:val="none"/>
        </w:rPr>
        <w:t xml:space="preserve"> </w:t>
      </w:r>
      <w:r>
        <w:rPr>
          <w:rFonts w:hint="eastAsia" w:ascii="仿宋" w:hAnsi="仿宋" w:eastAsia="仿宋" w:cs="宋体"/>
          <w:color w:val="000000"/>
          <w:kern w:val="0"/>
          <w:sz w:val="32"/>
          <w:szCs w:val="32"/>
        </w:rPr>
        <w:t>反映机关事业单位实施</w:t>
      </w:r>
      <w:r>
        <w:rPr>
          <w:rFonts w:hint="eastAsia" w:ascii="仿宋" w:hAnsi="仿宋" w:eastAsia="仿宋" w:cs="宋体"/>
          <w:color w:val="000000"/>
          <w:kern w:val="0"/>
          <w:sz w:val="32"/>
          <w:szCs w:val="32"/>
          <w:lang w:eastAsia="zh-CN"/>
        </w:rPr>
        <w:t>抚恤</w:t>
      </w:r>
      <w:r>
        <w:rPr>
          <w:rFonts w:hint="eastAsia" w:ascii="仿宋" w:hAnsi="仿宋" w:eastAsia="仿宋" w:cs="宋体"/>
          <w:color w:val="000000"/>
          <w:kern w:val="0"/>
          <w:sz w:val="32"/>
          <w:szCs w:val="32"/>
        </w:rPr>
        <w:t>制度由单位缴纳的</w:t>
      </w:r>
      <w:r>
        <w:rPr>
          <w:rFonts w:hint="eastAsia" w:ascii="仿宋" w:hAnsi="仿宋" w:eastAsia="仿宋" w:cs="宋体"/>
          <w:color w:val="000000"/>
          <w:kern w:val="0"/>
          <w:sz w:val="32"/>
          <w:szCs w:val="32"/>
          <w:lang w:eastAsia="zh-CN"/>
        </w:rPr>
        <w:t>抚恤方面</w:t>
      </w:r>
      <w:r>
        <w:rPr>
          <w:rFonts w:hint="eastAsia" w:ascii="仿宋" w:hAnsi="仿宋" w:eastAsia="仿宋" w:cs="宋体"/>
          <w:color w:val="000000"/>
          <w:kern w:val="0"/>
          <w:sz w:val="32"/>
          <w:szCs w:val="32"/>
        </w:rPr>
        <w:t>支出。</w:t>
      </w:r>
      <w:r>
        <w:rPr>
          <w:rStyle w:val="17"/>
          <w:rFonts w:hint="eastAsia" w:ascii="仿宋" w:hAnsi="仿宋" w:eastAsia="仿宋"/>
          <w:b w:val="0"/>
          <w:bCs w:val="0"/>
          <w:color w:val="auto"/>
          <w:sz w:val="32"/>
          <w:szCs w:val="32"/>
          <w:highlight w:val="none"/>
        </w:rPr>
        <w:br w:type="textWrapping"/>
      </w:r>
      <w:r>
        <w:rPr>
          <w:rStyle w:val="17"/>
          <w:rFonts w:hint="eastAsia" w:ascii="仿宋" w:hAnsi="仿宋" w:eastAsia="仿宋"/>
          <w:b w:val="0"/>
          <w:bCs w:val="0"/>
          <w:color w:val="auto"/>
          <w:sz w:val="32"/>
          <w:szCs w:val="32"/>
          <w:highlight w:val="none"/>
          <w:lang w:val="en-US" w:eastAsia="zh-CN"/>
        </w:rPr>
        <w:t xml:space="preserve">    16.</w:t>
      </w:r>
      <w:r>
        <w:rPr>
          <w:rStyle w:val="17"/>
          <w:rFonts w:hint="eastAsia" w:ascii="仿宋" w:hAnsi="仿宋" w:eastAsia="仿宋"/>
          <w:b w:val="0"/>
          <w:bCs w:val="0"/>
          <w:color w:val="auto"/>
          <w:sz w:val="32"/>
          <w:szCs w:val="32"/>
          <w:highlight w:val="none"/>
        </w:rPr>
        <w:t>社会保障和就业（类）其他社会保障和就业支出（款）其他社会保障和就业支出（项）</w:t>
      </w:r>
      <w:r>
        <w:rPr>
          <w:rStyle w:val="17"/>
          <w:rFonts w:hint="eastAsia" w:ascii="仿宋" w:hAnsi="仿宋" w:eastAsia="仿宋"/>
          <w:b w:val="0"/>
          <w:bCs w:val="0"/>
          <w:color w:val="auto"/>
          <w:sz w:val="32"/>
          <w:szCs w:val="32"/>
          <w:highlight w:val="none"/>
          <w:lang w:eastAsia="zh-CN"/>
        </w:rPr>
        <w:t>：</w:t>
      </w:r>
      <w:r>
        <w:rPr>
          <w:rStyle w:val="17"/>
          <w:rFonts w:ascii="仿宋" w:hAnsi="仿宋" w:eastAsia="仿宋"/>
          <w:b w:val="0"/>
          <w:bCs w:val="0"/>
          <w:color w:val="auto"/>
          <w:sz w:val="32"/>
          <w:szCs w:val="32"/>
          <w:highlight w:val="none"/>
        </w:rPr>
        <w:t xml:space="preserve"> </w:t>
      </w:r>
      <w:r>
        <w:rPr>
          <w:rFonts w:hint="eastAsia" w:ascii="仿宋" w:hAnsi="仿宋" w:eastAsia="仿宋" w:cs="宋体"/>
          <w:color w:val="000000"/>
          <w:kern w:val="0"/>
          <w:sz w:val="32"/>
          <w:szCs w:val="32"/>
        </w:rPr>
        <w:t>反映除上述项目以外其他用于行政事业单位养老方面的支出。</w:t>
      </w:r>
    </w:p>
    <w:p w14:paraId="6EAE5FA7">
      <w:pPr>
        <w:spacing w:line="600" w:lineRule="exact"/>
        <w:ind w:firstLine="643" w:firstLineChars="200"/>
        <w:rPr>
          <w:rStyle w:val="17"/>
          <w:rFonts w:ascii="仿宋" w:hAnsi="仿宋" w:eastAsia="仿宋"/>
          <w:b w:val="0"/>
          <w:bCs/>
          <w:color w:val="000000"/>
          <w:sz w:val="32"/>
          <w:szCs w:val="32"/>
        </w:rPr>
      </w:pPr>
      <w:r>
        <w:rPr>
          <w:rStyle w:val="17"/>
          <w:rFonts w:hint="eastAsia" w:ascii="仿宋" w:hAnsi="仿宋" w:eastAsia="仿宋"/>
          <w:bCs/>
          <w:color w:val="000000"/>
          <w:sz w:val="32"/>
          <w:szCs w:val="32"/>
        </w:rPr>
        <w:t>17</w:t>
      </w:r>
      <w:r>
        <w:rPr>
          <w:rStyle w:val="17"/>
          <w:rFonts w:ascii="仿宋" w:hAnsi="仿宋" w:eastAsia="仿宋"/>
          <w:bCs/>
          <w:color w:val="000000"/>
          <w:sz w:val="32"/>
          <w:szCs w:val="32"/>
        </w:rPr>
        <w:t>.</w:t>
      </w:r>
      <w:r>
        <w:rPr>
          <w:rFonts w:hint="eastAsia" w:ascii="仿宋" w:hAnsi="仿宋" w:eastAsia="仿宋" w:cs="宋体"/>
          <w:color w:val="000000"/>
          <w:kern w:val="0"/>
          <w:sz w:val="32"/>
          <w:szCs w:val="32"/>
        </w:rPr>
        <w:t xml:space="preserve"> </w:t>
      </w:r>
      <w:r>
        <w:rPr>
          <w:rFonts w:hint="eastAsia" w:ascii="仿宋" w:hAnsi="仿宋" w:eastAsia="仿宋" w:cs="宋体"/>
          <w:color w:val="000000"/>
          <w:kern w:val="0"/>
          <w:sz w:val="32"/>
          <w:szCs w:val="32"/>
          <w:lang w:eastAsia="zh-CN"/>
        </w:rPr>
        <w:t>卫生健康</w:t>
      </w:r>
      <w:r>
        <w:rPr>
          <w:rFonts w:hint="eastAsia" w:ascii="仿宋" w:hAnsi="仿宋" w:eastAsia="仿宋" w:cs="宋体"/>
          <w:color w:val="000000"/>
          <w:kern w:val="0"/>
          <w:sz w:val="32"/>
          <w:szCs w:val="32"/>
        </w:rPr>
        <w:t>（类）行政事业单位医疗（款）事业单位医疗（项）：反映财政部门安排的事业单位基本医疗保险缴费经费，未参加医疗保险的事业单位的公费医疗经费，按国家规定享受离休人员待遇的医疗经费。</w:t>
      </w:r>
    </w:p>
    <w:p w14:paraId="7E253A0A">
      <w:pPr>
        <w:spacing w:line="600" w:lineRule="exact"/>
        <w:ind w:firstLine="643" w:firstLineChars="200"/>
        <w:rPr>
          <w:rStyle w:val="17"/>
          <w:rFonts w:ascii="仿宋" w:hAnsi="仿宋" w:eastAsia="仿宋"/>
          <w:b w:val="0"/>
          <w:bCs/>
          <w:color w:val="000000"/>
          <w:sz w:val="32"/>
          <w:szCs w:val="32"/>
        </w:rPr>
      </w:pPr>
      <w:r>
        <w:rPr>
          <w:rStyle w:val="17"/>
          <w:rFonts w:hint="eastAsia" w:ascii="仿宋" w:hAnsi="仿宋" w:eastAsia="仿宋"/>
          <w:bCs/>
          <w:color w:val="000000"/>
          <w:sz w:val="32"/>
          <w:szCs w:val="32"/>
        </w:rPr>
        <w:t>18</w:t>
      </w:r>
      <w:r>
        <w:rPr>
          <w:rStyle w:val="17"/>
          <w:rFonts w:ascii="仿宋" w:hAnsi="仿宋" w:eastAsia="仿宋"/>
          <w:bCs/>
          <w:color w:val="000000"/>
          <w:sz w:val="32"/>
          <w:szCs w:val="32"/>
        </w:rPr>
        <w:t>.</w:t>
      </w:r>
      <w:r>
        <w:rPr>
          <w:rFonts w:hint="eastAsia" w:ascii="仿宋" w:hAnsi="仿宋" w:eastAsia="仿宋" w:cs="宋体"/>
          <w:color w:val="000000"/>
          <w:kern w:val="0"/>
          <w:sz w:val="32"/>
          <w:szCs w:val="32"/>
        </w:rPr>
        <w:t xml:space="preserve"> </w:t>
      </w:r>
      <w:r>
        <w:rPr>
          <w:rFonts w:hint="eastAsia" w:ascii="仿宋" w:hAnsi="仿宋" w:eastAsia="仿宋" w:cs="宋体"/>
          <w:color w:val="000000"/>
          <w:kern w:val="0"/>
          <w:sz w:val="32"/>
          <w:szCs w:val="32"/>
          <w:lang w:eastAsia="zh-CN"/>
        </w:rPr>
        <w:t>卫生健康</w:t>
      </w:r>
      <w:r>
        <w:rPr>
          <w:rFonts w:hint="eastAsia" w:ascii="仿宋" w:hAnsi="仿宋" w:eastAsia="仿宋" w:cs="宋体"/>
          <w:color w:val="000000"/>
          <w:kern w:val="0"/>
          <w:sz w:val="32"/>
          <w:szCs w:val="32"/>
        </w:rPr>
        <w:t>（类）行政事业单位医疗（款）公务员医疗补助（项）：反映财政部门安排的公务员医疗补助经费。</w:t>
      </w:r>
    </w:p>
    <w:p w14:paraId="4C335973">
      <w:pPr>
        <w:ind w:firstLine="640" w:firstLineChars="200"/>
        <w:rPr>
          <w:rFonts w:ascii="仿宋_GB2312" w:eastAsia="仿宋_GB2312"/>
          <w:color w:val="auto"/>
          <w:sz w:val="32"/>
          <w:szCs w:val="32"/>
          <w:highlight w:val="none"/>
        </w:rPr>
      </w:pPr>
      <w:r>
        <w:rPr>
          <w:rStyle w:val="17"/>
          <w:rFonts w:hint="eastAsia" w:ascii="仿宋" w:hAnsi="仿宋" w:eastAsia="仿宋"/>
          <w:b w:val="0"/>
          <w:bCs w:val="0"/>
          <w:i w:val="0"/>
          <w:iCs w:val="0"/>
          <w:color w:val="auto"/>
          <w:sz w:val="32"/>
          <w:szCs w:val="32"/>
          <w:highlight w:val="none"/>
          <w:lang w:val="en-US" w:eastAsia="zh-CN"/>
        </w:rPr>
        <w:t>19.住房保障支出</w:t>
      </w:r>
      <w:r>
        <w:rPr>
          <w:rStyle w:val="17"/>
          <w:rFonts w:hint="eastAsia" w:ascii="仿宋" w:hAnsi="仿宋" w:eastAsia="仿宋"/>
          <w:b w:val="0"/>
          <w:bCs w:val="0"/>
          <w:i w:val="0"/>
          <w:iCs w:val="0"/>
          <w:color w:val="auto"/>
          <w:sz w:val="32"/>
          <w:szCs w:val="32"/>
          <w:highlight w:val="none"/>
        </w:rPr>
        <w:t>（类）住房改革支出（款）住房公积金（</w:t>
      </w:r>
      <w:r>
        <w:rPr>
          <w:rStyle w:val="17"/>
          <w:rFonts w:hint="eastAsia" w:ascii="仿宋" w:hAnsi="仿宋" w:eastAsia="仿宋"/>
          <w:b w:val="0"/>
          <w:bCs w:val="0"/>
          <w:i w:val="0"/>
          <w:iCs w:val="0"/>
          <w:color w:val="auto"/>
          <w:sz w:val="32"/>
          <w:szCs w:val="32"/>
          <w:highlight w:val="none"/>
          <w:lang w:eastAsia="zh-CN"/>
        </w:rPr>
        <w:t>项</w:t>
      </w:r>
      <w:r>
        <w:rPr>
          <w:rStyle w:val="17"/>
          <w:rFonts w:hint="eastAsia" w:ascii="仿宋" w:hAnsi="仿宋" w:eastAsia="仿宋"/>
          <w:b w:val="0"/>
          <w:bCs w:val="0"/>
          <w:i w:val="0"/>
          <w:iCs w:val="0"/>
          <w:color w:val="auto"/>
          <w:sz w:val="32"/>
          <w:szCs w:val="32"/>
          <w:highlight w:val="none"/>
        </w:rPr>
        <w:t>）</w:t>
      </w:r>
      <w:r>
        <w:rPr>
          <w:rStyle w:val="17"/>
          <w:rFonts w:hint="eastAsia" w:ascii="仿宋" w:hAnsi="仿宋" w:eastAsia="仿宋"/>
          <w:b w:val="0"/>
          <w:bCs w:val="0"/>
          <w:i w:val="0"/>
          <w:iCs w:val="0"/>
          <w:color w:val="auto"/>
          <w:sz w:val="32"/>
          <w:szCs w:val="32"/>
          <w:highlight w:val="none"/>
          <w:lang w:eastAsia="zh-CN"/>
        </w:rPr>
        <w:t>：</w:t>
      </w:r>
      <w:r>
        <w:rPr>
          <w:rFonts w:hint="eastAsia" w:ascii="仿宋" w:hAnsi="仿宋" w:eastAsia="仿宋"/>
          <w:color w:val="000000"/>
          <w:sz w:val="32"/>
          <w:szCs w:val="32"/>
        </w:rPr>
        <w:t>指反映行政事业单位按人</w:t>
      </w:r>
      <w:r>
        <w:rPr>
          <w:rFonts w:hint="eastAsia" w:ascii="仿宋" w:hAnsi="仿宋" w:eastAsia="仿宋"/>
          <w:color w:val="000000"/>
          <w:sz w:val="32"/>
          <w:szCs w:val="32"/>
          <w:lang w:val="en-US" w:eastAsia="zh-CN"/>
        </w:rPr>
        <w:t>力</w:t>
      </w:r>
      <w:r>
        <w:rPr>
          <w:rFonts w:hint="eastAsia" w:ascii="仿宋" w:hAnsi="仿宋" w:eastAsia="仿宋"/>
          <w:color w:val="000000"/>
          <w:sz w:val="32"/>
          <w:szCs w:val="32"/>
        </w:rPr>
        <w:t>资源和社会保障部、财政部规定的基本工资和津贴补贴以及规定比例为职工缴纳的住房公积金</w:t>
      </w:r>
      <w:r>
        <w:rPr>
          <w:rFonts w:hint="eastAsia" w:ascii="仿宋" w:hAnsi="仿宋" w:eastAsia="仿宋"/>
          <w:color w:val="000000"/>
          <w:sz w:val="32"/>
          <w:szCs w:val="32"/>
          <w:lang w:eastAsia="zh-CN"/>
        </w:rPr>
        <w:t>。</w:t>
      </w:r>
    </w:p>
    <w:p w14:paraId="4FC6E7DE">
      <w:pPr>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基本支出：指为保障机构正常运转、完成日常工作任务而发生的人员支出和公用支出。</w:t>
      </w:r>
    </w:p>
    <w:p w14:paraId="5FCC40E1">
      <w:pPr>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w:t>
      </w:r>
      <w:r>
        <w:rPr>
          <w:rFonts w:hint="eastAsia" w:ascii="仿宋_GB2312" w:eastAsia="仿宋_GB2312"/>
          <w:color w:val="auto"/>
          <w:sz w:val="32"/>
          <w:szCs w:val="32"/>
          <w:highlight w:val="none"/>
          <w:lang w:val="en-US" w:eastAsia="zh-CN"/>
        </w:rPr>
        <w:t>1</w:t>
      </w:r>
      <w:r>
        <w:rPr>
          <w:rFonts w:ascii="仿宋_GB2312" w:eastAsia="仿宋_GB2312"/>
          <w:color w:val="auto"/>
          <w:sz w:val="32"/>
          <w:szCs w:val="32"/>
          <w:highlight w:val="none"/>
        </w:rPr>
        <w:t>.</w:t>
      </w:r>
      <w:r>
        <w:rPr>
          <w:rFonts w:hint="eastAsia" w:ascii="仿宋_GB2312" w:eastAsia="仿宋_GB2312"/>
          <w:color w:val="auto"/>
          <w:sz w:val="32"/>
          <w:szCs w:val="32"/>
          <w:highlight w:val="none"/>
        </w:rPr>
        <w:t>项目支出：指在基本支出之外为完成特定行政任务和事业发展目标所发生的支出。</w:t>
      </w:r>
      <w:r>
        <w:rPr>
          <w:rFonts w:ascii="仿宋_GB2312" w:eastAsia="仿宋_GB2312"/>
          <w:color w:val="auto"/>
          <w:sz w:val="32"/>
          <w:szCs w:val="32"/>
          <w:highlight w:val="none"/>
        </w:rPr>
        <w:t xml:space="preserve"> </w:t>
      </w:r>
    </w:p>
    <w:p w14:paraId="1D4E61D8">
      <w:pPr>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w:t>
      </w:r>
      <w:r>
        <w:rPr>
          <w:rFonts w:hint="eastAsia" w:ascii="仿宋_GB2312" w:eastAsia="仿宋_GB2312"/>
          <w:color w:val="auto"/>
          <w:sz w:val="32"/>
          <w:szCs w:val="32"/>
          <w:highlight w:val="none"/>
          <w:lang w:val="en-US" w:eastAsia="zh-CN"/>
        </w:rPr>
        <w:t>2</w:t>
      </w:r>
      <w:r>
        <w:rPr>
          <w:rFonts w:ascii="仿宋_GB2312" w:eastAsia="仿宋_GB2312"/>
          <w:color w:val="auto"/>
          <w:sz w:val="32"/>
          <w:szCs w:val="32"/>
          <w:highlight w:val="none"/>
        </w:rPr>
        <w:t>.</w:t>
      </w:r>
      <w:r>
        <w:rPr>
          <w:rFonts w:hint="eastAsia" w:ascii="仿宋_GB2312" w:eastAsia="仿宋_GB2312"/>
          <w:color w:val="auto"/>
          <w:sz w:val="32"/>
          <w:szCs w:val="32"/>
          <w:highlight w:val="none"/>
        </w:rPr>
        <w:t>经营支出：指事业单位在专业业务活动及其辅助活动之外开展非独立核算经营活动发生的支出。</w:t>
      </w:r>
    </w:p>
    <w:p w14:paraId="03FC86ED">
      <w:pPr>
        <w:pStyle w:val="26"/>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23</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“三公”经费：指</w:t>
      </w:r>
      <w:r>
        <w:rPr>
          <w:rFonts w:hint="eastAsia" w:ascii="仿宋_GB2312" w:eastAsia="仿宋_GB2312"/>
          <w:color w:val="auto"/>
          <w:sz w:val="32"/>
          <w:szCs w:val="32"/>
          <w:highlight w:val="none"/>
          <w:lang w:eastAsia="zh-CN"/>
        </w:rPr>
        <w:t>单位</w:t>
      </w:r>
      <w:r>
        <w:rPr>
          <w:rFonts w:hint="eastAsia" w:ascii="仿宋_GB2312" w:eastAsia="仿宋_GB2312"/>
          <w:color w:val="auto"/>
          <w:sz w:val="32"/>
          <w:szCs w:val="32"/>
          <w:highlight w:val="none"/>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7F9E48F4">
      <w:pPr>
        <w:spacing w:line="600" w:lineRule="exact"/>
        <w:jc w:val="both"/>
        <w:outlineLvl w:val="0"/>
        <w:rPr>
          <w:rFonts w:hint="eastAsia" w:ascii="黑体" w:hAnsi="黑体" w:eastAsia="黑体"/>
          <w:sz w:val="44"/>
          <w:szCs w:val="44"/>
        </w:rPr>
      </w:pPr>
    </w:p>
    <w:p w14:paraId="7AA075A2">
      <w:pPr>
        <w:spacing w:line="600" w:lineRule="exact"/>
        <w:jc w:val="center"/>
        <w:outlineLvl w:val="0"/>
        <w:rPr>
          <w:rFonts w:hint="eastAsia" w:ascii="黑体" w:hAnsi="黑体" w:eastAsia="黑体"/>
          <w:sz w:val="44"/>
          <w:szCs w:val="44"/>
        </w:rPr>
      </w:pPr>
    </w:p>
    <w:p w14:paraId="55F6531F">
      <w:pPr>
        <w:spacing w:line="600" w:lineRule="exact"/>
        <w:jc w:val="center"/>
        <w:outlineLvl w:val="0"/>
        <w:rPr>
          <w:rFonts w:hint="eastAsia" w:ascii="黑体" w:hAnsi="黑体" w:eastAsia="黑体"/>
          <w:sz w:val="44"/>
          <w:szCs w:val="44"/>
        </w:rPr>
      </w:pPr>
    </w:p>
    <w:p w14:paraId="6F1B3B98">
      <w:pPr>
        <w:spacing w:line="600" w:lineRule="exact"/>
        <w:jc w:val="center"/>
        <w:outlineLvl w:val="0"/>
        <w:rPr>
          <w:rFonts w:hint="eastAsia" w:ascii="黑体" w:hAnsi="黑体" w:eastAsia="黑体"/>
          <w:sz w:val="44"/>
          <w:szCs w:val="44"/>
        </w:rPr>
      </w:pPr>
    </w:p>
    <w:p w14:paraId="26C53D78">
      <w:pPr>
        <w:spacing w:line="600" w:lineRule="exact"/>
        <w:jc w:val="center"/>
        <w:outlineLvl w:val="0"/>
        <w:rPr>
          <w:rFonts w:hint="eastAsia" w:ascii="黑体" w:hAnsi="黑体" w:eastAsia="黑体"/>
          <w:sz w:val="44"/>
          <w:szCs w:val="44"/>
        </w:rPr>
      </w:pPr>
    </w:p>
    <w:p w14:paraId="25F3FA8D">
      <w:pPr>
        <w:spacing w:line="600" w:lineRule="exact"/>
        <w:jc w:val="center"/>
        <w:outlineLvl w:val="0"/>
        <w:rPr>
          <w:rFonts w:hint="eastAsia" w:ascii="黑体" w:hAnsi="黑体" w:eastAsia="黑体"/>
          <w:sz w:val="44"/>
          <w:szCs w:val="44"/>
        </w:rPr>
      </w:pPr>
    </w:p>
    <w:p w14:paraId="2BAA371E">
      <w:pPr>
        <w:spacing w:line="600" w:lineRule="exact"/>
        <w:jc w:val="center"/>
        <w:outlineLvl w:val="0"/>
        <w:rPr>
          <w:rFonts w:hint="eastAsia" w:ascii="黑体" w:hAnsi="黑体" w:eastAsia="黑体"/>
          <w:sz w:val="44"/>
          <w:szCs w:val="44"/>
        </w:rPr>
      </w:pPr>
    </w:p>
    <w:p w14:paraId="3A7DDD59">
      <w:pPr>
        <w:numPr>
          <w:ilvl w:val="0"/>
          <w:numId w:val="0"/>
        </w:numPr>
        <w:spacing w:line="600" w:lineRule="exact"/>
        <w:jc w:val="center"/>
        <w:outlineLvl w:val="0"/>
        <w:rPr>
          <w:rStyle w:val="28"/>
          <w:rFonts w:hint="eastAsia" w:ascii="黑体" w:hAnsi="黑体" w:eastAsia="黑体"/>
          <w:b w:val="0"/>
          <w:lang w:eastAsia="zh-CN"/>
        </w:rPr>
      </w:pPr>
    </w:p>
    <w:p w14:paraId="0CE812B2">
      <w:pPr>
        <w:numPr>
          <w:ilvl w:val="0"/>
          <w:numId w:val="0"/>
        </w:numPr>
        <w:spacing w:line="600" w:lineRule="exact"/>
        <w:jc w:val="center"/>
        <w:outlineLvl w:val="0"/>
        <w:rPr>
          <w:rStyle w:val="28"/>
          <w:rFonts w:hint="eastAsia" w:ascii="黑体" w:hAnsi="黑体" w:eastAsia="黑体"/>
          <w:b w:val="0"/>
          <w:lang w:eastAsia="zh-CN"/>
        </w:rPr>
      </w:pPr>
    </w:p>
    <w:p w14:paraId="7DF87C06">
      <w:pPr>
        <w:numPr>
          <w:ilvl w:val="0"/>
          <w:numId w:val="0"/>
        </w:numPr>
        <w:spacing w:line="600" w:lineRule="exact"/>
        <w:jc w:val="center"/>
        <w:outlineLvl w:val="0"/>
        <w:rPr>
          <w:rStyle w:val="28"/>
          <w:rFonts w:hint="eastAsia" w:ascii="黑体" w:hAnsi="黑体" w:eastAsia="黑体"/>
          <w:b w:val="0"/>
        </w:rPr>
      </w:pPr>
      <w:r>
        <w:rPr>
          <w:rStyle w:val="28"/>
          <w:rFonts w:hint="eastAsia" w:ascii="黑体" w:hAnsi="黑体" w:eastAsia="黑体"/>
          <w:b w:val="0"/>
          <w:lang w:eastAsia="zh-CN"/>
        </w:rPr>
        <w:t>第四部分</w:t>
      </w:r>
      <w:r>
        <w:rPr>
          <w:rStyle w:val="28"/>
          <w:rFonts w:hint="eastAsia" w:ascii="黑体" w:hAnsi="黑体" w:eastAsia="黑体"/>
          <w:b w:val="0"/>
          <w:lang w:val="en-US" w:eastAsia="zh-CN"/>
        </w:rPr>
        <w:t xml:space="preserve"> </w:t>
      </w:r>
      <w:r>
        <w:rPr>
          <w:rStyle w:val="28"/>
          <w:rFonts w:hint="eastAsia" w:ascii="黑体" w:hAnsi="黑体" w:eastAsia="黑体"/>
          <w:b w:val="0"/>
        </w:rPr>
        <w:t>附件</w:t>
      </w:r>
      <w:bookmarkEnd w:id="53"/>
    </w:p>
    <w:p w14:paraId="4533DEBA">
      <w:pPr>
        <w:pStyle w:val="2"/>
        <w:numPr>
          <w:ilvl w:val="0"/>
          <w:numId w:val="0"/>
        </w:numPr>
        <w:ind w:leftChars="150"/>
        <w:jc w:val="center"/>
        <w:rPr>
          <w:rFonts w:hAnsi="Calibri" w:cs="仿宋"/>
          <w:sz w:val="32"/>
          <w:szCs w:val="32"/>
        </w:rPr>
      </w:pPr>
      <w:r>
        <w:rPr>
          <w:rFonts w:hint="eastAsia" w:hAnsi="Times New Roman" w:cs="Times New Roman"/>
          <w:sz w:val="32"/>
          <w:szCs w:val="32"/>
          <w:highlight w:val="none"/>
          <w:lang w:val="en-US" w:eastAsia="zh-CN"/>
        </w:rPr>
        <w:t>部门预算项目支出绩效自评表（202</w:t>
      </w:r>
      <w:r>
        <w:rPr>
          <w:rFonts w:hint="eastAsia" w:cs="Times New Roman"/>
          <w:sz w:val="32"/>
          <w:szCs w:val="32"/>
          <w:highlight w:val="none"/>
          <w:lang w:val="en-US" w:eastAsia="zh-CN"/>
        </w:rPr>
        <w:t>3</w:t>
      </w:r>
      <w:r>
        <w:rPr>
          <w:rFonts w:hint="eastAsia" w:hAnsi="Times New Roman" w:cs="Times New Roman"/>
          <w:sz w:val="32"/>
          <w:szCs w:val="32"/>
          <w:highlight w:val="none"/>
          <w:lang w:val="en-US" w:eastAsia="zh-CN"/>
        </w:rPr>
        <w:t>年度）</w:t>
      </w:r>
    </w:p>
    <w:p w14:paraId="079451D1">
      <w:pPr>
        <w:spacing w:line="600" w:lineRule="exact"/>
        <w:jc w:val="both"/>
        <w:outlineLvl w:val="0"/>
        <w:rPr>
          <w:rFonts w:hint="eastAsia" w:ascii="黑体" w:hAnsi="黑体" w:eastAsia="黑体"/>
          <w:sz w:val="44"/>
          <w:szCs w:val="44"/>
        </w:rPr>
      </w:pPr>
    </w:p>
    <w:p w14:paraId="761F9BB2">
      <w:pPr>
        <w:pStyle w:val="2"/>
        <w:rPr>
          <w:rFonts w:hAnsi="Calibri" w:cs="仿宋"/>
          <w:sz w:val="32"/>
          <w:szCs w:val="32"/>
        </w:rPr>
      </w:pPr>
      <w:bookmarkStart w:id="57" w:name="_Toc15396618"/>
      <w:r>
        <w:rPr>
          <w:rFonts w:hint="eastAsia" w:ascii="黑体" w:hAnsi="黑体" w:eastAsia="黑体"/>
          <w:sz w:val="44"/>
          <w:szCs w:val="44"/>
        </w:rPr>
        <w:pict>
          <v:shape id="_x0000_s1038" o:spid="_x0000_s1038" o:spt="75" type="#_x0000_t75" style="position:absolute;left:0pt;margin-left:1.8pt;margin-top:293.65pt;height:283.8pt;width:416.7pt;mso-wrap-distance-bottom:0pt;mso-wrap-distance-left:9pt;mso-wrap-distance-right:9pt;mso-wrap-distance-top:0pt;z-index:251666432;mso-width-relative:page;mso-height-relative:page;" o:ole="t" filled="f" o:preferrelative="t" stroked="f" coordsize="21600,21600">
            <v:path/>
            <v:fill on="f" focussize="0,0"/>
            <v:stroke on="f"/>
            <v:imagedata r:id="rId14" o:title=""/>
            <o:lock v:ext="edit" aspectratio="f"/>
            <w10:wrap type="square"/>
          </v:shape>
          <o:OLEObject Type="Embed" ProgID="Excel.Sheet.12" ShapeID="_x0000_s1038" DrawAspect="Content" ObjectID="_1468075725" r:id="rId13">
            <o:LockedField>false</o:LockedField>
          </o:OLEObject>
        </w:pict>
      </w:r>
      <w:r>
        <w:rPr>
          <w:rFonts w:hAnsi="Calibri" w:cs="仿宋"/>
          <w:sz w:val="32"/>
          <w:szCs w:val="32"/>
        </w:rPr>
        <w:object>
          <v:shape id="_x0000_i1025" o:spt="75" type="#_x0000_t75" style="height:274.85pt;width:416.7pt;" o:ole="t" filled="f" o:preferrelative="t" stroked="f" coordsize="21600,21600">
            <v:path/>
            <v:fill on="f" focussize="0,0"/>
            <v:stroke on="f"/>
            <v:imagedata r:id="rId16" o:title=""/>
            <o:lock v:ext="edit" aspectratio="f"/>
            <w10:wrap type="none"/>
            <w10:anchorlock/>
          </v:shape>
          <o:OLEObject Type="Embed" ProgID="Excel.Sheet.12" ShapeID="_x0000_i1025" DrawAspect="Content" ObjectID="_1468075726" r:id="rId15">
            <o:LockedField>false</o:LockedField>
          </o:OLEObject>
        </w:object>
      </w:r>
    </w:p>
    <w:p w14:paraId="174DA70D">
      <w:pPr>
        <w:pStyle w:val="2"/>
        <w:rPr>
          <w:rFonts w:hAnsi="Calibri" w:cs="仿宋"/>
          <w:sz w:val="32"/>
          <w:szCs w:val="32"/>
        </w:rPr>
      </w:pPr>
    </w:p>
    <w:p w14:paraId="2C1EB67F">
      <w:pPr>
        <w:pStyle w:val="2"/>
        <w:rPr>
          <w:rFonts w:hAnsi="Calibri" w:cs="仿宋"/>
          <w:sz w:val="32"/>
          <w:szCs w:val="32"/>
        </w:rPr>
      </w:pPr>
    </w:p>
    <w:p w14:paraId="7D1EA4BD">
      <w:pPr>
        <w:pStyle w:val="2"/>
        <w:rPr>
          <w:rFonts w:hAnsi="Calibri" w:cs="仿宋"/>
          <w:sz w:val="32"/>
          <w:szCs w:val="32"/>
        </w:rPr>
      </w:pPr>
    </w:p>
    <w:p w14:paraId="20FFBC8D">
      <w:pPr>
        <w:pStyle w:val="2"/>
        <w:rPr>
          <w:rFonts w:hint="eastAsia" w:ascii="黑体" w:hAnsi="黑体" w:eastAsia="黑体"/>
          <w:sz w:val="44"/>
          <w:szCs w:val="44"/>
        </w:rPr>
      </w:pPr>
      <w:r>
        <w:rPr>
          <w:rFonts w:hint="eastAsia" w:ascii="黑体" w:hAnsi="黑体" w:eastAsia="黑体"/>
          <w:sz w:val="44"/>
          <w:szCs w:val="44"/>
        </w:rPr>
        <w:pict>
          <v:shape id="_x0000_s1036" o:spid="_x0000_s1036" o:spt="75" type="#_x0000_t75" style="position:absolute;left:0pt;margin-left:6.3pt;margin-top:-93.65pt;height:263.55pt;width:402.7pt;mso-wrap-distance-bottom:0pt;mso-wrap-distance-left:9pt;mso-wrap-distance-right:9pt;mso-wrap-distance-top:0pt;z-index:251666432;mso-width-relative:page;mso-height-relative:page;" o:ole="t" filled="f" o:preferrelative="t" stroked="f" coordsize="21600,21600">
            <v:path/>
            <v:fill on="f" focussize="0,0"/>
            <v:stroke on="f"/>
            <v:imagedata r:id="rId18" o:title=""/>
            <o:lock v:ext="edit" aspectratio="f"/>
            <w10:wrap type="square"/>
          </v:shape>
          <o:OLEObject Type="Embed" ProgID="Excel.Sheet.12" ShapeID="_x0000_s1036" DrawAspect="Content" ObjectID="_1468075727" r:id="rId17">
            <o:LockedField>false</o:LockedField>
          </o:OLEObject>
        </w:pict>
      </w:r>
    </w:p>
    <w:p w14:paraId="62EDA4E5">
      <w:pPr>
        <w:spacing w:line="600" w:lineRule="exact"/>
        <w:jc w:val="center"/>
        <w:outlineLvl w:val="0"/>
        <w:rPr>
          <w:rFonts w:hint="eastAsia" w:ascii="黑体" w:hAnsi="黑体" w:eastAsia="黑体"/>
          <w:sz w:val="44"/>
          <w:szCs w:val="44"/>
        </w:rPr>
      </w:pPr>
    </w:p>
    <w:p w14:paraId="11A9929C">
      <w:pPr>
        <w:spacing w:line="600" w:lineRule="exact"/>
        <w:jc w:val="both"/>
        <w:outlineLvl w:val="0"/>
        <w:rPr>
          <w:rFonts w:hint="eastAsia" w:ascii="黑体" w:hAnsi="黑体" w:eastAsia="黑体"/>
          <w:sz w:val="44"/>
          <w:szCs w:val="44"/>
        </w:rPr>
      </w:pPr>
    </w:p>
    <w:p w14:paraId="4E545988">
      <w:pPr>
        <w:spacing w:line="600" w:lineRule="exact"/>
        <w:jc w:val="center"/>
        <w:outlineLvl w:val="0"/>
        <w:rPr>
          <w:rFonts w:hint="eastAsia" w:ascii="黑体" w:hAnsi="黑体" w:eastAsia="黑体"/>
          <w:sz w:val="44"/>
          <w:szCs w:val="44"/>
        </w:rPr>
      </w:pPr>
      <w:r>
        <w:rPr>
          <w:rFonts w:hint="eastAsia" w:ascii="黑体" w:hAnsi="黑体" w:eastAsia="黑体"/>
          <w:sz w:val="44"/>
          <w:szCs w:val="44"/>
        </w:rPr>
        <w:pict>
          <v:shape id="_x0000_s1040" o:spid="_x0000_s1040" o:spt="75" type="#_x0000_t75" style="position:absolute;left:0pt;margin-left:10pt;margin-top:350.05pt;height:275.3pt;width:403.55pt;mso-wrap-distance-bottom:0pt;mso-wrap-distance-left:9pt;mso-wrap-distance-right:9pt;mso-wrap-distance-top:0pt;z-index:251666432;mso-width-relative:page;mso-height-relative:page;" o:ole="t" filled="f" o:preferrelative="t" stroked="f" coordsize="21600,21600">
            <v:path/>
            <v:fill on="f" focussize="0,0"/>
            <v:stroke on="f"/>
            <v:imagedata r:id="rId20" o:title=""/>
            <o:lock v:ext="edit" aspectratio="f"/>
            <w10:wrap type="square"/>
          </v:shape>
          <o:OLEObject Type="Embed" ProgID="Excel.Sheet.12" ShapeID="_x0000_s1040" DrawAspect="Content" ObjectID="_1468075728" r:id="rId19">
            <o:LockedField>false</o:LockedField>
          </o:OLEObject>
        </w:pict>
      </w:r>
      <w:r>
        <w:rPr>
          <w:rFonts w:hint="eastAsia" w:ascii="黑体" w:hAnsi="黑体" w:eastAsia="黑体"/>
          <w:sz w:val="44"/>
          <w:szCs w:val="44"/>
        </w:rPr>
        <w:pict>
          <v:shape id="_x0000_s1039" o:spid="_x0000_s1039" o:spt="75" type="#_x0000_t75" style="position:absolute;left:0pt;margin-left:12.25pt;margin-top:7.45pt;height:316.55pt;width:402.75pt;mso-wrap-distance-bottom:0pt;mso-wrap-distance-left:9pt;mso-wrap-distance-right:9pt;mso-wrap-distance-top:0pt;z-index:251666432;mso-width-relative:page;mso-height-relative:page;" o:ole="t" filled="f" o:preferrelative="t" stroked="f" coordsize="21600,21600">
            <v:path/>
            <v:fill on="f" focussize="0,0"/>
            <v:stroke on="f"/>
            <v:imagedata r:id="rId22" o:title=""/>
            <o:lock v:ext="edit" aspectratio="f"/>
            <w10:wrap type="square"/>
          </v:shape>
          <o:OLEObject Type="Embed" ProgID="Excel.Sheet.12" ShapeID="_x0000_s1039" DrawAspect="Content" ObjectID="_1468075729" r:id="rId21">
            <o:LockedField>false</o:LockedField>
          </o:OLEObject>
        </w:pict>
      </w:r>
    </w:p>
    <w:p w14:paraId="0C2FDDA7">
      <w:pPr>
        <w:spacing w:line="600" w:lineRule="exact"/>
        <w:jc w:val="both"/>
        <w:outlineLvl w:val="0"/>
        <w:rPr>
          <w:rFonts w:hint="eastAsia" w:ascii="黑体" w:hAnsi="黑体" w:eastAsia="黑体"/>
          <w:sz w:val="44"/>
          <w:szCs w:val="44"/>
        </w:rPr>
      </w:pPr>
      <w:r>
        <w:rPr>
          <w:rFonts w:hint="eastAsia" w:ascii="黑体" w:hAnsi="黑体" w:eastAsia="黑体"/>
          <w:sz w:val="44"/>
          <w:szCs w:val="44"/>
        </w:rPr>
        <w:pict>
          <v:shape id="_x0000_s1042" o:spid="_x0000_s1042" o:spt="75" type="#_x0000_t75" style="position:absolute;left:0pt;margin-left:22.35pt;margin-top:2.25pt;height:268.35pt;width:378pt;mso-wrap-distance-bottom:0pt;mso-wrap-distance-left:9pt;mso-wrap-distance-right:9pt;mso-wrap-distance-top:0pt;z-index:251666432;mso-width-relative:page;mso-height-relative:page;" o:ole="t" filled="f" o:preferrelative="t" stroked="f" coordsize="21600,21600">
            <v:path/>
            <v:fill on="f" focussize="0,0"/>
            <v:stroke on="f"/>
            <v:imagedata r:id="rId24" o:title=""/>
            <o:lock v:ext="edit" aspectratio="f"/>
            <w10:wrap type="square"/>
          </v:shape>
          <o:OLEObject Type="Embed" ProgID="Excel.Sheet.12" ShapeID="_x0000_s1042" DrawAspect="Content" ObjectID="_1468075730" r:id="rId23">
            <o:LockedField>false</o:LockedField>
          </o:OLEObject>
        </w:pict>
      </w:r>
    </w:p>
    <w:p w14:paraId="5AA2C494">
      <w:pPr>
        <w:spacing w:line="600" w:lineRule="exact"/>
        <w:jc w:val="both"/>
        <w:outlineLvl w:val="0"/>
        <w:rPr>
          <w:rFonts w:hint="eastAsia" w:ascii="黑体" w:hAnsi="黑体" w:eastAsia="黑体"/>
          <w:sz w:val="44"/>
          <w:szCs w:val="44"/>
        </w:rPr>
      </w:pPr>
      <w:r>
        <w:rPr>
          <w:rFonts w:hint="eastAsia" w:ascii="黑体" w:hAnsi="黑体" w:eastAsia="黑体"/>
          <w:sz w:val="44"/>
          <w:szCs w:val="44"/>
        </w:rPr>
        <w:pict>
          <v:shape id="_x0000_s1041" o:spid="_x0000_s1041" o:spt="75" type="#_x0000_t75" style="position:absolute;left:0pt;margin-left:21.35pt;margin-top:13.7pt;height:299.05pt;width:381pt;mso-wrap-distance-bottom:0pt;mso-wrap-distance-left:9pt;mso-wrap-distance-right:9pt;mso-wrap-distance-top:0pt;z-index:251666432;mso-width-relative:page;mso-height-relative:page;" o:ole="t" filled="f" o:preferrelative="t" stroked="f" coordsize="21600,21600">
            <v:path/>
            <v:fill on="f" focussize="0,0"/>
            <v:stroke on="f"/>
            <v:imagedata r:id="rId26" o:title=""/>
            <o:lock v:ext="edit" aspectratio="f"/>
            <w10:wrap type="square"/>
          </v:shape>
          <o:OLEObject Type="Embed" ProgID="Excel.Sheet.12" ShapeID="_x0000_s1041" DrawAspect="Content" ObjectID="_1468075731" r:id="rId25">
            <o:LockedField>false</o:LockedField>
          </o:OLEObject>
        </w:pict>
      </w:r>
    </w:p>
    <w:p w14:paraId="7F6880AA">
      <w:pPr>
        <w:spacing w:line="600" w:lineRule="exact"/>
        <w:jc w:val="center"/>
        <w:outlineLvl w:val="0"/>
        <w:rPr>
          <w:rFonts w:hint="eastAsia" w:ascii="黑体" w:hAnsi="黑体" w:eastAsia="黑体"/>
          <w:sz w:val="44"/>
          <w:szCs w:val="44"/>
        </w:rPr>
      </w:pPr>
    </w:p>
    <w:p w14:paraId="5F76E503">
      <w:pPr>
        <w:spacing w:line="600" w:lineRule="exact"/>
        <w:jc w:val="both"/>
        <w:outlineLvl w:val="0"/>
        <w:rPr>
          <w:rFonts w:hint="eastAsia" w:ascii="黑体" w:hAnsi="黑体" w:eastAsia="黑体"/>
          <w:sz w:val="44"/>
          <w:szCs w:val="44"/>
        </w:rPr>
      </w:pPr>
    </w:p>
    <w:p w14:paraId="3D09FD15">
      <w:pPr>
        <w:spacing w:line="600" w:lineRule="exact"/>
        <w:jc w:val="both"/>
        <w:outlineLvl w:val="0"/>
        <w:rPr>
          <w:rFonts w:hint="eastAsia" w:ascii="黑体" w:hAnsi="黑体" w:eastAsia="黑体"/>
          <w:sz w:val="44"/>
          <w:szCs w:val="44"/>
        </w:rPr>
      </w:pPr>
      <w:r>
        <w:rPr>
          <w:rFonts w:hint="eastAsia" w:ascii="黑体" w:hAnsi="黑体" w:eastAsia="黑体"/>
          <w:sz w:val="44"/>
          <w:szCs w:val="44"/>
        </w:rPr>
        <w:pict>
          <v:shape id="_x0000_s1044" o:spid="_x0000_s1044" o:spt="75" type="#_x0000_t75" style="position:absolute;left:0pt;margin-left:16.05pt;margin-top:17.25pt;height:255.8pt;width:414.7pt;mso-wrap-distance-bottom:0pt;mso-wrap-distance-left:9pt;mso-wrap-distance-right:9pt;mso-wrap-distance-top:0pt;z-index:251666432;mso-width-relative:page;mso-height-relative:page;" o:ole="t" filled="f" o:preferrelative="t" stroked="f" coordsize="21600,21600">
            <v:path/>
            <v:fill on="f" focussize="0,0"/>
            <v:stroke on="f"/>
            <v:imagedata r:id="rId28" o:title=""/>
            <o:lock v:ext="edit" aspectratio="f"/>
            <w10:wrap type="square"/>
          </v:shape>
          <o:OLEObject Type="Embed" ProgID="Excel.Sheet.12" ShapeID="_x0000_s1044" DrawAspect="Content" ObjectID="_1468075732" r:id="rId27">
            <o:LockedField>false</o:LockedField>
          </o:OLEObject>
        </w:pict>
      </w:r>
    </w:p>
    <w:p w14:paraId="19C09CF4">
      <w:pPr>
        <w:spacing w:line="600" w:lineRule="exact"/>
        <w:jc w:val="center"/>
        <w:outlineLvl w:val="0"/>
        <w:rPr>
          <w:rFonts w:hint="eastAsia" w:ascii="黑体" w:hAnsi="黑体" w:eastAsia="黑体"/>
          <w:sz w:val="44"/>
          <w:szCs w:val="44"/>
        </w:rPr>
      </w:pPr>
      <w:r>
        <w:rPr>
          <w:rFonts w:hint="eastAsia" w:ascii="黑体" w:hAnsi="黑体" w:eastAsia="黑体"/>
          <w:sz w:val="44"/>
          <w:szCs w:val="44"/>
        </w:rPr>
        <w:pict>
          <v:shape id="_x0000_s1043" o:spid="_x0000_s1043" o:spt="75" type="#_x0000_t75" style="position:absolute;left:0pt;margin-left:13pt;margin-top:7.7pt;height:287.1pt;width:419.9pt;mso-wrap-distance-bottom:0pt;mso-wrap-distance-left:9pt;mso-wrap-distance-right:9pt;mso-wrap-distance-top:0pt;z-index:251666432;mso-width-relative:page;mso-height-relative:page;" o:ole="t" filled="f" o:preferrelative="t" stroked="f" coordsize="21600,21600">
            <v:path/>
            <v:fill on="f" focussize="0,0"/>
            <v:stroke on="f"/>
            <v:imagedata r:id="rId30" o:title=""/>
            <o:lock v:ext="edit" aspectratio="f"/>
            <w10:wrap type="square"/>
          </v:shape>
          <o:OLEObject Type="Embed" ProgID="Excel.Sheet.12" ShapeID="_x0000_s1043" DrawAspect="Content" ObjectID="_1468075733" r:id="rId29">
            <o:LockedField>false</o:LockedField>
          </o:OLEObject>
        </w:pict>
      </w:r>
    </w:p>
    <w:p w14:paraId="5045FA84">
      <w:pPr>
        <w:spacing w:line="600" w:lineRule="exact"/>
        <w:jc w:val="center"/>
        <w:outlineLvl w:val="0"/>
        <w:rPr>
          <w:rFonts w:hint="eastAsia" w:ascii="黑体" w:hAnsi="黑体" w:eastAsia="黑体"/>
          <w:sz w:val="44"/>
          <w:szCs w:val="44"/>
        </w:rPr>
      </w:pPr>
    </w:p>
    <w:p w14:paraId="688DCCB7">
      <w:pPr>
        <w:spacing w:line="600" w:lineRule="exact"/>
        <w:jc w:val="center"/>
        <w:outlineLvl w:val="0"/>
        <w:rPr>
          <w:rFonts w:ascii="仿宋" w:hAnsi="仿宋" w:eastAsia="仿宋"/>
        </w:rPr>
      </w:pPr>
      <w:r>
        <w:rPr>
          <w:rFonts w:hint="eastAsia" w:ascii="黑体" w:hAnsi="黑体" w:eastAsia="黑体"/>
          <w:sz w:val="44"/>
          <w:szCs w:val="44"/>
        </w:rPr>
        <w:t>第</w:t>
      </w:r>
      <w:r>
        <w:rPr>
          <w:rStyle w:val="28"/>
          <w:rFonts w:hint="eastAsia" w:ascii="黑体" w:hAnsi="黑体" w:eastAsia="黑体"/>
          <w:b w:val="0"/>
        </w:rPr>
        <w:t>五部分 附表</w:t>
      </w:r>
      <w:bookmarkEnd w:id="54"/>
      <w:bookmarkEnd w:id="57"/>
      <w:bookmarkStart w:id="58" w:name="_Toc15396619"/>
    </w:p>
    <w:p w14:paraId="7F00541A">
      <w:pPr>
        <w:pStyle w:val="4"/>
        <w:rPr>
          <w:rFonts w:ascii="仿宋" w:hAnsi="仿宋" w:eastAsia="仿宋"/>
        </w:rPr>
      </w:pPr>
      <w:r>
        <w:rPr>
          <w:rFonts w:hint="eastAsia" w:ascii="仿宋" w:hAnsi="仿宋" w:eastAsia="仿宋"/>
          <w:b w:val="0"/>
        </w:rPr>
        <w:t>一、收</w:t>
      </w:r>
      <w:r>
        <w:rPr>
          <w:rStyle w:val="29"/>
          <w:rFonts w:hint="eastAsia" w:ascii="仿宋" w:hAnsi="仿宋" w:eastAsia="仿宋"/>
          <w:b w:val="0"/>
          <w:bCs w:val="0"/>
        </w:rPr>
        <w:t>入支出决算总表</w:t>
      </w:r>
      <w:bookmarkEnd w:id="58"/>
    </w:p>
    <w:p w14:paraId="1354B96F">
      <w:pPr>
        <w:pStyle w:val="4"/>
        <w:rPr>
          <w:rFonts w:ascii="仿宋" w:hAnsi="仿宋" w:eastAsia="仿宋"/>
        </w:rPr>
      </w:pPr>
      <w:bookmarkStart w:id="59" w:name="_Toc15396620"/>
      <w:r>
        <w:rPr>
          <w:rFonts w:hint="eastAsia" w:ascii="仿宋" w:hAnsi="仿宋" w:eastAsia="仿宋"/>
          <w:b w:val="0"/>
        </w:rPr>
        <w:t>二、收</w:t>
      </w:r>
      <w:r>
        <w:rPr>
          <w:rStyle w:val="29"/>
          <w:rFonts w:hint="eastAsia" w:ascii="仿宋" w:hAnsi="仿宋" w:eastAsia="仿宋"/>
          <w:b w:val="0"/>
          <w:bCs w:val="0"/>
        </w:rPr>
        <w:t>入决算表</w:t>
      </w:r>
      <w:bookmarkEnd w:id="59"/>
    </w:p>
    <w:p w14:paraId="630910FE">
      <w:pPr>
        <w:pStyle w:val="4"/>
        <w:rPr>
          <w:rFonts w:ascii="仿宋" w:hAnsi="仿宋" w:eastAsia="仿宋"/>
        </w:rPr>
      </w:pPr>
      <w:bookmarkStart w:id="60" w:name="_Toc15396621"/>
      <w:r>
        <w:rPr>
          <w:rStyle w:val="29"/>
          <w:rFonts w:hint="eastAsia" w:ascii="仿宋" w:hAnsi="仿宋" w:eastAsia="仿宋"/>
          <w:b w:val="0"/>
          <w:bCs w:val="0"/>
        </w:rPr>
        <w:t>三、</w:t>
      </w:r>
      <w:r>
        <w:rPr>
          <w:rFonts w:hint="eastAsia" w:ascii="仿宋" w:hAnsi="仿宋" w:eastAsia="仿宋"/>
          <w:b w:val="0"/>
        </w:rPr>
        <w:t>支</w:t>
      </w:r>
      <w:r>
        <w:rPr>
          <w:rStyle w:val="29"/>
          <w:rFonts w:hint="eastAsia" w:ascii="仿宋" w:hAnsi="仿宋" w:eastAsia="仿宋"/>
          <w:b w:val="0"/>
          <w:bCs w:val="0"/>
        </w:rPr>
        <w:t>出决算表</w:t>
      </w:r>
      <w:bookmarkEnd w:id="60"/>
    </w:p>
    <w:p w14:paraId="6D2427CE">
      <w:pPr>
        <w:pStyle w:val="4"/>
        <w:rPr>
          <w:rFonts w:ascii="仿宋" w:hAnsi="仿宋" w:eastAsia="仿宋"/>
          <w:b w:val="0"/>
        </w:rPr>
      </w:pPr>
      <w:bookmarkStart w:id="61" w:name="_Toc15396622"/>
      <w:r>
        <w:rPr>
          <w:rStyle w:val="29"/>
          <w:rFonts w:hint="eastAsia" w:ascii="仿宋" w:hAnsi="仿宋" w:eastAsia="仿宋"/>
          <w:b w:val="0"/>
          <w:bCs w:val="0"/>
        </w:rPr>
        <w:t>四、</w:t>
      </w:r>
      <w:r>
        <w:rPr>
          <w:rFonts w:hint="eastAsia" w:ascii="仿宋" w:hAnsi="仿宋" w:eastAsia="仿宋"/>
          <w:b w:val="0"/>
        </w:rPr>
        <w:t>财</w:t>
      </w:r>
      <w:r>
        <w:rPr>
          <w:rStyle w:val="29"/>
          <w:rFonts w:hint="eastAsia" w:ascii="仿宋" w:hAnsi="仿宋" w:eastAsia="仿宋"/>
          <w:b w:val="0"/>
          <w:bCs w:val="0"/>
        </w:rPr>
        <w:t>政拨款收入支出决算总表</w:t>
      </w:r>
      <w:bookmarkEnd w:id="61"/>
    </w:p>
    <w:p w14:paraId="27B27053">
      <w:pPr>
        <w:pStyle w:val="4"/>
        <w:rPr>
          <w:rStyle w:val="29"/>
          <w:rFonts w:ascii="仿宋" w:hAnsi="仿宋" w:eastAsia="仿宋"/>
          <w:b w:val="0"/>
          <w:bCs w:val="0"/>
        </w:rPr>
      </w:pPr>
      <w:bookmarkStart w:id="62" w:name="_Toc15396623"/>
      <w:r>
        <w:rPr>
          <w:rStyle w:val="29"/>
          <w:rFonts w:hint="eastAsia" w:ascii="仿宋" w:hAnsi="仿宋" w:eastAsia="仿宋"/>
          <w:b w:val="0"/>
          <w:bCs w:val="0"/>
        </w:rPr>
        <w:t>五、</w:t>
      </w:r>
      <w:r>
        <w:rPr>
          <w:rFonts w:hint="eastAsia" w:ascii="仿宋" w:hAnsi="仿宋" w:eastAsia="仿宋"/>
          <w:b w:val="0"/>
        </w:rPr>
        <w:t>财</w:t>
      </w:r>
      <w:r>
        <w:rPr>
          <w:rStyle w:val="29"/>
          <w:rFonts w:hint="eastAsia" w:ascii="仿宋" w:hAnsi="仿宋" w:eastAsia="仿宋"/>
          <w:b w:val="0"/>
          <w:bCs w:val="0"/>
        </w:rPr>
        <w:t>政拨款支出决算明细表</w:t>
      </w:r>
      <w:bookmarkEnd w:id="62"/>
      <w:bookmarkStart w:id="63" w:name="_Toc15396624"/>
    </w:p>
    <w:p w14:paraId="4861414C">
      <w:pPr>
        <w:pStyle w:val="4"/>
        <w:rPr>
          <w:rFonts w:ascii="仿宋" w:hAnsi="仿宋" w:eastAsia="仿宋"/>
        </w:rPr>
      </w:pPr>
      <w:r>
        <w:rPr>
          <w:rStyle w:val="29"/>
          <w:rFonts w:hint="eastAsia" w:ascii="仿宋" w:hAnsi="仿宋" w:eastAsia="仿宋"/>
          <w:b w:val="0"/>
          <w:bCs w:val="0"/>
        </w:rPr>
        <w:t>六、</w:t>
      </w:r>
      <w:r>
        <w:rPr>
          <w:rFonts w:hint="eastAsia" w:ascii="仿宋" w:hAnsi="仿宋" w:eastAsia="仿宋"/>
          <w:b w:val="0"/>
        </w:rPr>
        <w:t>一</w:t>
      </w:r>
      <w:r>
        <w:rPr>
          <w:rStyle w:val="29"/>
          <w:rFonts w:hint="eastAsia" w:ascii="仿宋" w:hAnsi="仿宋" w:eastAsia="仿宋"/>
          <w:b w:val="0"/>
          <w:bCs w:val="0"/>
        </w:rPr>
        <w:t>般公共预算财政拨款支出决算表</w:t>
      </w:r>
      <w:bookmarkEnd w:id="63"/>
    </w:p>
    <w:p w14:paraId="5CE96717">
      <w:pPr>
        <w:pStyle w:val="4"/>
        <w:rPr>
          <w:rFonts w:ascii="仿宋" w:hAnsi="仿宋" w:eastAsia="仿宋"/>
        </w:rPr>
      </w:pPr>
      <w:bookmarkStart w:id="64" w:name="_Toc15396625"/>
      <w:r>
        <w:rPr>
          <w:rStyle w:val="29"/>
          <w:rFonts w:hint="eastAsia" w:ascii="仿宋" w:hAnsi="仿宋" w:eastAsia="仿宋"/>
          <w:b w:val="0"/>
          <w:bCs w:val="0"/>
        </w:rPr>
        <w:t>七、</w:t>
      </w:r>
      <w:r>
        <w:rPr>
          <w:rFonts w:hint="eastAsia" w:ascii="仿宋" w:hAnsi="仿宋" w:eastAsia="仿宋"/>
          <w:b w:val="0"/>
        </w:rPr>
        <w:t>一</w:t>
      </w:r>
      <w:r>
        <w:rPr>
          <w:rStyle w:val="29"/>
          <w:rFonts w:hint="eastAsia" w:ascii="仿宋" w:hAnsi="仿宋" w:eastAsia="仿宋"/>
          <w:b w:val="0"/>
          <w:bCs w:val="0"/>
        </w:rPr>
        <w:t>般公共预算财政拨款支出决算明细表</w:t>
      </w:r>
      <w:bookmarkEnd w:id="64"/>
    </w:p>
    <w:p w14:paraId="78419693">
      <w:pPr>
        <w:pStyle w:val="4"/>
        <w:rPr>
          <w:rFonts w:ascii="仿宋" w:hAnsi="仿宋" w:eastAsia="仿宋"/>
        </w:rPr>
      </w:pPr>
      <w:bookmarkStart w:id="65" w:name="_Toc15396626"/>
      <w:r>
        <w:rPr>
          <w:rStyle w:val="29"/>
          <w:rFonts w:hint="eastAsia" w:ascii="仿宋" w:hAnsi="仿宋" w:eastAsia="仿宋"/>
          <w:b w:val="0"/>
          <w:bCs w:val="0"/>
        </w:rPr>
        <w:t>八、</w:t>
      </w:r>
      <w:r>
        <w:rPr>
          <w:rFonts w:hint="eastAsia" w:ascii="仿宋" w:hAnsi="仿宋" w:eastAsia="仿宋"/>
          <w:b w:val="0"/>
        </w:rPr>
        <w:t>一</w:t>
      </w:r>
      <w:r>
        <w:rPr>
          <w:rStyle w:val="29"/>
          <w:rFonts w:hint="eastAsia" w:ascii="仿宋" w:hAnsi="仿宋" w:eastAsia="仿宋"/>
          <w:b w:val="0"/>
          <w:bCs w:val="0"/>
        </w:rPr>
        <w:t>般公共预算财政拨款基本支出决算表</w:t>
      </w:r>
      <w:bookmarkEnd w:id="65"/>
    </w:p>
    <w:p w14:paraId="20A57D76">
      <w:pPr>
        <w:pStyle w:val="4"/>
        <w:rPr>
          <w:rFonts w:ascii="仿宋" w:hAnsi="仿宋" w:eastAsia="仿宋"/>
        </w:rPr>
      </w:pPr>
      <w:bookmarkStart w:id="66" w:name="_Toc15396627"/>
      <w:r>
        <w:rPr>
          <w:rStyle w:val="29"/>
          <w:rFonts w:hint="eastAsia" w:ascii="仿宋" w:hAnsi="仿宋" w:eastAsia="仿宋"/>
          <w:b w:val="0"/>
          <w:bCs w:val="0"/>
        </w:rPr>
        <w:t>九、</w:t>
      </w:r>
      <w:r>
        <w:rPr>
          <w:rFonts w:hint="eastAsia" w:ascii="仿宋" w:hAnsi="仿宋" w:eastAsia="仿宋"/>
          <w:b w:val="0"/>
        </w:rPr>
        <w:t>一</w:t>
      </w:r>
      <w:r>
        <w:rPr>
          <w:rStyle w:val="29"/>
          <w:rFonts w:hint="eastAsia" w:ascii="仿宋" w:hAnsi="仿宋" w:eastAsia="仿宋"/>
          <w:b w:val="0"/>
          <w:bCs w:val="0"/>
        </w:rPr>
        <w:t>般公共预算财政拨款项目支出决算表</w:t>
      </w:r>
      <w:bookmarkEnd w:id="66"/>
    </w:p>
    <w:p w14:paraId="04459BCA">
      <w:pPr>
        <w:pStyle w:val="4"/>
        <w:rPr>
          <w:rFonts w:ascii="仿宋" w:hAnsi="仿宋" w:eastAsia="仿宋"/>
        </w:rPr>
      </w:pPr>
      <w:bookmarkStart w:id="67" w:name="_Toc15396628"/>
      <w:r>
        <w:rPr>
          <w:rStyle w:val="29"/>
          <w:rFonts w:hint="eastAsia" w:ascii="仿宋" w:hAnsi="仿宋" w:eastAsia="仿宋"/>
          <w:b w:val="0"/>
          <w:bCs w:val="0"/>
        </w:rPr>
        <w:t>十、</w:t>
      </w:r>
      <w:bookmarkEnd w:id="67"/>
      <w:r>
        <w:rPr>
          <w:rFonts w:hint="eastAsia" w:ascii="仿宋" w:hAnsi="仿宋" w:eastAsia="仿宋"/>
          <w:b w:val="0"/>
        </w:rPr>
        <w:t>政</w:t>
      </w:r>
      <w:r>
        <w:rPr>
          <w:rStyle w:val="29"/>
          <w:rFonts w:hint="eastAsia" w:ascii="仿宋" w:hAnsi="仿宋" w:eastAsia="仿宋"/>
          <w:b w:val="0"/>
          <w:bCs w:val="0"/>
        </w:rPr>
        <w:t>府性基金预算财政拨款收入支出决算表</w:t>
      </w:r>
    </w:p>
    <w:p w14:paraId="2A2BDCD1">
      <w:pPr>
        <w:pStyle w:val="4"/>
        <w:rPr>
          <w:rFonts w:ascii="仿宋" w:hAnsi="仿宋" w:eastAsia="仿宋"/>
        </w:rPr>
      </w:pPr>
      <w:bookmarkStart w:id="68" w:name="_Toc15396629"/>
      <w:r>
        <w:rPr>
          <w:rStyle w:val="29"/>
          <w:rFonts w:hint="eastAsia" w:ascii="仿宋" w:hAnsi="仿宋" w:eastAsia="仿宋"/>
          <w:b w:val="0"/>
          <w:bCs w:val="0"/>
        </w:rPr>
        <w:t>十一、</w:t>
      </w:r>
      <w:bookmarkEnd w:id="68"/>
      <w:r>
        <w:rPr>
          <w:rFonts w:hint="eastAsia" w:ascii="仿宋" w:hAnsi="仿宋" w:eastAsia="仿宋"/>
          <w:b w:val="0"/>
        </w:rPr>
        <w:t>国</w:t>
      </w:r>
      <w:r>
        <w:rPr>
          <w:rStyle w:val="29"/>
          <w:rFonts w:hint="eastAsia" w:ascii="仿宋" w:hAnsi="仿宋" w:eastAsia="仿宋"/>
          <w:b w:val="0"/>
          <w:bCs w:val="0"/>
        </w:rPr>
        <w:t>有资本经营预算财政拨款收入支出决算表</w:t>
      </w:r>
    </w:p>
    <w:p w14:paraId="05AC92B5">
      <w:pPr>
        <w:pStyle w:val="4"/>
        <w:rPr>
          <w:rFonts w:ascii="仿宋" w:hAnsi="仿宋" w:eastAsia="仿宋"/>
        </w:rPr>
      </w:pPr>
      <w:bookmarkStart w:id="69" w:name="_Toc15396630"/>
      <w:r>
        <w:rPr>
          <w:rStyle w:val="29"/>
          <w:rFonts w:hint="eastAsia" w:ascii="仿宋" w:hAnsi="仿宋" w:eastAsia="仿宋"/>
          <w:b w:val="0"/>
          <w:bCs w:val="0"/>
        </w:rPr>
        <w:t>十二、</w:t>
      </w:r>
      <w:bookmarkEnd w:id="69"/>
      <w:r>
        <w:rPr>
          <w:rStyle w:val="29"/>
          <w:rFonts w:hint="eastAsia" w:ascii="仿宋" w:hAnsi="仿宋" w:eastAsia="仿宋"/>
          <w:b w:val="0"/>
          <w:bCs w:val="0"/>
        </w:rPr>
        <w:t>国有资本经营预算财政拨款支出决算表</w:t>
      </w:r>
    </w:p>
    <w:p w14:paraId="4D9CC30E">
      <w:pPr>
        <w:pStyle w:val="4"/>
        <w:rPr>
          <w:rFonts w:eastAsia="仿宋"/>
        </w:rPr>
      </w:pPr>
      <w:bookmarkStart w:id="70" w:name="_Toc15396631"/>
      <w:r>
        <w:rPr>
          <w:rStyle w:val="29"/>
          <w:rFonts w:hint="eastAsia" w:ascii="仿宋" w:hAnsi="仿宋" w:eastAsia="仿宋"/>
          <w:b w:val="0"/>
          <w:bCs w:val="0"/>
        </w:rPr>
        <w:t>十三、</w:t>
      </w:r>
      <w:bookmarkEnd w:id="70"/>
      <w:r>
        <w:rPr>
          <w:rStyle w:val="29"/>
          <w:rFonts w:hint="eastAsia" w:ascii="仿宋" w:hAnsi="仿宋" w:eastAsia="仿宋"/>
          <w:b w:val="0"/>
          <w:bCs w:val="0"/>
        </w:rPr>
        <w:t>财政拨款“三公”经费支出决算表</w:t>
      </w: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91B24C5-3A59-458E-82AB-3B93B840F33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1DB3395C-D07C-49D6-B7FB-B2942D0B9277}"/>
  </w:font>
  <w:font w:name="仿宋">
    <w:panose1 w:val="02010609060101010101"/>
    <w:charset w:val="86"/>
    <w:family w:val="modern"/>
    <w:pitch w:val="default"/>
    <w:sig w:usb0="800002BF" w:usb1="38CF7CFA" w:usb2="00000016" w:usb3="00000000" w:csb0="00040001" w:csb1="00000000"/>
    <w:embedRegular r:id="rId3" w:fontKey="{95D3E80B-C883-4453-A718-A7F8D12C49C9}"/>
  </w:font>
  <w:font w:name="Cambria">
    <w:panose1 w:val="02040503050406030204"/>
    <w:charset w:val="00"/>
    <w:family w:val="roman"/>
    <w:pitch w:val="default"/>
    <w:sig w:usb0="E00002FF" w:usb1="400004FF" w:usb2="00000000" w:usb3="00000000" w:csb0="2000019F" w:csb1="00000000"/>
    <w:embedRegular r:id="rId4" w:fontKey="{FB60B6AD-DD6E-4267-ADE3-22E81674A5D4}"/>
  </w:font>
  <w:font w:name="仿宋_GB2312">
    <w:panose1 w:val="02010609030101010101"/>
    <w:charset w:val="86"/>
    <w:family w:val="auto"/>
    <w:pitch w:val="default"/>
    <w:sig w:usb0="00000001" w:usb1="080E0000" w:usb2="00000000" w:usb3="00000000" w:csb0="00040000" w:csb1="00000000"/>
    <w:embedRegular r:id="rId5" w:fontKey="{0585D958-E669-4288-9564-AE5AE403C040}"/>
  </w:font>
  <w:font w:name="方正小标宋简体">
    <w:panose1 w:val="02000000000000000000"/>
    <w:charset w:val="86"/>
    <w:family w:val="script"/>
    <w:pitch w:val="default"/>
    <w:sig w:usb0="00000001" w:usb1="080E0000" w:usb2="00000000" w:usb3="00000000" w:csb0="00040000" w:csb1="00000000"/>
    <w:embedRegular r:id="rId6" w:fontKey="{81E12E3E-BCD1-45D6-A7C9-EFD3824D3792}"/>
  </w:font>
  <w:font w:name="华文中宋">
    <w:altName w:val="宋体"/>
    <w:panose1 w:val="02010600040101010101"/>
    <w:charset w:val="86"/>
    <w:family w:val="auto"/>
    <w:pitch w:val="default"/>
    <w:sig w:usb0="00000000" w:usb1="00000000" w:usb2="00000000" w:usb3="00000000" w:csb0="0004009F" w:csb1="DFD70000"/>
    <w:embedRegular r:id="rId7" w:fontKey="{356EDE46-1EED-4D79-9910-2AE65BB329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06C5EE66">
        <w:pPr>
          <w:pStyle w:val="9"/>
          <w:jc w:val="center"/>
        </w:pPr>
        <w:r>
          <w:fldChar w:fldCharType="begin"/>
        </w:r>
        <w:r>
          <w:instrText xml:space="preserve">PAGE   \* MERGEFORMAT</w:instrText>
        </w:r>
        <w:r>
          <w:fldChar w:fldCharType="separate"/>
        </w:r>
        <w:r>
          <w:rPr>
            <w:lang w:val="zh-CN"/>
          </w:rPr>
          <w:t>15</w:t>
        </w:r>
        <w:r>
          <w:fldChar w:fldCharType="end"/>
        </w:r>
      </w:p>
    </w:sdtContent>
  </w:sdt>
  <w:p w14:paraId="3BBD5A6F">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074E1">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31D43C3B"/>
    <w:multiLevelType w:val="singleLevel"/>
    <w:tmpl w:val="31D43C3B"/>
    <w:lvl w:ilvl="0" w:tentative="0">
      <w:start w:val="1"/>
      <w:numFmt w:val="chineseCounting"/>
      <w:suff w:val="space"/>
      <w:lvlText w:val="第%1部分"/>
      <w:lvlJc w:val="left"/>
      <w:rPr>
        <w:rFonts w:hint="eastAsia"/>
      </w:rPr>
    </w:lvl>
  </w:abstractNum>
  <w:abstractNum w:abstractNumId="4">
    <w:nsid w:val="593508EF"/>
    <w:multiLevelType w:val="multilevel"/>
    <w:tmpl w:val="593508EF"/>
    <w:lvl w:ilvl="0" w:tentative="0">
      <w:start w:val="1"/>
      <w:numFmt w:val="decimal"/>
      <w:suff w:val="nothing"/>
      <w:lvlText w:val="%1."/>
      <w:lvlJc w:val="left"/>
      <w:pPr>
        <w:ind w:left="0" w:firstLine="62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1MjFjMDUwODIwZDg4NDczZTI5ZmU1NTQ5YzljMTk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A1DAD"/>
    <w:rsid w:val="001C0962"/>
    <w:rsid w:val="001D7531"/>
    <w:rsid w:val="001E737D"/>
    <w:rsid w:val="001F0592"/>
    <w:rsid w:val="001F7506"/>
    <w:rsid w:val="002006CD"/>
    <w:rsid w:val="00202B36"/>
    <w:rsid w:val="00204B7A"/>
    <w:rsid w:val="00204CDE"/>
    <w:rsid w:val="00206907"/>
    <w:rsid w:val="0021101A"/>
    <w:rsid w:val="00212B4A"/>
    <w:rsid w:val="00220536"/>
    <w:rsid w:val="00235629"/>
    <w:rsid w:val="00260C38"/>
    <w:rsid w:val="002616C0"/>
    <w:rsid w:val="00265372"/>
    <w:rsid w:val="002662AA"/>
    <w:rsid w:val="00280496"/>
    <w:rsid w:val="00294DC9"/>
    <w:rsid w:val="00295495"/>
    <w:rsid w:val="002A31DE"/>
    <w:rsid w:val="002B2613"/>
    <w:rsid w:val="002C5004"/>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25C50"/>
    <w:rsid w:val="0043177C"/>
    <w:rsid w:val="00434489"/>
    <w:rsid w:val="00437085"/>
    <w:rsid w:val="00443880"/>
    <w:rsid w:val="004464F4"/>
    <w:rsid w:val="0046049C"/>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533CF"/>
    <w:rsid w:val="005664BB"/>
    <w:rsid w:val="00566FFA"/>
    <w:rsid w:val="0057481D"/>
    <w:rsid w:val="0058486E"/>
    <w:rsid w:val="00585B33"/>
    <w:rsid w:val="0059014D"/>
    <w:rsid w:val="005B5C64"/>
    <w:rsid w:val="005B6E8A"/>
    <w:rsid w:val="005C5337"/>
    <w:rsid w:val="005C6BD0"/>
    <w:rsid w:val="005D1C8B"/>
    <w:rsid w:val="005D468D"/>
    <w:rsid w:val="005D5CED"/>
    <w:rsid w:val="005F10BC"/>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55FC5"/>
    <w:rsid w:val="0066343B"/>
    <w:rsid w:val="00664777"/>
    <w:rsid w:val="006748A4"/>
    <w:rsid w:val="00681A31"/>
    <w:rsid w:val="00683E73"/>
    <w:rsid w:val="006A3141"/>
    <w:rsid w:val="006A5E34"/>
    <w:rsid w:val="006B2422"/>
    <w:rsid w:val="006B2B9A"/>
    <w:rsid w:val="006C1937"/>
    <w:rsid w:val="006F020C"/>
    <w:rsid w:val="0071021A"/>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102"/>
    <w:rsid w:val="00813348"/>
    <w:rsid w:val="008253BB"/>
    <w:rsid w:val="0083706E"/>
    <w:rsid w:val="008408F6"/>
    <w:rsid w:val="008423A5"/>
    <w:rsid w:val="00850625"/>
    <w:rsid w:val="00853718"/>
    <w:rsid w:val="00855221"/>
    <w:rsid w:val="00860645"/>
    <w:rsid w:val="00871F71"/>
    <w:rsid w:val="00872FD8"/>
    <w:rsid w:val="00885AF4"/>
    <w:rsid w:val="008939CD"/>
    <w:rsid w:val="008B73C2"/>
    <w:rsid w:val="008B768C"/>
    <w:rsid w:val="008C4DB1"/>
    <w:rsid w:val="008C4EAF"/>
    <w:rsid w:val="008C5176"/>
    <w:rsid w:val="008C7FD0"/>
    <w:rsid w:val="008C7FD8"/>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1E6F"/>
    <w:rsid w:val="00D34E7C"/>
    <w:rsid w:val="00D35489"/>
    <w:rsid w:val="00D36AFE"/>
    <w:rsid w:val="00D51276"/>
    <w:rsid w:val="00D7035F"/>
    <w:rsid w:val="00DA5C53"/>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525FD6"/>
    <w:rsid w:val="01693F33"/>
    <w:rsid w:val="01936D79"/>
    <w:rsid w:val="01995B0E"/>
    <w:rsid w:val="020A39EE"/>
    <w:rsid w:val="025C7268"/>
    <w:rsid w:val="0300523C"/>
    <w:rsid w:val="03AF1619"/>
    <w:rsid w:val="03DC2831"/>
    <w:rsid w:val="052857AE"/>
    <w:rsid w:val="055F0A8A"/>
    <w:rsid w:val="05AA653C"/>
    <w:rsid w:val="06986394"/>
    <w:rsid w:val="06E72E78"/>
    <w:rsid w:val="07266B9C"/>
    <w:rsid w:val="076646E5"/>
    <w:rsid w:val="07911761"/>
    <w:rsid w:val="07AC3D93"/>
    <w:rsid w:val="07F817E1"/>
    <w:rsid w:val="081B5E94"/>
    <w:rsid w:val="084F5179"/>
    <w:rsid w:val="08502AC9"/>
    <w:rsid w:val="08DA7EDE"/>
    <w:rsid w:val="09187C60"/>
    <w:rsid w:val="09850FA7"/>
    <w:rsid w:val="0A033725"/>
    <w:rsid w:val="0A2032A3"/>
    <w:rsid w:val="0A55565B"/>
    <w:rsid w:val="0B5F3925"/>
    <w:rsid w:val="0B8A37D8"/>
    <w:rsid w:val="0B8D2240"/>
    <w:rsid w:val="0D0227BA"/>
    <w:rsid w:val="0D0F3945"/>
    <w:rsid w:val="0D6C3071"/>
    <w:rsid w:val="0DB30465"/>
    <w:rsid w:val="0DB461AA"/>
    <w:rsid w:val="0DB85B96"/>
    <w:rsid w:val="0E4D5A02"/>
    <w:rsid w:val="0EDC4E82"/>
    <w:rsid w:val="0EEE4140"/>
    <w:rsid w:val="0F5FFB2F"/>
    <w:rsid w:val="0FD85A54"/>
    <w:rsid w:val="0FDA7A1E"/>
    <w:rsid w:val="0FFFCF60"/>
    <w:rsid w:val="10172A20"/>
    <w:rsid w:val="10830D5A"/>
    <w:rsid w:val="10C055FF"/>
    <w:rsid w:val="110768C7"/>
    <w:rsid w:val="112512D0"/>
    <w:rsid w:val="114710E3"/>
    <w:rsid w:val="118107EC"/>
    <w:rsid w:val="11DD6519"/>
    <w:rsid w:val="11EE77B0"/>
    <w:rsid w:val="12152FBC"/>
    <w:rsid w:val="12430C21"/>
    <w:rsid w:val="12DE15D3"/>
    <w:rsid w:val="131505CA"/>
    <w:rsid w:val="14157276"/>
    <w:rsid w:val="14261483"/>
    <w:rsid w:val="14465682"/>
    <w:rsid w:val="147C5547"/>
    <w:rsid w:val="14EA104F"/>
    <w:rsid w:val="15196B8D"/>
    <w:rsid w:val="15750CAF"/>
    <w:rsid w:val="15BA6327"/>
    <w:rsid w:val="16B70AB9"/>
    <w:rsid w:val="16BB723D"/>
    <w:rsid w:val="17342109"/>
    <w:rsid w:val="18015F3F"/>
    <w:rsid w:val="18860BB9"/>
    <w:rsid w:val="194F6D87"/>
    <w:rsid w:val="1A695262"/>
    <w:rsid w:val="1AD734D7"/>
    <w:rsid w:val="1B9118D8"/>
    <w:rsid w:val="1BE8440E"/>
    <w:rsid w:val="1C36422E"/>
    <w:rsid w:val="1C8A1B4D"/>
    <w:rsid w:val="1C8C02F2"/>
    <w:rsid w:val="1CB8638D"/>
    <w:rsid w:val="1CBE3A0A"/>
    <w:rsid w:val="1CF0262F"/>
    <w:rsid w:val="1D155CEE"/>
    <w:rsid w:val="1D6D0256"/>
    <w:rsid w:val="1D900AFB"/>
    <w:rsid w:val="1E606685"/>
    <w:rsid w:val="1F490097"/>
    <w:rsid w:val="1F6317DE"/>
    <w:rsid w:val="1FBA5176"/>
    <w:rsid w:val="1FDBBF84"/>
    <w:rsid w:val="20605D1D"/>
    <w:rsid w:val="20F57F95"/>
    <w:rsid w:val="210E6E53"/>
    <w:rsid w:val="21415B4F"/>
    <w:rsid w:val="21CD73E2"/>
    <w:rsid w:val="2228286B"/>
    <w:rsid w:val="22A243CB"/>
    <w:rsid w:val="22B13EF7"/>
    <w:rsid w:val="22D64075"/>
    <w:rsid w:val="22E0246E"/>
    <w:rsid w:val="230F7587"/>
    <w:rsid w:val="23840A75"/>
    <w:rsid w:val="23E959E9"/>
    <w:rsid w:val="240371BF"/>
    <w:rsid w:val="24155071"/>
    <w:rsid w:val="24940AC5"/>
    <w:rsid w:val="24AA12D3"/>
    <w:rsid w:val="252E63EA"/>
    <w:rsid w:val="25711CC6"/>
    <w:rsid w:val="25AD4B37"/>
    <w:rsid w:val="25C741E6"/>
    <w:rsid w:val="263E08AF"/>
    <w:rsid w:val="26591E30"/>
    <w:rsid w:val="267B53F0"/>
    <w:rsid w:val="269761D5"/>
    <w:rsid w:val="26D44301"/>
    <w:rsid w:val="2701366F"/>
    <w:rsid w:val="276E0D20"/>
    <w:rsid w:val="276F80C0"/>
    <w:rsid w:val="27842671"/>
    <w:rsid w:val="27F475F0"/>
    <w:rsid w:val="27FF27FA"/>
    <w:rsid w:val="28904CC6"/>
    <w:rsid w:val="28D05653"/>
    <w:rsid w:val="28E30EEA"/>
    <w:rsid w:val="29054FB3"/>
    <w:rsid w:val="29A901D7"/>
    <w:rsid w:val="29AE5F3C"/>
    <w:rsid w:val="29FD04D3"/>
    <w:rsid w:val="2A3829B1"/>
    <w:rsid w:val="2A6D3510"/>
    <w:rsid w:val="2A9A62D0"/>
    <w:rsid w:val="2ABE7A3E"/>
    <w:rsid w:val="2AD6097F"/>
    <w:rsid w:val="2AFF09B6"/>
    <w:rsid w:val="2BBE1B4A"/>
    <w:rsid w:val="2BCC5554"/>
    <w:rsid w:val="2C0C7687"/>
    <w:rsid w:val="2C1A1476"/>
    <w:rsid w:val="2C2E173A"/>
    <w:rsid w:val="2C3750E9"/>
    <w:rsid w:val="2C485E9B"/>
    <w:rsid w:val="2CA234A8"/>
    <w:rsid w:val="2CC338BC"/>
    <w:rsid w:val="2D297497"/>
    <w:rsid w:val="2D2F2CFF"/>
    <w:rsid w:val="2D346567"/>
    <w:rsid w:val="2EFA178C"/>
    <w:rsid w:val="2EFDF86C"/>
    <w:rsid w:val="2F9D17E1"/>
    <w:rsid w:val="2FA82D53"/>
    <w:rsid w:val="2FE87E8A"/>
    <w:rsid w:val="309C4B4F"/>
    <w:rsid w:val="30B46D73"/>
    <w:rsid w:val="31725087"/>
    <w:rsid w:val="319F7F4E"/>
    <w:rsid w:val="32730081"/>
    <w:rsid w:val="32AE2918"/>
    <w:rsid w:val="32BD64A9"/>
    <w:rsid w:val="32EA3B58"/>
    <w:rsid w:val="33977850"/>
    <w:rsid w:val="33DF21EA"/>
    <w:rsid w:val="343602CB"/>
    <w:rsid w:val="344C4197"/>
    <w:rsid w:val="345D45F6"/>
    <w:rsid w:val="346C4839"/>
    <w:rsid w:val="34B86B22"/>
    <w:rsid w:val="34CC6A4D"/>
    <w:rsid w:val="356A28F1"/>
    <w:rsid w:val="357C035A"/>
    <w:rsid w:val="35B20971"/>
    <w:rsid w:val="35EB179D"/>
    <w:rsid w:val="36121410"/>
    <w:rsid w:val="368E000D"/>
    <w:rsid w:val="36B23468"/>
    <w:rsid w:val="37362EDC"/>
    <w:rsid w:val="374C3677"/>
    <w:rsid w:val="375A125B"/>
    <w:rsid w:val="375C1AB6"/>
    <w:rsid w:val="379C71E3"/>
    <w:rsid w:val="37B17DEE"/>
    <w:rsid w:val="37BA58BB"/>
    <w:rsid w:val="37C14B57"/>
    <w:rsid w:val="37E25D04"/>
    <w:rsid w:val="37EA43F2"/>
    <w:rsid w:val="383B4C4E"/>
    <w:rsid w:val="383D272C"/>
    <w:rsid w:val="3894435E"/>
    <w:rsid w:val="397D279F"/>
    <w:rsid w:val="39AE70AB"/>
    <w:rsid w:val="39BF18AF"/>
    <w:rsid w:val="39FB6819"/>
    <w:rsid w:val="3A4DCE41"/>
    <w:rsid w:val="3A971EE4"/>
    <w:rsid w:val="3AD1189A"/>
    <w:rsid w:val="3AD636F1"/>
    <w:rsid w:val="3BCB56FA"/>
    <w:rsid w:val="3C0C0783"/>
    <w:rsid w:val="3C457188"/>
    <w:rsid w:val="3C8D17F0"/>
    <w:rsid w:val="3CC95387"/>
    <w:rsid w:val="3CDE61D1"/>
    <w:rsid w:val="3DF850BC"/>
    <w:rsid w:val="3E0E4BB3"/>
    <w:rsid w:val="3E733196"/>
    <w:rsid w:val="3EBC460F"/>
    <w:rsid w:val="3EE7C2F4"/>
    <w:rsid w:val="3F371B56"/>
    <w:rsid w:val="3F7171A7"/>
    <w:rsid w:val="3F792ED8"/>
    <w:rsid w:val="3F9F3A96"/>
    <w:rsid w:val="3FECA4B2"/>
    <w:rsid w:val="3FF58C48"/>
    <w:rsid w:val="3FFD6C8D"/>
    <w:rsid w:val="407F76A2"/>
    <w:rsid w:val="40C66EDA"/>
    <w:rsid w:val="40D97827"/>
    <w:rsid w:val="411F4460"/>
    <w:rsid w:val="41870F04"/>
    <w:rsid w:val="42530DE6"/>
    <w:rsid w:val="42AD499A"/>
    <w:rsid w:val="42FF6694"/>
    <w:rsid w:val="435B07FA"/>
    <w:rsid w:val="43947908"/>
    <w:rsid w:val="44621C70"/>
    <w:rsid w:val="454F3AE7"/>
    <w:rsid w:val="458C0088"/>
    <w:rsid w:val="45B43B2D"/>
    <w:rsid w:val="45BF7B26"/>
    <w:rsid w:val="45C76993"/>
    <w:rsid w:val="45F35012"/>
    <w:rsid w:val="46867E31"/>
    <w:rsid w:val="46A50DD1"/>
    <w:rsid w:val="47215957"/>
    <w:rsid w:val="47225734"/>
    <w:rsid w:val="47680E90"/>
    <w:rsid w:val="47811F51"/>
    <w:rsid w:val="4792325A"/>
    <w:rsid w:val="481A20FA"/>
    <w:rsid w:val="48BF60AB"/>
    <w:rsid w:val="48CA7928"/>
    <w:rsid w:val="493C27E9"/>
    <w:rsid w:val="496F39ED"/>
    <w:rsid w:val="499F0DB5"/>
    <w:rsid w:val="49FF41D3"/>
    <w:rsid w:val="4A4D034F"/>
    <w:rsid w:val="4A6307D9"/>
    <w:rsid w:val="4A6D094D"/>
    <w:rsid w:val="4A897A9B"/>
    <w:rsid w:val="4AA76173"/>
    <w:rsid w:val="4B383B8E"/>
    <w:rsid w:val="4B8E4629"/>
    <w:rsid w:val="4BE068DB"/>
    <w:rsid w:val="4BF6002B"/>
    <w:rsid w:val="4BFFC6BE"/>
    <w:rsid w:val="4D2717ED"/>
    <w:rsid w:val="4D895BF0"/>
    <w:rsid w:val="4D8D3010"/>
    <w:rsid w:val="4DF94F37"/>
    <w:rsid w:val="4E1E674C"/>
    <w:rsid w:val="4ECE2238"/>
    <w:rsid w:val="4F135B85"/>
    <w:rsid w:val="500C0359"/>
    <w:rsid w:val="50B05655"/>
    <w:rsid w:val="51DB4B86"/>
    <w:rsid w:val="51F64DB0"/>
    <w:rsid w:val="526C1EA0"/>
    <w:rsid w:val="52941FDC"/>
    <w:rsid w:val="53670B95"/>
    <w:rsid w:val="539027D1"/>
    <w:rsid w:val="53F005F3"/>
    <w:rsid w:val="541303D5"/>
    <w:rsid w:val="544607AB"/>
    <w:rsid w:val="54622045"/>
    <w:rsid w:val="546B1FBF"/>
    <w:rsid w:val="54B81851"/>
    <w:rsid w:val="55287EB0"/>
    <w:rsid w:val="552E53A9"/>
    <w:rsid w:val="55333C3E"/>
    <w:rsid w:val="55674E7D"/>
    <w:rsid w:val="560561B0"/>
    <w:rsid w:val="563D27C8"/>
    <w:rsid w:val="56665FFC"/>
    <w:rsid w:val="567C6706"/>
    <w:rsid w:val="56951575"/>
    <w:rsid w:val="57034731"/>
    <w:rsid w:val="571E76EE"/>
    <w:rsid w:val="57435475"/>
    <w:rsid w:val="57494E7F"/>
    <w:rsid w:val="575E7524"/>
    <w:rsid w:val="57CD4D3F"/>
    <w:rsid w:val="57CE2F91"/>
    <w:rsid w:val="58A4031E"/>
    <w:rsid w:val="596811C3"/>
    <w:rsid w:val="59F64A21"/>
    <w:rsid w:val="5A7E6B61"/>
    <w:rsid w:val="5AAC50E0"/>
    <w:rsid w:val="5B1B2426"/>
    <w:rsid w:val="5BC00E43"/>
    <w:rsid w:val="5DB2708C"/>
    <w:rsid w:val="5DFA38AA"/>
    <w:rsid w:val="5E115985"/>
    <w:rsid w:val="5E29716A"/>
    <w:rsid w:val="5E39312E"/>
    <w:rsid w:val="5E5E4943"/>
    <w:rsid w:val="5E9B5718"/>
    <w:rsid w:val="5F0B0627"/>
    <w:rsid w:val="5F2961E2"/>
    <w:rsid w:val="5F64487E"/>
    <w:rsid w:val="5F67802D"/>
    <w:rsid w:val="5F7DC4F2"/>
    <w:rsid w:val="5F9E6018"/>
    <w:rsid w:val="5FAD7930"/>
    <w:rsid w:val="5FB36814"/>
    <w:rsid w:val="5FBB8E56"/>
    <w:rsid w:val="5FFB5535"/>
    <w:rsid w:val="60B55E31"/>
    <w:rsid w:val="60E455D3"/>
    <w:rsid w:val="611B34AC"/>
    <w:rsid w:val="611C2857"/>
    <w:rsid w:val="621974FF"/>
    <w:rsid w:val="621B6191"/>
    <w:rsid w:val="635C129A"/>
    <w:rsid w:val="63892892"/>
    <w:rsid w:val="6398013E"/>
    <w:rsid w:val="63F21DB5"/>
    <w:rsid w:val="64011E50"/>
    <w:rsid w:val="641F0320"/>
    <w:rsid w:val="648A46E4"/>
    <w:rsid w:val="64CA39A1"/>
    <w:rsid w:val="65071118"/>
    <w:rsid w:val="65B761F3"/>
    <w:rsid w:val="66623E0F"/>
    <w:rsid w:val="669929BC"/>
    <w:rsid w:val="66A60AB1"/>
    <w:rsid w:val="66FB5425"/>
    <w:rsid w:val="67EA3D06"/>
    <w:rsid w:val="67F72090"/>
    <w:rsid w:val="68257D78"/>
    <w:rsid w:val="684C45B0"/>
    <w:rsid w:val="694C640B"/>
    <w:rsid w:val="69630ADE"/>
    <w:rsid w:val="69960607"/>
    <w:rsid w:val="69BD5F13"/>
    <w:rsid w:val="69FB0B4B"/>
    <w:rsid w:val="6A1873B8"/>
    <w:rsid w:val="6A9B2B23"/>
    <w:rsid w:val="6B767770"/>
    <w:rsid w:val="6BC27CCC"/>
    <w:rsid w:val="6BEF58C9"/>
    <w:rsid w:val="6BFFE1FB"/>
    <w:rsid w:val="6C4A05C8"/>
    <w:rsid w:val="6D374CDD"/>
    <w:rsid w:val="6D3B1A89"/>
    <w:rsid w:val="6DB7D8A3"/>
    <w:rsid w:val="6DCD60C3"/>
    <w:rsid w:val="6DD202E5"/>
    <w:rsid w:val="6E0F17B6"/>
    <w:rsid w:val="6E8D2A7F"/>
    <w:rsid w:val="6E96394D"/>
    <w:rsid w:val="6EC78701"/>
    <w:rsid w:val="6EDD3EA1"/>
    <w:rsid w:val="6F427F03"/>
    <w:rsid w:val="6F5538D0"/>
    <w:rsid w:val="6F7044D6"/>
    <w:rsid w:val="6F7A5481"/>
    <w:rsid w:val="6FCB26C1"/>
    <w:rsid w:val="6FFE07A9"/>
    <w:rsid w:val="701C4419"/>
    <w:rsid w:val="707D334E"/>
    <w:rsid w:val="712324FF"/>
    <w:rsid w:val="719446A8"/>
    <w:rsid w:val="71BF4EC2"/>
    <w:rsid w:val="72254ED4"/>
    <w:rsid w:val="72734D90"/>
    <w:rsid w:val="727B0E5F"/>
    <w:rsid w:val="72DC1889"/>
    <w:rsid w:val="732C6966"/>
    <w:rsid w:val="738E3431"/>
    <w:rsid w:val="73E75B71"/>
    <w:rsid w:val="7412278C"/>
    <w:rsid w:val="743908E9"/>
    <w:rsid w:val="746740F9"/>
    <w:rsid w:val="74B80DF9"/>
    <w:rsid w:val="74DA2B1D"/>
    <w:rsid w:val="74DF586A"/>
    <w:rsid w:val="75387844"/>
    <w:rsid w:val="75DDCDA9"/>
    <w:rsid w:val="75FF44B1"/>
    <w:rsid w:val="76424E1E"/>
    <w:rsid w:val="771340C5"/>
    <w:rsid w:val="771A36A5"/>
    <w:rsid w:val="77670518"/>
    <w:rsid w:val="777FA627"/>
    <w:rsid w:val="77D24EBA"/>
    <w:rsid w:val="77DF1B5F"/>
    <w:rsid w:val="77EF2D9D"/>
    <w:rsid w:val="783764D9"/>
    <w:rsid w:val="78626ED8"/>
    <w:rsid w:val="78A151BB"/>
    <w:rsid w:val="78CF04BF"/>
    <w:rsid w:val="78E71CAD"/>
    <w:rsid w:val="792C63D2"/>
    <w:rsid w:val="794A5D98"/>
    <w:rsid w:val="79CE0777"/>
    <w:rsid w:val="79E7B28D"/>
    <w:rsid w:val="79EB1329"/>
    <w:rsid w:val="7A525134"/>
    <w:rsid w:val="7ACFF0C2"/>
    <w:rsid w:val="7AFB9108"/>
    <w:rsid w:val="7B30793B"/>
    <w:rsid w:val="7B567622"/>
    <w:rsid w:val="7BD5340C"/>
    <w:rsid w:val="7BFB19D2"/>
    <w:rsid w:val="7BFD1750"/>
    <w:rsid w:val="7BFDAA1B"/>
    <w:rsid w:val="7C4B6967"/>
    <w:rsid w:val="7C7E3DCB"/>
    <w:rsid w:val="7CDF9A82"/>
    <w:rsid w:val="7CFFA1BD"/>
    <w:rsid w:val="7D2E3F7A"/>
    <w:rsid w:val="7DED9490"/>
    <w:rsid w:val="7DFF4872"/>
    <w:rsid w:val="7E105802"/>
    <w:rsid w:val="7E1D5F88"/>
    <w:rsid w:val="7E7487E6"/>
    <w:rsid w:val="7E7C2A54"/>
    <w:rsid w:val="7E90249F"/>
    <w:rsid w:val="7EC55F8A"/>
    <w:rsid w:val="7EE13465"/>
    <w:rsid w:val="7EEEFD72"/>
    <w:rsid w:val="7F1D517C"/>
    <w:rsid w:val="7F3271A7"/>
    <w:rsid w:val="7F427C3D"/>
    <w:rsid w:val="7F5DA057"/>
    <w:rsid w:val="7F6C2237"/>
    <w:rsid w:val="7F7F319B"/>
    <w:rsid w:val="7F9F20EE"/>
    <w:rsid w:val="7FB0104A"/>
    <w:rsid w:val="7FBBE890"/>
    <w:rsid w:val="7FBC2ABD"/>
    <w:rsid w:val="7FBF5D48"/>
    <w:rsid w:val="7FCCFC01"/>
    <w:rsid w:val="7FD60385"/>
    <w:rsid w:val="7FDD1748"/>
    <w:rsid w:val="7FE769C6"/>
    <w:rsid w:val="7FFD083E"/>
    <w:rsid w:val="7FFF9372"/>
    <w:rsid w:val="84BF1F3B"/>
    <w:rsid w:val="8F55B106"/>
    <w:rsid w:val="95DF317D"/>
    <w:rsid w:val="97E77C70"/>
    <w:rsid w:val="9E3A10E2"/>
    <w:rsid w:val="9FB91FBD"/>
    <w:rsid w:val="9FD54998"/>
    <w:rsid w:val="A671883B"/>
    <w:rsid w:val="A7EFD17F"/>
    <w:rsid w:val="A7FFE43F"/>
    <w:rsid w:val="BDFEA317"/>
    <w:rsid w:val="CD9BBABB"/>
    <w:rsid w:val="CF99F292"/>
    <w:rsid w:val="D5DA60B3"/>
    <w:rsid w:val="D7C6F579"/>
    <w:rsid w:val="D8FECA92"/>
    <w:rsid w:val="DAFFBE66"/>
    <w:rsid w:val="DD2C0BFE"/>
    <w:rsid w:val="DE3F332B"/>
    <w:rsid w:val="DE6F4A3D"/>
    <w:rsid w:val="DF69F8B0"/>
    <w:rsid w:val="DFC71555"/>
    <w:rsid w:val="DFFC559C"/>
    <w:rsid w:val="DFFEDFAE"/>
    <w:rsid w:val="DFFFB5EB"/>
    <w:rsid w:val="E4B33E57"/>
    <w:rsid w:val="E5BF946A"/>
    <w:rsid w:val="EB39BD45"/>
    <w:rsid w:val="EBCF1FC2"/>
    <w:rsid w:val="EBD18F66"/>
    <w:rsid w:val="ED17392C"/>
    <w:rsid w:val="ED9FFD9A"/>
    <w:rsid w:val="EDB7968B"/>
    <w:rsid w:val="EEF73F60"/>
    <w:rsid w:val="EFED9E42"/>
    <w:rsid w:val="EFFFB194"/>
    <w:rsid w:val="F2E1F9D4"/>
    <w:rsid w:val="F5FF7449"/>
    <w:rsid w:val="F7880819"/>
    <w:rsid w:val="F7AF180D"/>
    <w:rsid w:val="F7BDBFA7"/>
    <w:rsid w:val="F7FAD68F"/>
    <w:rsid w:val="F7FB14CF"/>
    <w:rsid w:val="FB3FC69C"/>
    <w:rsid w:val="FBDFF225"/>
    <w:rsid w:val="FBF7AB63"/>
    <w:rsid w:val="FC2F3373"/>
    <w:rsid w:val="FCF51535"/>
    <w:rsid w:val="FD77F6B8"/>
    <w:rsid w:val="FDD69328"/>
    <w:rsid w:val="FDDFEC0E"/>
    <w:rsid w:val="FDE58BDD"/>
    <w:rsid w:val="FDEC7001"/>
    <w:rsid w:val="FEDFE87F"/>
    <w:rsid w:val="FEF1D25B"/>
    <w:rsid w:val="FF3EF90F"/>
    <w:rsid w:val="FFAF6081"/>
    <w:rsid w:val="FFECCD8C"/>
    <w:rsid w:val="FFED60BD"/>
    <w:rsid w:val="FFEE08F0"/>
    <w:rsid w:val="FFEE7F9F"/>
    <w:rsid w:val="FFFF319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5"/>
    <w:qFormat/>
    <w:uiPriority w:val="99"/>
    <w:pPr>
      <w:spacing w:beforeLines="30"/>
    </w:pPr>
    <w:rPr>
      <w:rFonts w:ascii="仿宋_GB2312" w:eastAsia="仿宋_GB2312"/>
      <w:kern w:val="0"/>
      <w:sz w:val="30"/>
    </w:rPr>
  </w:style>
  <w:style w:type="paragraph" w:styleId="6">
    <w:name w:val="Body Text Indent"/>
    <w:basedOn w:val="1"/>
    <w:qFormat/>
    <w:uiPriority w:val="0"/>
    <w:pPr>
      <w:spacing w:after="120"/>
      <w:ind w:left="200" w:leftChars="200"/>
    </w:pPr>
    <w:rPr>
      <w:rFonts w:ascii="仿宋_GB2312"/>
      <w:szCs w:val="32"/>
    </w:rPr>
  </w:style>
  <w:style w:type="paragraph" w:styleId="7">
    <w:name w:val="toc 3"/>
    <w:basedOn w:val="1"/>
    <w:next w:val="1"/>
    <w:unhideWhenUsed/>
    <w:qFormat/>
    <w:uiPriority w:val="39"/>
    <w:pPr>
      <w:tabs>
        <w:tab w:val="right" w:leader="dot" w:pos="8296"/>
      </w:tabs>
      <w:ind w:left="840" w:leftChars="400"/>
    </w:pPr>
  </w:style>
  <w:style w:type="paragraph" w:styleId="8">
    <w:name w:val="Balloon Text"/>
    <w:basedOn w:val="1"/>
    <w:link w:val="31"/>
    <w:semiHidden/>
    <w:unhideWhenUsed/>
    <w:qFormat/>
    <w:uiPriority w:val="99"/>
    <w:rPr>
      <w:sz w:val="18"/>
      <w:szCs w:val="18"/>
    </w:rPr>
  </w:style>
  <w:style w:type="paragraph" w:styleId="9">
    <w:name w:val="footer"/>
    <w:basedOn w:val="1"/>
    <w:link w:val="23"/>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2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toc 2"/>
    <w:basedOn w:val="1"/>
    <w:next w:val="1"/>
    <w:unhideWhenUsed/>
    <w:qFormat/>
    <w:uiPriority w:val="39"/>
    <w:pPr>
      <w:tabs>
        <w:tab w:val="right" w:leader="dot" w:pos="8296"/>
      </w:tabs>
      <w:ind w:left="420" w:leftChars="200"/>
    </w:pPr>
  </w:style>
  <w:style w:type="paragraph" w:styleId="13">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4">
    <w:name w:val="Body Text First Indent 2"/>
    <w:basedOn w:val="6"/>
    <w:unhideWhenUsed/>
    <w:qFormat/>
    <w:uiPriority w:val="99"/>
    <w:pPr>
      <w:ind w:firstLine="420" w:firstLineChars="200"/>
    </w:pPr>
  </w:style>
  <w:style w:type="character" w:styleId="17">
    <w:name w:val="Strong"/>
    <w:basedOn w:val="16"/>
    <w:qFormat/>
    <w:uiPriority w:val="99"/>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paragraph" w:customStyle="1" w:styleId="19">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0">
    <w:name w:val="Header Char"/>
    <w:basedOn w:val="16"/>
    <w:semiHidden/>
    <w:qFormat/>
    <w:uiPriority w:val="99"/>
    <w:rPr>
      <w:rFonts w:ascii="Times New Roman" w:hAnsi="Times New Roman"/>
      <w:sz w:val="18"/>
      <w:szCs w:val="18"/>
    </w:rPr>
  </w:style>
  <w:style w:type="character" w:customStyle="1" w:styleId="21">
    <w:name w:val="页眉 字符"/>
    <w:link w:val="10"/>
    <w:semiHidden/>
    <w:qFormat/>
    <w:locked/>
    <w:uiPriority w:val="99"/>
    <w:rPr>
      <w:sz w:val="18"/>
    </w:rPr>
  </w:style>
  <w:style w:type="character" w:customStyle="1" w:styleId="22">
    <w:name w:val="Footer Char"/>
    <w:basedOn w:val="16"/>
    <w:semiHidden/>
    <w:qFormat/>
    <w:uiPriority w:val="99"/>
    <w:rPr>
      <w:rFonts w:ascii="Times New Roman" w:hAnsi="Times New Roman"/>
      <w:sz w:val="18"/>
      <w:szCs w:val="18"/>
    </w:rPr>
  </w:style>
  <w:style w:type="character" w:customStyle="1" w:styleId="23">
    <w:name w:val="页脚 字符"/>
    <w:link w:val="9"/>
    <w:qFormat/>
    <w:locked/>
    <w:uiPriority w:val="99"/>
    <w:rPr>
      <w:sz w:val="18"/>
    </w:rPr>
  </w:style>
  <w:style w:type="character" w:customStyle="1" w:styleId="24">
    <w:name w:val="Body Text Char"/>
    <w:basedOn w:val="16"/>
    <w:semiHidden/>
    <w:qFormat/>
    <w:uiPriority w:val="99"/>
    <w:rPr>
      <w:rFonts w:ascii="Times New Roman" w:hAnsi="Times New Roman"/>
      <w:szCs w:val="24"/>
    </w:rPr>
  </w:style>
  <w:style w:type="character" w:customStyle="1" w:styleId="25">
    <w:name w:val="正文文本 字符"/>
    <w:link w:val="2"/>
    <w:qFormat/>
    <w:locked/>
    <w:uiPriority w:val="99"/>
    <w:rPr>
      <w:rFonts w:ascii="仿宋_GB2312" w:hAnsi="Times New Roman" w:eastAsia="仿宋_GB2312"/>
      <w:sz w:val="24"/>
    </w:rPr>
  </w:style>
  <w:style w:type="paragraph" w:customStyle="1" w:styleId="26">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7">
    <w:name w:val="List Paragraph"/>
    <w:basedOn w:val="1"/>
    <w:qFormat/>
    <w:uiPriority w:val="34"/>
    <w:pPr>
      <w:ind w:firstLine="420" w:firstLineChars="200"/>
    </w:pPr>
  </w:style>
  <w:style w:type="character" w:customStyle="1" w:styleId="28">
    <w:name w:val="标题 1 字符"/>
    <w:basedOn w:val="16"/>
    <w:link w:val="3"/>
    <w:qFormat/>
    <w:uiPriority w:val="9"/>
    <w:rPr>
      <w:rFonts w:ascii="Times New Roman" w:hAnsi="Times New Roman"/>
      <w:b/>
      <w:bCs/>
      <w:kern w:val="44"/>
      <w:sz w:val="44"/>
      <w:szCs w:val="44"/>
    </w:rPr>
  </w:style>
  <w:style w:type="character" w:customStyle="1" w:styleId="29">
    <w:name w:val="标题 2 字符"/>
    <w:basedOn w:val="16"/>
    <w:link w:val="4"/>
    <w:qFormat/>
    <w:uiPriority w:val="9"/>
    <w:rPr>
      <w:rFonts w:asciiTheme="majorHAnsi" w:hAnsiTheme="majorHAnsi" w:eastAsiaTheme="majorEastAsia" w:cstheme="majorBidi"/>
      <w:b/>
      <w:bCs/>
      <w:kern w:val="2"/>
      <w:sz w:val="32"/>
      <w:szCs w:val="32"/>
    </w:rPr>
  </w:style>
  <w:style w:type="paragraph" w:customStyle="1" w:styleId="30">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1">
    <w:name w:val="批注框文本 字符"/>
    <w:basedOn w:val="16"/>
    <w:link w:val="8"/>
    <w:semiHidden/>
    <w:qFormat/>
    <w:uiPriority w:val="99"/>
    <w:rPr>
      <w:rFonts w:ascii="Times New Roman" w:hAnsi="Times New Roman"/>
      <w:kern w:val="2"/>
      <w:sz w:val="18"/>
      <w:szCs w:val="18"/>
    </w:rPr>
  </w:style>
  <w:style w:type="character" w:customStyle="1" w:styleId="32">
    <w:name w:val="标题 3 字符"/>
    <w:basedOn w:val="16"/>
    <w:link w:val="5"/>
    <w:qFormat/>
    <w:uiPriority w:val="9"/>
    <w:rPr>
      <w:rFonts w:ascii="Times New Roman" w:hAnsi="Times New Roman"/>
      <w:b/>
      <w:bCs/>
      <w:kern w:val="2"/>
      <w:sz w:val="32"/>
      <w:szCs w:val="32"/>
    </w:rPr>
  </w:style>
  <w:style w:type="paragraph" w:customStyle="1" w:styleId="33">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4">
    <w:name w:val="标题 2 Char"/>
    <w:basedOn w:val="16"/>
    <w:link w:val="4"/>
    <w:qFormat/>
    <w:uiPriority w:val="9"/>
    <w:rPr>
      <w:rFonts w:ascii="Cambria" w:hAnsi="Cambria" w:eastAsia="宋体" w:cs="Times New Roman"/>
      <w:b/>
      <w:bCs/>
      <w:kern w:val="2"/>
      <w:sz w:val="32"/>
      <w:szCs w:val="32"/>
    </w:rPr>
  </w:style>
  <w:style w:type="paragraph" w:customStyle="1" w:styleId="35">
    <w:name w:val="p0"/>
    <w:basedOn w:val="1"/>
    <w:qFormat/>
    <w:uiPriority w:val="0"/>
    <w:pPr>
      <w:widowControl/>
      <w:spacing w:line="365" w:lineRule="atLeast"/>
      <w:ind w:left="1"/>
      <w:textAlignment w:val="bottom"/>
    </w:pPr>
    <w:rPr>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9.emf"/><Relationship Id="rId3" Type="http://schemas.openxmlformats.org/officeDocument/2006/relationships/header" Target="header1.xml"/><Relationship Id="rId29" Type="http://schemas.openxmlformats.org/officeDocument/2006/relationships/oleObject" Target="embeddings/oleObject9.bin"/><Relationship Id="rId28" Type="http://schemas.openxmlformats.org/officeDocument/2006/relationships/image" Target="media/image8.emf"/><Relationship Id="rId27" Type="http://schemas.openxmlformats.org/officeDocument/2006/relationships/oleObject" Target="embeddings/oleObject8.bin"/><Relationship Id="rId26" Type="http://schemas.openxmlformats.org/officeDocument/2006/relationships/image" Target="media/image7.emf"/><Relationship Id="rId25" Type="http://schemas.openxmlformats.org/officeDocument/2006/relationships/oleObject" Target="embeddings/oleObject7.bin"/><Relationship Id="rId24" Type="http://schemas.openxmlformats.org/officeDocument/2006/relationships/image" Target="media/image6.emf"/><Relationship Id="rId23" Type="http://schemas.openxmlformats.org/officeDocument/2006/relationships/oleObject" Target="embeddings/oleObject6.bin"/><Relationship Id="rId22" Type="http://schemas.openxmlformats.org/officeDocument/2006/relationships/image" Target="media/image5.emf"/><Relationship Id="rId21" Type="http://schemas.openxmlformats.org/officeDocument/2006/relationships/oleObject" Target="embeddings/oleObject5.bin"/><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39044;&#31639;&#12289;&#20915;&#31639;&#20844;&#24320;\&#20915;&#31639;&#20844;&#24320;\2022&#37096;&#38376;&#20915;&#31639;&#65288;2023.10.17&#65289;\&#26609;&#29366;&#22270;&#12289;&#39292;&#29366;&#22270;&#65288;2022&#65289;.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39044;&#31639;&#12289;&#20915;&#31639;&#20844;&#24320;\&#20915;&#31639;&#20844;&#24320;\2022&#37096;&#38376;&#20915;&#31639;&#65288;2023.10.17&#65289;\&#26609;&#29366;&#22270;&#12289;&#39292;&#29366;&#22270;&#65288;2022&#65289;.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39044;&#31639;&#12289;&#20915;&#31639;&#20844;&#24320;\&#20915;&#31639;&#20844;&#24320;\2022&#37096;&#38376;&#20915;&#31639;&#65288;2023.10.17&#65289;\&#26609;&#29366;&#22270;&#12289;&#39292;&#29366;&#22270;&#65288;2022&#65289;.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ministrator\Desktop\&#39044;&#31639;&#12289;&#20915;&#31639;&#20844;&#24320;\&#20915;&#31639;&#20844;&#24320;\2022&#37096;&#38376;&#20915;&#31639;&#65288;2023.10.17&#65289;\&#26609;&#29366;&#22270;&#12289;&#39292;&#29366;&#22270;&#65288;2022&#65289;.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39044;&#31639;&#12289;&#20915;&#31639;&#20844;&#24320;\&#20915;&#31639;&#20844;&#24320;\2022&#37096;&#38376;&#20915;&#31639;&#65288;2023.10.17&#65289;\&#26609;&#29366;&#22270;&#12289;&#39292;&#29366;&#22270;&#65288;2022&#65289;.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Administrator\Desktop\&#39044;&#31639;&#12289;&#20915;&#31639;&#20844;&#24320;\&#20915;&#31639;&#20844;&#24320;\2022&#37096;&#38376;&#20915;&#31639;&#65288;2023.10.17&#65289;\&#26609;&#29366;&#22270;&#12289;&#39292;&#29366;&#22270;&#65288;2022&#65289;.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39044;&#31639;&#12289;&#20915;&#31639;&#20844;&#24320;\&#20915;&#31639;&#20844;&#24320;\2022&#37096;&#38376;&#20915;&#31639;&#65288;2023.10.17&#65289;\&#26609;&#29366;&#22270;&#12289;&#39292;&#29366;&#22270;&#65288;2022&#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收入决算总计变动情况图</a:t>
            </a:r>
          </a:p>
        </c:rich>
      </c:tx>
      <c:layout>
        <c:manualLayout>
          <c:xMode val="edge"/>
          <c:yMode val="edge"/>
          <c:x val="0.280448599386623"/>
          <c:y val="0.0211168283529666"/>
        </c:manualLayout>
      </c:layout>
      <c:overlay val="0"/>
      <c:spPr>
        <a:noFill/>
        <a:ln>
          <a:noFill/>
        </a:ln>
        <a:effectLst/>
      </c:spPr>
    </c:title>
    <c:autoTitleDeleted val="0"/>
    <c:plotArea>
      <c:layout>
        <c:manualLayout>
          <c:layoutTarget val="inner"/>
          <c:xMode val="edge"/>
          <c:yMode val="edge"/>
          <c:x val="0.0610555555555556"/>
          <c:y val="0.0409722222222222"/>
          <c:w val="0.5495"/>
          <c:h val="0.711666666666667"/>
        </c:manualLayout>
      </c:layout>
      <c:barChart>
        <c:barDir val="col"/>
        <c:grouping val="clustered"/>
        <c:varyColors val="0"/>
        <c:ser>
          <c:idx val="0"/>
          <c:order val="0"/>
          <c:tx>
            <c:strRef>
              <c:f>'[柱状图、饼状图（2022）.xlsx]Sheet1'!$L$3</c:f>
              <c:strCache>
                <c:ptCount val="1"/>
                <c:pt idx="0">
                  <c:v>收支总计（单位：万元）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'[柱状图、饼状图（2022）.xlsx]Sheet1'!$M$2:$N$2</c:f>
              <c:numCache>
                <c:formatCode>General</c:formatCode>
                <c:ptCount val="2"/>
                <c:pt idx="0">
                  <c:v>2022</c:v>
                </c:pt>
                <c:pt idx="1">
                  <c:v>2023</c:v>
                </c:pt>
              </c:numCache>
            </c:numRef>
          </c:cat>
          <c:val>
            <c:numRef>
              <c:f>'[柱状图、饼状图（2022）.xlsx]Sheet1'!$M$3:$N$3</c:f>
              <c:numCache>
                <c:formatCode>General</c:formatCode>
                <c:ptCount val="2"/>
                <c:pt idx="0">
                  <c:v>1235.9</c:v>
                </c:pt>
                <c:pt idx="1">
                  <c:v>859.49</c:v>
                </c:pt>
              </c:numCache>
            </c:numRef>
          </c:val>
        </c:ser>
        <c:dLbls>
          <c:showLegendKey val="0"/>
          <c:showVal val="1"/>
          <c:showCatName val="0"/>
          <c:showSerName val="0"/>
          <c:showPercent val="0"/>
          <c:showBubbleSize val="0"/>
        </c:dLbls>
        <c:gapWidth val="219"/>
        <c:overlap val="-27"/>
        <c:axId val="29215389"/>
        <c:axId val="174055049"/>
      </c:barChart>
      <c:catAx>
        <c:axId val="2921538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055049"/>
        <c:crosses val="autoZero"/>
        <c:auto val="1"/>
        <c:lblAlgn val="ctr"/>
        <c:lblOffset val="100"/>
        <c:noMultiLvlLbl val="0"/>
      </c:catAx>
      <c:valAx>
        <c:axId val="17405504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215389"/>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6f6b580-8398-458e-b77c-b3ee82fecc8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收入决算结构图（单位：万元）</a:t>
            </a:r>
          </a:p>
        </c:rich>
      </c:tx>
      <c:layout/>
      <c:overlay val="0"/>
      <c:spPr>
        <a:noFill/>
        <a:ln>
          <a:noFill/>
        </a:ln>
        <a:effectLst/>
      </c:spPr>
    </c:title>
    <c:autoTitleDeleted val="0"/>
    <c:plotArea>
      <c:layout>
        <c:manualLayout>
          <c:layoutTarget val="inner"/>
          <c:xMode val="edge"/>
          <c:yMode val="edge"/>
          <c:x val="0.367352941176471"/>
          <c:y val="0.0138057984353428"/>
          <c:w val="0.339803921568627"/>
          <c:h val="0.797514956281638"/>
        </c:manualLayout>
      </c:layout>
      <c:pieChart>
        <c:varyColors val="1"/>
        <c:ser>
          <c:idx val="0"/>
          <c:order val="0"/>
          <c:tx>
            <c:strRef>
              <c:f>'[柱状图、饼状图（2022）.xlsx]Sheet1'!$B$16</c:f>
              <c:strCache>
                <c:ptCount val="1"/>
                <c:pt idx="0">
                  <c:v>838.07</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'[柱状图、饼状图（2022）.xlsx]Sheet1'!$A$17:$A$18</c:f>
              <c:strCache>
                <c:ptCount val="2"/>
                <c:pt idx="0">
                  <c:v>一般公共预算财政拨款收入</c:v>
                </c:pt>
                <c:pt idx="1">
                  <c:v>其他收入</c:v>
                </c:pt>
              </c:strCache>
            </c:strRef>
          </c:cat>
          <c:val>
            <c:numRef>
              <c:f>'[柱状图、饼状图（2022）.xlsx]Sheet1'!$B$17:$B$18</c:f>
              <c:numCache>
                <c:formatCode>General</c:formatCode>
                <c:ptCount val="2"/>
                <c:pt idx="0">
                  <c:v>812.17</c:v>
                </c:pt>
                <c:pt idx="1">
                  <c:v>25.91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5a2e350-3b84-4c06-bcd3-8bbe699c80c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支出决算结构图（单位：万元）</a:t>
            </a:r>
          </a:p>
        </c:rich>
      </c:tx>
      <c:layout/>
      <c:overlay val="0"/>
      <c:spPr>
        <a:noFill/>
        <a:ln>
          <a:noFill/>
        </a:ln>
        <a:effectLst/>
      </c:spPr>
    </c:title>
    <c:autoTitleDeleted val="0"/>
    <c:plotArea>
      <c:layout>
        <c:manualLayout>
          <c:layoutTarget val="inner"/>
          <c:xMode val="edge"/>
          <c:yMode val="edge"/>
          <c:x val="0.322686862034903"/>
          <c:y val="0.456083803384367"/>
          <c:w val="0.217319723411261"/>
          <c:h val="0.531829170024174"/>
        </c:manualLayout>
      </c:layout>
      <c:pieChart>
        <c:varyColors val="1"/>
        <c:ser>
          <c:idx val="0"/>
          <c:order val="0"/>
          <c:tx>
            <c:strRef>
              <c:f>'[柱状图、饼状图（2022）.xlsx]Sheet1'!$B$29</c:f>
              <c:strCache>
                <c:ptCount val="1"/>
                <c:pt idx="0">
                  <c:v>840.22</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'[柱状图、饼状图（2022）.xlsx]Sheet1'!$A$30:$A$31</c:f>
              <c:strCache>
                <c:ptCount val="2"/>
                <c:pt idx="0">
                  <c:v>基本支出</c:v>
                </c:pt>
                <c:pt idx="1">
                  <c:v>项目支出</c:v>
                </c:pt>
              </c:strCache>
            </c:strRef>
          </c:cat>
          <c:val>
            <c:numRef>
              <c:f>'[柱状图、饼状图（2022）.xlsx]Sheet1'!$B$30:$B$31</c:f>
              <c:numCache>
                <c:formatCode>General</c:formatCode>
                <c:ptCount val="2"/>
                <c:pt idx="0">
                  <c:v>611.22</c:v>
                </c:pt>
                <c:pt idx="1">
                  <c:v>229.01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d85ad7e-e7a0-45b9-89c5-d482dc100e9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财政拨款收支决算总计变动情况（单位：万元）</a:t>
            </a:r>
          </a:p>
        </c:rich>
      </c:tx>
      <c:layout>
        <c:manualLayout>
          <c:xMode val="edge"/>
          <c:yMode val="edge"/>
          <c:x val="0.0852965069049553"/>
          <c:y val="0.106761565836299"/>
        </c:manualLayout>
      </c:layout>
      <c:overlay val="0"/>
      <c:spPr>
        <a:noFill/>
        <a:ln>
          <a:noFill/>
        </a:ln>
        <a:effectLst/>
      </c:spPr>
    </c:title>
    <c:autoTitleDeleted val="0"/>
    <c:plotArea>
      <c:layout>
        <c:manualLayout>
          <c:layoutTarget val="inner"/>
          <c:xMode val="edge"/>
          <c:yMode val="edge"/>
          <c:x val="0.0714680539749634"/>
          <c:y val="0.364930443222258"/>
          <c:w val="0.861876117704438"/>
          <c:h val="0.488320931737302"/>
        </c:manualLayout>
      </c:layout>
      <c:barChart>
        <c:barDir val="col"/>
        <c:grouping val="clustered"/>
        <c:varyColors val="0"/>
        <c:ser>
          <c:idx val="0"/>
          <c:order val="0"/>
          <c:tx>
            <c:strRef>
              <c:f>'[柱状图、饼状图（2022）.xlsx]Sheet1'!$L$47</c:f>
              <c:strCache>
                <c:ptCount val="1"/>
                <c:pt idx="0">
                  <c:v>财政拨款收支总计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'[柱状图、饼状图（2022）.xlsx]Sheet1'!$M$46:$N$46</c:f>
              <c:strCache>
                <c:ptCount val="2"/>
                <c:pt idx="0">
                  <c:v>2022年</c:v>
                </c:pt>
                <c:pt idx="1">
                  <c:v>2023年</c:v>
                </c:pt>
              </c:strCache>
            </c:strRef>
          </c:cat>
          <c:val>
            <c:numRef>
              <c:f>'[柱状图、饼状图（2022）.xlsx]Sheet1'!$M$47:$N$47</c:f>
              <c:numCache>
                <c:formatCode>General</c:formatCode>
                <c:ptCount val="2"/>
                <c:pt idx="0">
                  <c:v>1235.9</c:v>
                </c:pt>
                <c:pt idx="1">
                  <c:v>833.58</c:v>
                </c:pt>
              </c:numCache>
            </c:numRef>
          </c:val>
        </c:ser>
        <c:dLbls>
          <c:showLegendKey val="0"/>
          <c:showVal val="1"/>
          <c:showCatName val="0"/>
          <c:showSerName val="0"/>
          <c:showPercent val="0"/>
          <c:showBubbleSize val="0"/>
        </c:dLbls>
        <c:gapWidth val="219"/>
        <c:overlap val="-27"/>
        <c:axId val="662510553"/>
        <c:axId val="942996238"/>
      </c:barChart>
      <c:catAx>
        <c:axId val="66251055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2996238"/>
        <c:crosses val="autoZero"/>
        <c:auto val="1"/>
        <c:lblAlgn val="ctr"/>
        <c:lblOffset val="100"/>
        <c:noMultiLvlLbl val="0"/>
      </c:catAx>
      <c:valAx>
        <c:axId val="94299623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2510553"/>
        <c:crosses val="autoZero"/>
        <c:crossBetween val="between"/>
      </c:valAx>
      <c:spPr>
        <a:noFill/>
        <a:ln>
          <a:noFill/>
        </a:ln>
        <a:effectLst/>
      </c:spPr>
    </c:plotArea>
    <c:plotVisOnly val="1"/>
    <c:dispBlanksAs val="gap"/>
    <c:showDLblsOverMax val="0"/>
    <c:extLst>
      <c:ext uri="{0b15fc19-7d7d-44ad-8c2d-2c3a37ce22c3}">
        <chartProps xmlns="https://web.wps.cn/et/2018/main" chartId="{01a4aa8a-44a4-468d-91bb-9327c47ac36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20191561036885"/>
          <c:y val="0.00884694780300796"/>
        </c:manualLayout>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'[柱状图、饼状图（2022）.xlsx]Sheet1'!$L$62</c:f>
              <c:strCache>
                <c:ptCount val="1"/>
                <c:pt idx="0">
                  <c:v>一般公共预算财政拨款支出（单位：万元）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'[柱状图、饼状图（2022）.xlsx]Sheet1'!$M$61:$N$61</c:f>
              <c:strCache>
                <c:ptCount val="2"/>
                <c:pt idx="0">
                  <c:v>2022年</c:v>
                </c:pt>
                <c:pt idx="1">
                  <c:v>2023年</c:v>
                </c:pt>
              </c:strCache>
            </c:strRef>
          </c:cat>
          <c:val>
            <c:numRef>
              <c:f>'[柱状图、饼状图（2022）.xlsx]Sheet1'!$M$62:$N$62</c:f>
              <c:numCache>
                <c:formatCode>General</c:formatCode>
                <c:ptCount val="2"/>
                <c:pt idx="0">
                  <c:v>1202.76</c:v>
                </c:pt>
                <c:pt idx="1">
                  <c:v>814.32</c:v>
                </c:pt>
              </c:numCache>
            </c:numRef>
          </c:val>
        </c:ser>
        <c:dLbls>
          <c:showLegendKey val="0"/>
          <c:showVal val="1"/>
          <c:showCatName val="0"/>
          <c:showSerName val="0"/>
          <c:showPercent val="0"/>
          <c:showBubbleSize val="0"/>
        </c:dLbls>
        <c:gapWidth val="219"/>
        <c:overlap val="-27"/>
        <c:axId val="45970472"/>
        <c:axId val="342208628"/>
      </c:barChart>
      <c:catAx>
        <c:axId val="4597047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2208628"/>
        <c:crosses val="autoZero"/>
        <c:auto val="1"/>
        <c:lblAlgn val="ctr"/>
        <c:lblOffset val="100"/>
        <c:noMultiLvlLbl val="0"/>
      </c:catAx>
      <c:valAx>
        <c:axId val="3422086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5970472"/>
        <c:crosses val="autoZero"/>
        <c:crossBetween val="between"/>
      </c:valAx>
      <c:spPr>
        <a:noFill/>
        <a:ln>
          <a:noFill/>
        </a:ln>
        <a:effectLst/>
      </c:spPr>
    </c:plotArea>
    <c:plotVisOnly val="1"/>
    <c:dispBlanksAs val="gap"/>
    <c:showDLblsOverMax val="0"/>
    <c:extLst>
      <c:ext uri="{0b15fc19-7d7d-44ad-8c2d-2c3a37ce22c3}">
        <chartProps xmlns="https://web.wps.cn/et/2018/main" chartId="{3353c1af-2668-4904-aca8-8d234e70647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一般公共预算财政拨款支出决算结构图（单位：万元）</a:t>
            </a:r>
          </a:p>
        </c:rich>
      </c:tx>
      <c:layout/>
      <c:overlay val="0"/>
      <c:spPr>
        <a:noFill/>
        <a:ln>
          <a:noFill/>
        </a:ln>
        <a:effectLst/>
      </c:spPr>
    </c:title>
    <c:autoTitleDeleted val="0"/>
    <c:plotArea>
      <c:layout/>
      <c:pieChart>
        <c:varyColors val="1"/>
        <c:ser>
          <c:idx val="0"/>
          <c:order val="0"/>
          <c:tx>
            <c:strRef>
              <c:f>'[柱状图、饼状图（2022）.xlsx]Sheet1'!$B$77</c:f>
              <c:strCache>
                <c:ptCount val="1"/>
                <c:pt idx="0">
                  <c:v>单位（万元）</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'[柱状图、饼状图（2022）.xlsx]Sheet1'!$A$78:$A$82</c:f>
              <c:strCache>
                <c:ptCount val="5"/>
                <c:pt idx="0">
                  <c:v>教育支出（类）</c:v>
                </c:pt>
                <c:pt idx="1">
                  <c:v>社会保障和就业（类）</c:v>
                </c:pt>
                <c:pt idx="2">
                  <c:v>卫生健康</c:v>
                </c:pt>
                <c:pt idx="3">
                  <c:v>住房保障</c:v>
                </c:pt>
              </c:strCache>
            </c:strRef>
          </c:cat>
          <c:val>
            <c:numRef>
              <c:f>'[柱状图、饼状图（2022）.xlsx]Sheet1'!$B$78:$B$82</c:f>
              <c:numCache>
                <c:formatCode>General</c:formatCode>
                <c:ptCount val="5"/>
                <c:pt idx="0">
                  <c:v>665.28</c:v>
                </c:pt>
                <c:pt idx="1">
                  <c:v>88.17</c:v>
                </c:pt>
                <c:pt idx="2">
                  <c:v>18.78</c:v>
                </c:pt>
                <c:pt idx="3">
                  <c:v>42.08</c:v>
                </c:pt>
              </c:numCache>
            </c:numRef>
          </c:val>
        </c:ser>
        <c:ser>
          <c:idx val="1"/>
          <c:order val="1"/>
          <c:tx>
            <c:strRef>
              <c:f>'[柱状图、饼状图（2022）.xlsx]Sheet1'!$C$77</c:f>
              <c:strCache>
                <c:ptCount val="1"/>
                <c:pt idx="0">
                  <c:v>占比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'[柱状图、饼状图（2022）.xlsx]Sheet1'!$A$78:$A$82</c:f>
              <c:strCache>
                <c:ptCount val="5"/>
                <c:pt idx="0">
                  <c:v>教育支出（类）</c:v>
                </c:pt>
                <c:pt idx="1">
                  <c:v>社会保障和就业（类）</c:v>
                </c:pt>
                <c:pt idx="2">
                  <c:v>卫生健康</c:v>
                </c:pt>
                <c:pt idx="3">
                  <c:v>住房保障</c:v>
                </c:pt>
              </c:strCache>
            </c:strRef>
          </c:cat>
          <c:val>
            <c:numRef>
              <c:f>'[柱状图、饼状图（2022）.xlsx]Sheet1'!$C$78:$C$82</c:f>
              <c:numCache>
                <c:formatCode>0.00%</c:formatCode>
                <c:ptCount val="5"/>
                <c:pt idx="0">
                  <c:v>0.817</c:v>
                </c:pt>
                <c:pt idx="1">
                  <c:v>0.1083</c:v>
                </c:pt>
                <c:pt idx="2">
                  <c:v>0.0231</c:v>
                </c:pt>
                <c:pt idx="3">
                  <c:v>0.0516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5759673-1cf4-4251-95a1-6c3a5a94f1f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a:t>
            </a:r>
            <a:r>
              <a:rPr altLang="en-US"/>
              <a:t>三公</a:t>
            </a:r>
            <a:r>
              <a:rPr lang="en-US" altLang="zh-CN"/>
              <a:t>“</a:t>
            </a:r>
            <a:r>
              <a:rPr altLang="en-US"/>
              <a:t>经费财政拨款支出</a:t>
            </a:r>
            <a:endParaRPr altLang="en-US"/>
          </a:p>
        </c:rich>
      </c:tx>
      <c:layout/>
      <c:overlay val="0"/>
      <c:spPr>
        <a:noFill/>
        <a:ln>
          <a:noFill/>
        </a:ln>
        <a:effectLst/>
      </c:spPr>
    </c:title>
    <c:autoTitleDeleted val="0"/>
    <c:plotArea>
      <c:layout/>
      <c:pieChart>
        <c:varyColors val="1"/>
        <c:ser>
          <c:idx val="0"/>
          <c:order val="0"/>
          <c:tx>
            <c:strRef>
              <c:f>'[柱状图、饼状图（2022）.xlsx]Sheet1'!$B$97</c:f>
              <c:strCache>
                <c:ptCount val="1"/>
                <c:pt idx="0">
                  <c:v>单位（万元）</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'[柱状图、饼状图（2022）.xlsx]Sheet1'!$A$98:$A$100</c:f>
              <c:strCache>
                <c:ptCount val="3"/>
                <c:pt idx="0">
                  <c:v>因公出国（境）费</c:v>
                </c:pt>
                <c:pt idx="1">
                  <c:v>公务用车购置及运行维护费</c:v>
                </c:pt>
                <c:pt idx="2">
                  <c:v>公务接待费</c:v>
                </c:pt>
              </c:strCache>
            </c:strRef>
          </c:cat>
          <c:val>
            <c:numRef>
              <c:f>'[柱状图、饼状图（2022）.xlsx]Sheet1'!$B$98:$B$100</c:f>
              <c:numCache>
                <c:formatCode>General</c:formatCode>
                <c:ptCount val="3"/>
                <c:pt idx="0">
                  <c:v>0</c:v>
                </c:pt>
                <c:pt idx="1">
                  <c:v>0</c:v>
                </c:pt>
                <c:pt idx="2">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b1e53bf-a43e-4b67-8dd2-e2193def4c4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8"/>
    <customShpInfo spid="_x0000_s1036"/>
    <customShpInfo spid="_x0000_s1040"/>
    <customShpInfo spid="_x0000_s1039"/>
    <customShpInfo spid="_x0000_s1042"/>
    <customShpInfo spid="_x0000_s1041"/>
    <customShpInfo spid="_x0000_s1044"/>
    <customShpInfo spid="_x0000_s10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22</Pages>
  <Words>4723</Words>
  <Characters>6859</Characters>
  <Lines>54</Lines>
  <Paragraphs>15</Paragraphs>
  <TotalTime>5</TotalTime>
  <ScaleCrop>false</ScaleCrop>
  <LinksUpToDate>false</LinksUpToDate>
  <CharactersWithSpaces>6886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2020-08-08T01:49:00Z</dcterms:created>
  <dc:creator>曹颖</dc:creator>
  <cp:lastModifiedBy>碧云天</cp:lastModifiedBy>
  <cp:lastPrinted>2023-08-03T02:35:00Z</cp:lastPrinted>
  <dcterms:modified xsi:type="dcterms:W3CDTF">2024-10-31T00:29:26Z</dcterms:modified>
  <dc:title>四川省***</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B558827D65F140F5B1B442A7426377B7_13</vt:lpwstr>
  </property>
</Properties>
</file>