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0BC16">
      <w:pPr>
        <w:spacing w:line="600" w:lineRule="exact"/>
        <w:jc w:val="left"/>
        <w:outlineLvl w:val="9"/>
        <w:rPr>
          <w:rFonts w:ascii="方正小标宋简体" w:hAnsi="宋体" w:eastAsia="方正小标宋简体"/>
          <w:szCs w:val="21"/>
        </w:rPr>
      </w:pPr>
      <w:bookmarkStart w:id="0" w:name="_Toc15306267"/>
    </w:p>
    <w:p w14:paraId="20E7E1BF">
      <w:pPr>
        <w:pStyle w:val="5"/>
        <w:spacing w:before="93"/>
      </w:pPr>
    </w:p>
    <w:p w14:paraId="7EB6BD3F">
      <w:pPr>
        <w:spacing w:line="600" w:lineRule="exact"/>
        <w:jc w:val="center"/>
        <w:outlineLvl w:val="9"/>
        <w:rPr>
          <w:rFonts w:ascii="方正小标宋简体" w:hAnsi="宋体" w:eastAsia="方正小标宋简体"/>
          <w:sz w:val="72"/>
          <w:szCs w:val="72"/>
        </w:rPr>
      </w:pPr>
    </w:p>
    <w:p w14:paraId="78337464">
      <w:pPr>
        <w:spacing w:line="600" w:lineRule="exact"/>
        <w:jc w:val="center"/>
        <w:outlineLvl w:val="9"/>
        <w:rPr>
          <w:rFonts w:ascii="方正小标宋简体" w:hAnsi="宋体" w:eastAsia="方正小标宋简体"/>
          <w:sz w:val="72"/>
          <w:szCs w:val="72"/>
        </w:rPr>
      </w:pPr>
    </w:p>
    <w:p w14:paraId="2FB69C8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方正小标宋简体" w:hAnsi="方正小标宋简体" w:eastAsia="方正小标宋简体" w:cs="方正小标宋简体"/>
          <w:sz w:val="72"/>
          <w:szCs w:val="72"/>
        </w:rPr>
      </w:pPr>
      <w:bookmarkStart w:id="1" w:name="_Toc15377193"/>
      <w:bookmarkStart w:id="2" w:name="_Toc15377425"/>
      <w:bookmarkStart w:id="3" w:name="_Toc15378441"/>
      <w:bookmarkStart w:id="4" w:name="_Toc15396597"/>
      <w:bookmarkStart w:id="5" w:name="_Toc15396475"/>
    </w:p>
    <w:p w14:paraId="6C2D74D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p w14:paraId="79A18C7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方正小标宋简体" w:hAnsi="方正小标宋简体" w:eastAsia="方正小标宋简体" w:cs="方正小标宋简体"/>
          <w:sz w:val="72"/>
          <w:szCs w:val="72"/>
          <w:lang w:val="en-US" w:eastAsia="zh-CN"/>
        </w:rPr>
      </w:pPr>
      <w:bookmarkStart w:id="6" w:name="_Toc15377426"/>
      <w:bookmarkStart w:id="7" w:name="_Toc15396476"/>
      <w:bookmarkStart w:id="8" w:name="_Toc15396598"/>
      <w:bookmarkStart w:id="9" w:name="_Toc15377194"/>
      <w:bookmarkStart w:id="10" w:name="_Toc15378442"/>
      <w:r>
        <w:rPr>
          <w:rFonts w:hint="eastAsia" w:ascii="方正小标宋简体" w:hAnsi="方正小标宋简体" w:eastAsia="方正小标宋简体" w:cs="方正小标宋简体"/>
          <w:sz w:val="72"/>
          <w:szCs w:val="72"/>
        </w:rPr>
        <w:t>四川省</w:t>
      </w:r>
      <w:bookmarkEnd w:id="0"/>
      <w:bookmarkStart w:id="11" w:name="_Toc15306268"/>
      <w:r>
        <w:rPr>
          <w:rFonts w:hint="eastAsia" w:ascii="方正小标宋简体" w:hAnsi="方正小标宋简体" w:eastAsia="方正小标宋简体" w:cs="方正小标宋简体"/>
          <w:sz w:val="72"/>
          <w:szCs w:val="72"/>
          <w:lang w:val="en-US" w:eastAsia="zh-CN"/>
        </w:rPr>
        <w:t>峨边民族中学</w:t>
      </w:r>
    </w:p>
    <w:p w14:paraId="6068175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单位决算</w:t>
      </w:r>
      <w:bookmarkEnd w:id="6"/>
      <w:bookmarkEnd w:id="7"/>
      <w:bookmarkEnd w:id="8"/>
      <w:bookmarkEnd w:id="9"/>
      <w:bookmarkEnd w:id="10"/>
      <w:bookmarkEnd w:id="11"/>
    </w:p>
    <w:p w14:paraId="24DB10CD">
      <w:pPr>
        <w:adjustRightInd w:val="0"/>
        <w:snapToGrid w:val="0"/>
        <w:spacing w:line="360" w:lineRule="auto"/>
        <w:jc w:val="center"/>
        <w:outlineLvl w:val="9"/>
        <w:rPr>
          <w:rFonts w:ascii="方正小标宋简体" w:hAnsi="宋体" w:eastAsia="方正小标宋简体"/>
          <w:sz w:val="52"/>
          <w:szCs w:val="52"/>
        </w:rPr>
      </w:pPr>
    </w:p>
    <w:p w14:paraId="62CB06EB">
      <w:pPr>
        <w:widowControl/>
        <w:jc w:val="center"/>
        <w:rPr>
          <w:rFonts w:ascii="方正小标宋简体" w:hAnsi="宋体" w:eastAsia="方正小标宋简体"/>
          <w:sz w:val="36"/>
          <w:szCs w:val="36"/>
        </w:rPr>
      </w:pPr>
    </w:p>
    <w:p w14:paraId="2ED3CDD5">
      <w:pPr>
        <w:widowControl/>
        <w:jc w:val="center"/>
        <w:rPr>
          <w:rFonts w:ascii="方正小标宋简体" w:hAnsi="宋体" w:eastAsia="方正小标宋简体"/>
          <w:sz w:val="36"/>
          <w:szCs w:val="36"/>
        </w:rPr>
      </w:pPr>
    </w:p>
    <w:p w14:paraId="5BC76326">
      <w:pPr>
        <w:widowControl/>
        <w:jc w:val="both"/>
        <w:rPr>
          <w:rFonts w:ascii="方正小标宋简体" w:hAnsi="宋体" w:eastAsia="方正小标宋简体"/>
          <w:sz w:val="36"/>
          <w:szCs w:val="36"/>
        </w:rPr>
      </w:pPr>
    </w:p>
    <w:p w14:paraId="103F0765">
      <w:pPr>
        <w:widowControl/>
        <w:jc w:val="center"/>
        <w:rPr>
          <w:rFonts w:ascii="方正小标宋简体" w:hAnsi="宋体" w:eastAsia="方正小标宋简体"/>
          <w:sz w:val="36"/>
          <w:szCs w:val="36"/>
        </w:rPr>
      </w:pPr>
    </w:p>
    <w:p w14:paraId="52AC969B">
      <w:pPr>
        <w:widowControl/>
        <w:jc w:val="center"/>
        <w:rPr>
          <w:rFonts w:ascii="方正小标宋简体" w:hAnsi="宋体" w:eastAsia="方正小标宋简体"/>
          <w:sz w:val="36"/>
          <w:szCs w:val="36"/>
        </w:rPr>
      </w:pPr>
    </w:p>
    <w:p w14:paraId="4CF75D34">
      <w:pPr>
        <w:pStyle w:val="11"/>
        <w:rPr>
          <w:rFonts w:ascii="黑体" w:hAnsi="黑体" w:eastAsia="黑体"/>
          <w:sz w:val="48"/>
          <w:szCs w:val="48"/>
        </w:rPr>
      </w:pPr>
      <w:r>
        <w:rPr>
          <w:rFonts w:hint="eastAsia"/>
        </w:rPr>
        <w:t>公开时间：202</w:t>
      </w:r>
      <w:r>
        <w:rPr>
          <w:rFonts w:hint="eastAsia"/>
          <w:lang w:val="en-US" w:eastAsia="zh-CN"/>
        </w:rPr>
        <w:t>4</w:t>
      </w:r>
      <w:r>
        <w:rPr>
          <w:rFonts w:hint="eastAsia"/>
        </w:rPr>
        <w:t>年</w:t>
      </w:r>
      <w:r>
        <w:rPr>
          <w:rFonts w:hint="eastAsia"/>
          <w:lang w:val="en-US" w:eastAsia="zh-CN"/>
        </w:rPr>
        <w:t>10</w:t>
      </w:r>
      <w:r>
        <w:rPr>
          <w:rFonts w:hint="eastAsia"/>
        </w:rPr>
        <w:t>月</w:t>
      </w:r>
      <w:r>
        <w:rPr>
          <w:rFonts w:hint="eastAsia"/>
          <w:lang w:val="en-US" w:eastAsia="zh-CN"/>
        </w:rPr>
        <w:t>29</w:t>
      </w:r>
      <w:r>
        <w:rPr>
          <w:rFonts w:hint="eastAsia"/>
        </w:rPr>
        <w:t>日</w:t>
      </w:r>
      <w:r>
        <w:rPr>
          <w:rFonts w:ascii="方正小标宋简体" w:hAnsi="宋体" w:eastAsia="方正小标宋简体"/>
          <w:sz w:val="36"/>
          <w:szCs w:val="36"/>
        </w:rPr>
        <w:br w:type="page"/>
      </w:r>
    </w:p>
    <w:sdt>
      <w:sdtPr>
        <w:rPr>
          <w:rFonts w:ascii="宋体" w:hAnsi="宋体" w:eastAsia="宋体" w:cs="Times New Roman"/>
          <w:kern w:val="2"/>
          <w:sz w:val="21"/>
          <w:szCs w:val="24"/>
          <w:lang w:val="en-US" w:eastAsia="zh-CN" w:bidi="ar-SA"/>
        </w:rPr>
        <w:id w:val="147474675"/>
        <w15:color w:val="DBDBDB"/>
        <w:docPartObj>
          <w:docPartGallery w:val="Table of Contents"/>
          <w:docPartUnique/>
        </w:docPartObj>
      </w:sdtPr>
      <w:sdtEndPr>
        <w:rPr>
          <w:rFonts w:hint="default" w:ascii="Times New Roman" w:hAnsi="Times New Roman" w:eastAsia="黑体" w:cs="Times New Roman"/>
          <w:b/>
          <w:kern w:val="2"/>
          <w:sz w:val="21"/>
          <w:szCs w:val="28"/>
          <w:lang w:val="en-US" w:eastAsia="zh-CN" w:bidi="ar-SA"/>
        </w:rPr>
      </w:sdtEndPr>
      <w:sdtContent>
        <w:p w14:paraId="205F7F63">
          <w:pPr>
            <w:spacing w:before="0" w:beforeLines="0" w:after="0" w:afterLines="0" w:line="240" w:lineRule="auto"/>
            <w:ind w:left="0" w:leftChars="0" w:right="0" w:rightChars="0" w:firstLine="0" w:firstLineChars="0"/>
            <w:jc w:val="center"/>
            <w:rPr>
              <w:rFonts w:hint="eastAsia" w:ascii="黑体" w:hAnsi="黑体" w:eastAsia="黑体" w:cs="黑体"/>
              <w:sz w:val="44"/>
              <w:szCs w:val="52"/>
            </w:rPr>
          </w:pPr>
          <w:r>
            <w:rPr>
              <w:rFonts w:hint="eastAsia" w:ascii="黑体" w:hAnsi="黑体" w:eastAsia="黑体" w:cs="黑体"/>
              <w:sz w:val="44"/>
              <w:szCs w:val="52"/>
            </w:rPr>
            <w:t>目录</w:t>
          </w:r>
        </w:p>
        <w:p w14:paraId="639D1F68">
          <w:pPr>
            <w:pStyle w:val="11"/>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 w:val="28"/>
              <w:szCs w:val="28"/>
            </w:rPr>
            <w:fldChar w:fldCharType="begin"/>
          </w:r>
          <w:r>
            <w:rPr>
              <w:rFonts w:hint="default" w:ascii="Times New Roman" w:hAnsi="Times New Roman" w:eastAsia="黑体" w:cs="Times New Roman"/>
              <w:sz w:val="28"/>
              <w:szCs w:val="28"/>
            </w:rPr>
            <w:instrText xml:space="preserve">TOC \o "1-2" \h \u </w:instrText>
          </w:r>
          <w:r>
            <w:rPr>
              <w:rFonts w:hint="default" w:ascii="Times New Roman" w:hAnsi="Times New Roman" w:eastAsia="黑体" w:cs="Times New Roman"/>
              <w:sz w:val="28"/>
              <w:szCs w:val="28"/>
            </w:rPr>
            <w:fldChar w:fldCharType="separate"/>
          </w: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_Toc20140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rPr>
            <w:t>第一部分 单位</w:t>
          </w:r>
          <w:r>
            <w:rPr>
              <w:rFonts w:hint="default" w:ascii="Times New Roman" w:hAnsi="Times New Roman" w:eastAsia="黑体" w:cs="Times New Roman"/>
              <w:bCs w:val="0"/>
            </w:rPr>
            <w:t>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_Toc20140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黑体" w:cs="Times New Roman"/>
              <w:szCs w:val="28"/>
            </w:rPr>
            <w:fldChar w:fldCharType="end"/>
          </w:r>
        </w:p>
        <w:p w14:paraId="1CEF98F0">
          <w:pPr>
            <w:pStyle w:val="12"/>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_Toc29351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bCs w:val="0"/>
            </w:rPr>
            <w:t>一、 主要职责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_Toc29351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黑体" w:cs="Times New Roman"/>
              <w:szCs w:val="28"/>
            </w:rPr>
            <w:fldChar w:fldCharType="end"/>
          </w:r>
        </w:p>
        <w:p w14:paraId="32E65651">
          <w:pPr>
            <w:pStyle w:val="12"/>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_Toc3111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rPr>
            <w:t>二、机构设置</w:t>
          </w:r>
          <w:r>
            <w:rPr>
              <w:rFonts w:hint="default" w:ascii="Times New Roman" w:hAnsi="Times New Roman" w:cs="Times New Roman"/>
            </w:rPr>
            <w:tab/>
          </w:r>
          <w:r>
            <w:rPr>
              <w:rFonts w:hint="eastAsia" w:cs="Times New Roman"/>
              <w:lang w:val="en-US" w:eastAsia="zh-CN"/>
            </w:rPr>
            <w:t>4</w:t>
          </w:r>
          <w:r>
            <w:rPr>
              <w:rFonts w:hint="default" w:ascii="Times New Roman" w:hAnsi="Times New Roman" w:eastAsia="黑体" w:cs="Times New Roman"/>
              <w:szCs w:val="28"/>
            </w:rPr>
            <w:fldChar w:fldCharType="end"/>
          </w:r>
        </w:p>
        <w:p w14:paraId="5883BAE3">
          <w:pPr>
            <w:pStyle w:val="11"/>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_Toc21828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rPr>
            <w:t>第二部分 2023年度</w:t>
          </w:r>
          <w:r>
            <w:rPr>
              <w:rFonts w:hint="default" w:ascii="Times New Roman" w:hAnsi="Times New Roman" w:eastAsia="黑体" w:cs="Times New Roman"/>
              <w:bCs/>
            </w:rPr>
            <w:t>单位决算情况说明</w:t>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eastAsia="黑体" w:cs="Times New Roman"/>
              <w:szCs w:val="28"/>
            </w:rPr>
            <w:fldChar w:fldCharType="end"/>
          </w:r>
        </w:p>
        <w:p w14:paraId="06D878A4">
          <w:pPr>
            <w:pStyle w:val="12"/>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_Toc1860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rPr>
            <w:t xml:space="preserve">一、 </w:t>
          </w:r>
          <w:r>
            <w:rPr>
              <w:rFonts w:hint="default" w:ascii="Times New Roman" w:hAnsi="Times New Roman" w:eastAsia="黑体" w:cs="Times New Roman"/>
              <w:szCs w:val="32"/>
            </w:rPr>
            <w:t>收</w:t>
          </w:r>
          <w:r>
            <w:rPr>
              <w:rFonts w:hint="default" w:ascii="Times New Roman" w:hAnsi="Times New Roman" w:eastAsia="黑体" w:cs="Times New Roman"/>
            </w:rPr>
            <w:t>入支出决算总体情况说明</w:t>
          </w:r>
          <w:r>
            <w:rPr>
              <w:rFonts w:hint="default" w:ascii="Times New Roman" w:hAnsi="Times New Roman" w:cs="Times New Roman"/>
            </w:rPr>
            <w:tab/>
          </w:r>
          <w:r>
            <w:rPr>
              <w:rFonts w:hint="eastAsia" w:cs="Times New Roman"/>
              <w:lang w:val="en-US" w:eastAsia="zh-CN"/>
            </w:rPr>
            <w:t>5</w:t>
          </w:r>
          <w:r>
            <w:rPr>
              <w:rFonts w:hint="default" w:ascii="Times New Roman" w:hAnsi="Times New Roman" w:eastAsia="黑体" w:cs="Times New Roman"/>
              <w:szCs w:val="28"/>
            </w:rPr>
            <w:fldChar w:fldCharType="end"/>
          </w:r>
        </w:p>
        <w:p w14:paraId="5DA91489">
          <w:pPr>
            <w:pStyle w:val="12"/>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_Toc7855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32"/>
              <w:lang w:val="en-US" w:eastAsia="zh-CN"/>
            </w:rPr>
            <w:t>二、</w:t>
          </w:r>
          <w:r>
            <w:rPr>
              <w:rFonts w:hint="default" w:ascii="Times New Roman" w:hAnsi="Times New Roman" w:eastAsia="黑体" w:cs="Times New Roman"/>
              <w:szCs w:val="32"/>
            </w:rPr>
            <w:t>收</w:t>
          </w:r>
          <w:r>
            <w:rPr>
              <w:rFonts w:hint="default" w:ascii="Times New Roman" w:hAnsi="Times New Roman" w:eastAsia="黑体" w:cs="Times New Roman"/>
            </w:rPr>
            <w:t>入决算情况说明</w:t>
          </w:r>
          <w:r>
            <w:rPr>
              <w:rFonts w:hint="default" w:ascii="Times New Roman" w:hAnsi="Times New Roman" w:cs="Times New Roman"/>
            </w:rPr>
            <w:tab/>
          </w:r>
          <w:r>
            <w:rPr>
              <w:rFonts w:hint="eastAsia" w:cs="Times New Roman"/>
              <w:lang w:val="en-US" w:eastAsia="zh-CN"/>
            </w:rPr>
            <w:t>5</w:t>
          </w:r>
          <w:r>
            <w:rPr>
              <w:rFonts w:hint="default" w:ascii="Times New Roman" w:hAnsi="Times New Roman" w:eastAsia="黑体" w:cs="Times New Roman"/>
              <w:szCs w:val="28"/>
            </w:rPr>
            <w:fldChar w:fldCharType="end"/>
          </w:r>
        </w:p>
        <w:p w14:paraId="62B65873">
          <w:pPr>
            <w:pStyle w:val="12"/>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_Toc4056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32"/>
              <w:lang w:val="en-US" w:eastAsia="zh-CN"/>
            </w:rPr>
            <w:t>三、</w:t>
          </w:r>
          <w:r>
            <w:rPr>
              <w:rFonts w:hint="default" w:ascii="Times New Roman" w:hAnsi="Times New Roman" w:eastAsia="黑体" w:cs="Times New Roman"/>
              <w:szCs w:val="32"/>
            </w:rPr>
            <w:t>支</w:t>
          </w:r>
          <w:r>
            <w:rPr>
              <w:rFonts w:hint="default" w:ascii="Times New Roman" w:hAnsi="Times New Roman" w:eastAsia="黑体" w:cs="Times New Roman"/>
            </w:rPr>
            <w:t>出决算情况说明</w:t>
          </w:r>
          <w:r>
            <w:rPr>
              <w:rFonts w:hint="default" w:ascii="Times New Roman" w:hAnsi="Times New Roman" w:cs="Times New Roman"/>
            </w:rPr>
            <w:tab/>
          </w:r>
          <w:r>
            <w:rPr>
              <w:rFonts w:hint="eastAsia" w:cs="Times New Roman"/>
              <w:lang w:val="en-US" w:eastAsia="zh-CN"/>
            </w:rPr>
            <w:t>6</w:t>
          </w:r>
          <w:r>
            <w:rPr>
              <w:rFonts w:hint="default" w:ascii="Times New Roman" w:hAnsi="Times New Roman" w:eastAsia="黑体" w:cs="Times New Roman"/>
              <w:szCs w:val="28"/>
            </w:rPr>
            <w:fldChar w:fldCharType="end"/>
          </w:r>
        </w:p>
        <w:p w14:paraId="4653D0E3">
          <w:pPr>
            <w:pStyle w:val="12"/>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_Toc5899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32"/>
            </w:rPr>
            <w:t>四、财</w:t>
          </w:r>
          <w:r>
            <w:rPr>
              <w:rFonts w:hint="default" w:ascii="Times New Roman" w:hAnsi="Times New Roman" w:eastAsia="黑体" w:cs="Times New Roman"/>
            </w:rPr>
            <w:t>政拨款收入支出决算总体情况说明</w:t>
          </w:r>
          <w:r>
            <w:rPr>
              <w:rFonts w:hint="default" w:ascii="Times New Roman" w:hAnsi="Times New Roman" w:cs="Times New Roman"/>
            </w:rPr>
            <w:tab/>
          </w:r>
          <w:r>
            <w:rPr>
              <w:rFonts w:hint="eastAsia" w:cs="Times New Roman"/>
              <w:lang w:val="en-US" w:eastAsia="zh-CN"/>
            </w:rPr>
            <w:t>6</w:t>
          </w:r>
          <w:r>
            <w:rPr>
              <w:rFonts w:hint="default" w:ascii="Times New Roman" w:hAnsi="Times New Roman" w:eastAsia="黑体" w:cs="Times New Roman"/>
              <w:szCs w:val="28"/>
            </w:rPr>
            <w:fldChar w:fldCharType="end"/>
          </w:r>
        </w:p>
        <w:p w14:paraId="197276B0">
          <w:pPr>
            <w:pStyle w:val="12"/>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_Toc11930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32"/>
            </w:rPr>
            <w:t>五、一</w:t>
          </w:r>
          <w:r>
            <w:rPr>
              <w:rFonts w:hint="default" w:ascii="Times New Roman" w:hAnsi="Times New Roman" w:eastAsia="黑体" w:cs="Times New Roman"/>
            </w:rPr>
            <w:t>般公共预算财政拨款支出决算情况说明</w:t>
          </w:r>
          <w:r>
            <w:rPr>
              <w:rFonts w:hint="default" w:ascii="Times New Roman" w:hAnsi="Times New Roman" w:cs="Times New Roman"/>
            </w:rPr>
            <w:tab/>
          </w:r>
          <w:r>
            <w:rPr>
              <w:rFonts w:hint="eastAsia" w:cs="Times New Roman"/>
              <w:lang w:val="en-US" w:eastAsia="zh-CN"/>
            </w:rPr>
            <w:t>7</w:t>
          </w:r>
          <w:r>
            <w:rPr>
              <w:rFonts w:hint="default" w:ascii="Times New Roman" w:hAnsi="Times New Roman" w:eastAsia="黑体" w:cs="Times New Roman"/>
              <w:szCs w:val="28"/>
            </w:rPr>
            <w:fldChar w:fldCharType="end"/>
          </w:r>
        </w:p>
        <w:p w14:paraId="1D7CE311">
          <w:pPr>
            <w:pStyle w:val="12"/>
            <w:tabs>
              <w:tab w:val="right" w:leader="dot" w:pos="8306"/>
              <w:tab w:val="clear" w:pos="8296"/>
            </w:tabs>
            <w:rPr>
              <w:rFonts w:hint="default" w:ascii="Times New Roman" w:hAnsi="Times New Roman" w:cs="Times New Roma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_Toc26857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32"/>
            </w:rPr>
            <w:t>六、一</w:t>
          </w:r>
          <w:r>
            <w:rPr>
              <w:rFonts w:hint="default" w:ascii="Times New Roman" w:hAnsi="Times New Roman" w:eastAsia="黑体" w:cs="Times New Roman"/>
            </w:rPr>
            <w:t>般公共预算财政拨款基本支出决算情况说明</w:t>
          </w:r>
          <w:r>
            <w:rPr>
              <w:rFonts w:hint="default" w:ascii="Times New Roman" w:hAnsi="Times New Roman" w:cs="Times New Roman"/>
            </w:rPr>
            <w:tab/>
          </w:r>
          <w:r>
            <w:rPr>
              <w:rFonts w:hint="eastAsia" w:cs="Times New Roman"/>
              <w:lang w:val="en-US" w:eastAsia="zh-CN"/>
            </w:rPr>
            <w:t>9</w:t>
          </w:r>
          <w:r>
            <w:rPr>
              <w:rFonts w:hint="default" w:ascii="Times New Roman" w:hAnsi="Times New Roman" w:eastAsia="黑体" w:cs="Times New Roman"/>
              <w:szCs w:val="28"/>
            </w:rPr>
            <w:fldChar w:fldCharType="end"/>
          </w:r>
        </w:p>
        <w:p w14:paraId="1AEF2280">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_Toc23997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32"/>
            </w:rPr>
            <w:t>七、</w:t>
          </w:r>
          <w:r>
            <w:rPr>
              <w:rFonts w:hint="default" w:ascii="Times New Roman" w:hAnsi="Times New Roman" w:eastAsia="黑体" w:cs="Times New Roman"/>
            </w:rPr>
            <w:t>财政拨款“三公”经费支出决算情况说明</w:t>
          </w:r>
          <w:r>
            <w:rPr>
              <w:rFonts w:hint="default" w:ascii="Times New Roman" w:hAnsi="Times New Roman" w:cs="Times New Roman"/>
            </w:rPr>
            <w:tab/>
          </w:r>
          <w:r>
            <w:rPr>
              <w:rFonts w:hint="eastAsia" w:cs="Times New Roman"/>
              <w:lang w:val="en-US" w:eastAsia="zh-CN"/>
            </w:rPr>
            <w:t>1</w:t>
          </w:r>
          <w:r>
            <w:rPr>
              <w:rFonts w:hint="default" w:ascii="Times New Roman" w:hAnsi="Times New Roman" w:eastAsia="黑体" w:cs="Times New Roman"/>
              <w:szCs w:val="28"/>
            </w:rPr>
            <w:fldChar w:fldCharType="end"/>
          </w:r>
          <w:r>
            <w:rPr>
              <w:rFonts w:hint="eastAsia" w:eastAsia="黑体" w:cs="Times New Roman"/>
              <w:szCs w:val="28"/>
              <w:lang w:val="en-US" w:eastAsia="zh-CN"/>
            </w:rPr>
            <w:t>0</w:t>
          </w:r>
        </w:p>
        <w:p w14:paraId="644A37FB">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_Toc24553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32"/>
            </w:rPr>
            <w:t>八、</w:t>
          </w:r>
          <w:r>
            <w:rPr>
              <w:rFonts w:hint="default" w:ascii="Times New Roman" w:hAnsi="Times New Roman" w:eastAsia="黑体" w:cs="Times New Roman"/>
            </w:rPr>
            <w:t>政府性基金预算支出决算情况说明</w:t>
          </w:r>
          <w:r>
            <w:rPr>
              <w:rFonts w:hint="default" w:ascii="Times New Roman" w:hAnsi="Times New Roman" w:cs="Times New Roman"/>
            </w:rPr>
            <w:tab/>
          </w:r>
          <w:r>
            <w:rPr>
              <w:rFonts w:hint="eastAsia" w:cs="Times New Roman"/>
              <w:lang w:val="en-US" w:eastAsia="zh-CN"/>
            </w:rPr>
            <w:t>1</w:t>
          </w:r>
          <w:r>
            <w:rPr>
              <w:rFonts w:hint="default" w:ascii="Times New Roman" w:hAnsi="Times New Roman" w:eastAsia="黑体" w:cs="Times New Roman"/>
              <w:szCs w:val="28"/>
            </w:rPr>
            <w:fldChar w:fldCharType="end"/>
          </w:r>
          <w:r>
            <w:rPr>
              <w:rFonts w:hint="eastAsia" w:eastAsia="黑体" w:cs="Times New Roman"/>
              <w:szCs w:val="28"/>
              <w:lang w:val="en-US" w:eastAsia="zh-CN"/>
            </w:rPr>
            <w:t>1</w:t>
          </w:r>
        </w:p>
        <w:p w14:paraId="189090DF">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_Toc5019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rPr>
            <w:t>九、 国有资本经营预算支出决算情况说明</w:t>
          </w:r>
          <w:r>
            <w:rPr>
              <w:rFonts w:hint="default" w:ascii="Times New Roman" w:hAnsi="Times New Roman" w:cs="Times New Roman"/>
            </w:rPr>
            <w:tab/>
          </w:r>
          <w:r>
            <w:rPr>
              <w:rFonts w:hint="eastAsia" w:cs="Times New Roman"/>
              <w:lang w:val="en-US" w:eastAsia="zh-CN"/>
            </w:rPr>
            <w:t>1</w:t>
          </w:r>
          <w:r>
            <w:rPr>
              <w:rFonts w:hint="default" w:ascii="Times New Roman" w:hAnsi="Times New Roman" w:eastAsia="黑体" w:cs="Times New Roman"/>
              <w:szCs w:val="28"/>
            </w:rPr>
            <w:fldChar w:fldCharType="end"/>
          </w:r>
          <w:r>
            <w:rPr>
              <w:rFonts w:hint="eastAsia" w:eastAsia="黑体" w:cs="Times New Roman"/>
              <w:szCs w:val="28"/>
              <w:lang w:val="en-US" w:eastAsia="zh-CN"/>
            </w:rPr>
            <w:t>1</w:t>
          </w:r>
        </w:p>
        <w:p w14:paraId="44CC7E9D">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_Toc30041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rPr>
            <w:t>十、 其他重要事项的情况说明</w:t>
          </w:r>
          <w:r>
            <w:rPr>
              <w:rFonts w:hint="default" w:ascii="Times New Roman" w:hAnsi="Times New Roman" w:cs="Times New Roman"/>
            </w:rPr>
            <w:tab/>
          </w:r>
          <w:r>
            <w:rPr>
              <w:rFonts w:hint="eastAsia" w:cs="Times New Roman"/>
              <w:lang w:val="en-US" w:eastAsia="zh-CN"/>
            </w:rPr>
            <w:t>1</w:t>
          </w:r>
          <w:r>
            <w:rPr>
              <w:rFonts w:hint="default" w:ascii="Times New Roman" w:hAnsi="Times New Roman" w:eastAsia="黑体" w:cs="Times New Roman"/>
              <w:szCs w:val="28"/>
            </w:rPr>
            <w:fldChar w:fldCharType="end"/>
          </w:r>
          <w:r>
            <w:rPr>
              <w:rFonts w:hint="eastAsia" w:eastAsia="黑体" w:cs="Times New Roman"/>
              <w:szCs w:val="28"/>
              <w:lang w:val="en-US" w:eastAsia="zh-CN"/>
            </w:rPr>
            <w:t>1</w:t>
          </w:r>
        </w:p>
        <w:p w14:paraId="29DDB4E0">
          <w:pPr>
            <w:pStyle w:val="11"/>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_Toc5972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44"/>
            </w:rPr>
            <w:t>第三部分 名</w:t>
          </w:r>
          <w:r>
            <w:rPr>
              <w:rFonts w:hint="default" w:ascii="Times New Roman" w:hAnsi="Times New Roman" w:eastAsia="黑体" w:cs="Times New Roman"/>
            </w:rPr>
            <w:t>词解释</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eastAsia="黑体" w:cs="Times New Roman"/>
              <w:szCs w:val="28"/>
            </w:rPr>
            <w:fldChar w:fldCharType="end"/>
          </w:r>
          <w:r>
            <w:rPr>
              <w:rFonts w:hint="eastAsia" w:ascii="Times New Roman" w:hAnsi="Times New Roman" w:eastAsia="黑体" w:cs="Times New Roman"/>
              <w:szCs w:val="28"/>
              <w:lang w:val="en-US" w:eastAsia="zh-CN"/>
            </w:rPr>
            <w:t>3</w:t>
          </w:r>
        </w:p>
        <w:p w14:paraId="7F812814">
          <w:pPr>
            <w:pStyle w:val="11"/>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_Toc25267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44"/>
            </w:rPr>
            <w:t>第</w:t>
          </w:r>
          <w:r>
            <w:rPr>
              <w:rFonts w:hint="default" w:ascii="Times New Roman" w:hAnsi="Times New Roman" w:eastAsia="黑体" w:cs="Times New Roman"/>
            </w:rPr>
            <w:t>四部分 附件</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eastAsia="黑体" w:cs="Times New Roman"/>
              <w:szCs w:val="28"/>
            </w:rPr>
            <w:fldChar w:fldCharType="end"/>
          </w:r>
          <w:r>
            <w:rPr>
              <w:rFonts w:hint="eastAsia" w:ascii="Times New Roman" w:hAnsi="Times New Roman" w:eastAsia="黑体" w:cs="Times New Roman"/>
              <w:szCs w:val="28"/>
              <w:lang w:val="en-US" w:eastAsia="zh-CN"/>
            </w:rPr>
            <w:t>6</w:t>
          </w:r>
        </w:p>
        <w:p w14:paraId="50BDA4B1">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_Toc6097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rPr>
            <w:t>部门预算项目支出绩效自评表（2023年度）</w:t>
          </w:r>
          <w:r>
            <w:rPr>
              <w:rFonts w:hint="default" w:ascii="Times New Roman" w:hAnsi="Times New Roman" w:cs="Times New Roman"/>
            </w:rPr>
            <w:tab/>
          </w:r>
          <w:r>
            <w:rPr>
              <w:rFonts w:hint="eastAsia" w:cs="Times New Roman"/>
              <w:lang w:val="en-US" w:eastAsia="zh-CN"/>
            </w:rPr>
            <w:t>1</w:t>
          </w:r>
          <w:r>
            <w:rPr>
              <w:rFonts w:hint="default" w:ascii="Times New Roman" w:hAnsi="Times New Roman" w:eastAsia="黑体" w:cs="Times New Roman"/>
              <w:szCs w:val="28"/>
            </w:rPr>
            <w:fldChar w:fldCharType="end"/>
          </w:r>
          <w:r>
            <w:rPr>
              <w:rFonts w:hint="eastAsia" w:eastAsia="黑体" w:cs="Times New Roman"/>
              <w:szCs w:val="28"/>
              <w:lang w:val="en-US" w:eastAsia="zh-CN"/>
            </w:rPr>
            <w:t>6</w:t>
          </w:r>
        </w:p>
        <w:p w14:paraId="040D86EA">
          <w:pPr>
            <w:pStyle w:val="11"/>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szCs w:val="28"/>
            </w:rPr>
            <w:fldChar w:fldCharType="begin"/>
          </w:r>
          <w:r>
            <w:rPr>
              <w:rFonts w:hint="default" w:ascii="Times New Roman" w:hAnsi="Times New Roman" w:eastAsia="黑体" w:cs="Times New Roman"/>
              <w:szCs w:val="28"/>
            </w:rPr>
            <w:instrText xml:space="preserve"> HYPERLINK \l _Toc28976 </w:instrText>
          </w:r>
          <w:r>
            <w:rPr>
              <w:rFonts w:hint="default" w:ascii="Times New Roman" w:hAnsi="Times New Roman" w:eastAsia="黑体" w:cs="Times New Roman"/>
              <w:szCs w:val="28"/>
            </w:rPr>
            <w:fldChar w:fldCharType="separate"/>
          </w:r>
          <w:r>
            <w:rPr>
              <w:rFonts w:hint="default" w:ascii="Times New Roman" w:hAnsi="Times New Roman" w:eastAsia="黑体" w:cs="Times New Roman"/>
              <w:szCs w:val="44"/>
            </w:rPr>
            <w:t>第</w:t>
          </w:r>
          <w:r>
            <w:rPr>
              <w:rFonts w:hint="default" w:ascii="Times New Roman" w:hAnsi="Times New Roman" w:eastAsia="黑体" w:cs="Times New Roman"/>
            </w:rPr>
            <w:t>五部分 附表</w:t>
          </w:r>
          <w:r>
            <w:rPr>
              <w:rFonts w:hint="default" w:ascii="Times New Roman" w:hAnsi="Times New Roman" w:cs="Times New Roman"/>
            </w:rPr>
            <w:tab/>
          </w:r>
          <w:r>
            <w:rPr>
              <w:rFonts w:hint="eastAsia" w:ascii="Times New Roman" w:hAnsi="Times New Roman" w:cs="Times New Roman"/>
              <w:lang w:val="en-US" w:eastAsia="zh-CN"/>
            </w:rPr>
            <w:t>2</w:t>
          </w:r>
          <w:r>
            <w:rPr>
              <w:rFonts w:hint="default" w:ascii="Times New Roman" w:hAnsi="Times New Roman" w:eastAsia="黑体" w:cs="Times New Roman"/>
              <w:szCs w:val="28"/>
            </w:rPr>
            <w:fldChar w:fldCharType="end"/>
          </w:r>
          <w:r>
            <w:rPr>
              <w:rFonts w:hint="eastAsia" w:ascii="Times New Roman" w:hAnsi="Times New Roman" w:eastAsia="黑体" w:cs="Times New Roman"/>
              <w:szCs w:val="28"/>
              <w:lang w:val="en-US" w:eastAsia="zh-CN"/>
            </w:rPr>
            <w:t>0</w:t>
          </w:r>
        </w:p>
        <w:p w14:paraId="5EE43C23">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_Toc32663 </w:instrText>
          </w:r>
          <w:r>
            <w:rPr>
              <w:rFonts w:hint="default" w:ascii="Times New Roman" w:hAnsi="Times New Roman" w:eastAsia="黑体" w:cs="Times New Roman"/>
            </w:rPr>
            <w:fldChar w:fldCharType="separate"/>
          </w:r>
          <w:r>
            <w:rPr>
              <w:rFonts w:hint="default" w:ascii="Times New Roman" w:hAnsi="Times New Roman" w:eastAsia="黑体" w:cs="Times New Roman"/>
              <w:lang w:val="en-US" w:eastAsia="zh-CN"/>
            </w:rPr>
            <w:t>一、收</w:t>
          </w:r>
          <w:r>
            <w:rPr>
              <w:rFonts w:hint="default" w:ascii="Times New Roman" w:hAnsi="Times New Roman" w:eastAsia="黑体" w:cs="Times New Roman"/>
            </w:rPr>
            <w:t>入支出决算总表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104330E2">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_Toc14024 </w:instrText>
          </w:r>
          <w:r>
            <w:rPr>
              <w:rFonts w:hint="default" w:ascii="Times New Roman" w:hAnsi="Times New Roman" w:eastAsia="黑体" w:cs="Times New Roman"/>
            </w:rPr>
            <w:fldChar w:fldCharType="separate"/>
          </w:r>
          <w:r>
            <w:rPr>
              <w:rFonts w:hint="default" w:ascii="Times New Roman" w:hAnsi="Times New Roman" w:eastAsia="黑体" w:cs="Times New Roman"/>
            </w:rPr>
            <w:t>二、收入决算表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4206530A">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_Toc5176 </w:instrText>
          </w:r>
          <w:r>
            <w:rPr>
              <w:rFonts w:hint="default" w:ascii="Times New Roman" w:hAnsi="Times New Roman" w:eastAsia="黑体" w:cs="Times New Roman"/>
            </w:rPr>
            <w:fldChar w:fldCharType="separate"/>
          </w:r>
          <w:r>
            <w:rPr>
              <w:rFonts w:hint="default" w:ascii="Times New Roman" w:hAnsi="Times New Roman" w:eastAsia="黑体" w:cs="Times New Roman"/>
              <w:lang w:val="en-US" w:eastAsia="zh-CN"/>
            </w:rPr>
            <w:t>三、支</w:t>
          </w:r>
          <w:r>
            <w:rPr>
              <w:rFonts w:hint="default" w:ascii="Times New Roman" w:hAnsi="Times New Roman" w:eastAsia="黑体" w:cs="Times New Roman"/>
            </w:rPr>
            <w:t>出决算表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0FBA9CD7">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_Toc13393 </w:instrText>
          </w:r>
          <w:r>
            <w:rPr>
              <w:rFonts w:hint="default" w:ascii="Times New Roman" w:hAnsi="Times New Roman" w:eastAsia="黑体" w:cs="Times New Roman"/>
            </w:rPr>
            <w:fldChar w:fldCharType="separate"/>
          </w:r>
          <w:r>
            <w:rPr>
              <w:rFonts w:hint="default" w:ascii="Times New Roman" w:hAnsi="Times New Roman" w:eastAsia="黑体" w:cs="Times New Roman"/>
            </w:rPr>
            <w:t>四、财政拨款收入支出决算总表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43A03680">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_Toc9846 </w:instrText>
          </w:r>
          <w:r>
            <w:rPr>
              <w:rFonts w:hint="default" w:ascii="Times New Roman" w:hAnsi="Times New Roman" w:eastAsia="黑体" w:cs="Times New Roman"/>
            </w:rPr>
            <w:fldChar w:fldCharType="separate"/>
          </w:r>
          <w:r>
            <w:rPr>
              <w:rFonts w:hint="default" w:ascii="Times New Roman" w:hAnsi="Times New Roman" w:eastAsia="黑体" w:cs="Times New Roman"/>
            </w:rPr>
            <w:t>五、财政拨款支出决算明细表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3C1F4AC2">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_Toc9643 </w:instrText>
          </w:r>
          <w:r>
            <w:rPr>
              <w:rFonts w:hint="default" w:ascii="Times New Roman" w:hAnsi="Times New Roman" w:eastAsia="黑体" w:cs="Times New Roman"/>
            </w:rPr>
            <w:fldChar w:fldCharType="separate"/>
          </w:r>
          <w:r>
            <w:rPr>
              <w:rFonts w:hint="default" w:ascii="Times New Roman" w:hAnsi="Times New Roman" w:eastAsia="黑体" w:cs="Times New Roman"/>
            </w:rPr>
            <w:t>六、一般公共预算财政拨款支出决算表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7DB76E71">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_Toc78 </w:instrText>
          </w:r>
          <w:r>
            <w:rPr>
              <w:rFonts w:hint="default" w:ascii="Times New Roman" w:hAnsi="Times New Roman" w:eastAsia="黑体" w:cs="Times New Roman"/>
            </w:rPr>
            <w:fldChar w:fldCharType="separate"/>
          </w:r>
          <w:r>
            <w:rPr>
              <w:rFonts w:hint="default" w:ascii="Times New Roman" w:hAnsi="Times New Roman" w:eastAsia="黑体" w:cs="Times New Roman"/>
            </w:rPr>
            <w:t>八、一般公共预算财政拨款基本支出决算表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769705BF">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_Toc7182 </w:instrText>
          </w:r>
          <w:r>
            <w:rPr>
              <w:rFonts w:hint="default" w:ascii="Times New Roman" w:hAnsi="Times New Roman" w:eastAsia="黑体" w:cs="Times New Roman"/>
            </w:rPr>
            <w:fldChar w:fldCharType="separate"/>
          </w:r>
          <w:r>
            <w:rPr>
              <w:rFonts w:hint="default" w:ascii="Times New Roman" w:hAnsi="Times New Roman" w:eastAsia="黑体" w:cs="Times New Roman"/>
            </w:rPr>
            <w:t>九、一般公共预算财政拨款项目支出决算表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62989DC3">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_Toc26756 </w:instrText>
          </w:r>
          <w:r>
            <w:rPr>
              <w:rFonts w:hint="default" w:ascii="Times New Roman" w:hAnsi="Times New Roman" w:eastAsia="黑体" w:cs="Times New Roman"/>
            </w:rPr>
            <w:fldChar w:fldCharType="separate"/>
          </w:r>
          <w:r>
            <w:rPr>
              <w:rFonts w:hint="default" w:ascii="Times New Roman" w:hAnsi="Times New Roman" w:eastAsia="黑体" w:cs="Times New Roman"/>
            </w:rPr>
            <w:t>十、政府性基金预算财政拨款收入支出决算表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61C3590C">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_Toc31729 </w:instrText>
          </w:r>
          <w:r>
            <w:rPr>
              <w:rFonts w:hint="default" w:ascii="Times New Roman" w:hAnsi="Times New Roman" w:eastAsia="黑体" w:cs="Times New Roman"/>
            </w:rPr>
            <w:fldChar w:fldCharType="separate"/>
          </w:r>
          <w:r>
            <w:rPr>
              <w:rFonts w:hint="default" w:ascii="Times New Roman" w:hAnsi="Times New Roman" w:eastAsia="黑体" w:cs="Times New Roman"/>
            </w:rPr>
            <w:t>十一、国有资本经营预算财政拨款收入支出决算表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52C9A9E9">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_Toc3946 </w:instrText>
          </w:r>
          <w:r>
            <w:rPr>
              <w:rFonts w:hint="default" w:ascii="Times New Roman" w:hAnsi="Times New Roman" w:eastAsia="黑体" w:cs="Times New Roman"/>
            </w:rPr>
            <w:fldChar w:fldCharType="separate"/>
          </w:r>
          <w:r>
            <w:rPr>
              <w:rFonts w:hint="default" w:ascii="Times New Roman" w:hAnsi="Times New Roman" w:eastAsia="黑体" w:cs="Times New Roman"/>
            </w:rPr>
            <w:t>十二、国有资本经营预算财政拨款支出决算表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2F2ED10C">
          <w:pPr>
            <w:pStyle w:val="12"/>
            <w:tabs>
              <w:tab w:val="right" w:leader="dot" w:pos="8306"/>
              <w:tab w:val="clear" w:pos="8296"/>
            </w:tabs>
            <w:rPr>
              <w:rFonts w:hint="eastAsia" w:ascii="Times New Roman" w:hAnsi="Times New Roman" w:eastAsia="黑体" w:cs="Times New Roman"/>
              <w:lang w:val="en-US" w:eastAsia="zh-CN"/>
            </w:rPr>
          </w:pPr>
          <w:r>
            <w:rPr>
              <w:rFonts w:hint="default" w:ascii="Times New Roman" w:hAnsi="Times New Roman" w:eastAsia="黑体" w:cs="Times New Roman"/>
            </w:rPr>
            <w:fldChar w:fldCharType="begin"/>
          </w:r>
          <w:r>
            <w:rPr>
              <w:rFonts w:hint="default" w:ascii="Times New Roman" w:hAnsi="Times New Roman" w:eastAsia="黑体" w:cs="Times New Roman"/>
            </w:rPr>
            <w:instrText xml:space="preserve"> HYPERLINK \l _Toc818 </w:instrText>
          </w:r>
          <w:r>
            <w:rPr>
              <w:rFonts w:hint="default" w:ascii="Times New Roman" w:hAnsi="Times New Roman" w:eastAsia="黑体" w:cs="Times New Roman"/>
            </w:rPr>
            <w:fldChar w:fldCharType="separate"/>
          </w:r>
          <w:r>
            <w:rPr>
              <w:rFonts w:hint="default" w:ascii="Times New Roman" w:hAnsi="Times New Roman" w:eastAsia="黑体" w:cs="Times New Roman"/>
            </w:rPr>
            <w:t>十三、财政拨款“三公”经费支出决算表</w:t>
          </w:r>
          <w:r>
            <w:rPr>
              <w:rFonts w:hint="default" w:ascii="Times New Roman" w:hAnsi="Times New Roman" w:eastAsia="黑体" w:cs="Times New Roman"/>
            </w:rPr>
            <w:tab/>
          </w:r>
          <w:r>
            <w:rPr>
              <w:rFonts w:hint="eastAsia" w:eastAsia="黑体" w:cs="Times New Roman"/>
              <w:lang w:val="en-US" w:eastAsia="zh-CN"/>
            </w:rPr>
            <w:t>2</w:t>
          </w:r>
          <w:r>
            <w:rPr>
              <w:rFonts w:hint="default" w:ascii="Times New Roman" w:hAnsi="Times New Roman" w:eastAsia="黑体" w:cs="Times New Roman"/>
            </w:rPr>
            <w:fldChar w:fldCharType="end"/>
          </w:r>
          <w:r>
            <w:rPr>
              <w:rFonts w:hint="eastAsia" w:eastAsia="黑体" w:cs="Times New Roman"/>
              <w:lang w:val="en-US" w:eastAsia="zh-CN"/>
            </w:rPr>
            <w:t>0</w:t>
          </w:r>
        </w:p>
        <w:p w14:paraId="7099E39D">
          <w:pPr>
            <w:widowControl/>
            <w:jc w:val="center"/>
            <w:rPr>
              <w:rFonts w:hint="default" w:ascii="Times New Roman" w:hAnsi="Times New Roman" w:eastAsia="黑体" w:cs="Times New Roman"/>
              <w:b/>
              <w:kern w:val="2"/>
              <w:sz w:val="21"/>
              <w:szCs w:val="28"/>
              <w:lang w:val="en-US" w:eastAsia="zh-CN" w:bidi="ar-SA"/>
            </w:rPr>
          </w:pPr>
          <w:r>
            <w:rPr>
              <w:rFonts w:hint="default" w:ascii="Times New Roman" w:hAnsi="Times New Roman" w:eastAsia="黑体" w:cs="Times New Roman"/>
              <w:szCs w:val="28"/>
            </w:rPr>
            <w:fldChar w:fldCharType="end"/>
          </w:r>
        </w:p>
      </w:sdtContent>
    </w:sdt>
    <w:p w14:paraId="730C6EC9">
      <w:pPr>
        <w:widowControl/>
        <w:jc w:val="center"/>
        <w:rPr>
          <w:rFonts w:ascii="黑体" w:hAnsi="黑体" w:eastAsia="黑体" w:cstheme="minorBidi"/>
          <w:b/>
          <w:kern w:val="2"/>
          <w:sz w:val="21"/>
          <w:szCs w:val="28"/>
          <w:lang w:val="en-US" w:eastAsia="zh-CN" w:bidi="ar-SA"/>
        </w:rPr>
      </w:pPr>
    </w:p>
    <w:p w14:paraId="28921BC9"/>
    <w:p w14:paraId="458FFFF5">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14:paraId="49A3E675">
      <w:pPr>
        <w:pStyle w:val="2"/>
        <w:keepNext/>
        <w:keepLines/>
        <w:pageBreakBefore w:val="0"/>
        <w:widowControl w:val="0"/>
        <w:kinsoku/>
        <w:wordWrap/>
        <w:overflowPunct/>
        <w:topLinePunct w:val="0"/>
        <w:autoSpaceDE/>
        <w:autoSpaceDN/>
        <w:bidi w:val="0"/>
        <w:adjustRightInd/>
        <w:snapToGrid/>
        <w:spacing w:line="579" w:lineRule="auto"/>
        <w:jc w:val="center"/>
        <w:textAlignment w:val="auto"/>
        <w:rPr>
          <w:rStyle w:val="28"/>
          <w:rFonts w:ascii="黑体" w:hAnsi="黑体" w:eastAsia="黑体"/>
          <w:b/>
          <w:bCs w:val="0"/>
        </w:rPr>
      </w:pPr>
      <w:bookmarkStart w:id="14" w:name="_Toc20140"/>
      <w:r>
        <w:rPr>
          <w:rFonts w:hint="eastAsia" w:ascii="黑体" w:hAnsi="黑体" w:eastAsia="黑体"/>
          <w:b w:val="0"/>
        </w:rPr>
        <w:t>第一部分 单位</w:t>
      </w:r>
      <w:r>
        <w:rPr>
          <w:rStyle w:val="28"/>
          <w:rFonts w:hint="eastAsia" w:ascii="黑体" w:hAnsi="黑体" w:eastAsia="黑体"/>
          <w:b w:val="0"/>
          <w:bCs w:val="0"/>
        </w:rPr>
        <w:t>概况</w:t>
      </w:r>
      <w:bookmarkEnd w:id="12"/>
      <w:bookmarkEnd w:id="13"/>
      <w:bookmarkEnd w:id="14"/>
    </w:p>
    <w:p w14:paraId="261D1EC5">
      <w:pPr>
        <w:pStyle w:val="3"/>
        <w:keepNext/>
        <w:keepLines/>
        <w:pageBreakBefore w:val="0"/>
        <w:widowControl w:val="0"/>
        <w:numPr>
          <w:ilvl w:val="0"/>
          <w:numId w:val="0"/>
        </w:numPr>
        <w:kinsoku/>
        <w:wordWrap/>
        <w:overflowPunct/>
        <w:topLinePunct w:val="0"/>
        <w:autoSpaceDE/>
        <w:autoSpaceDN/>
        <w:bidi w:val="0"/>
        <w:adjustRightInd/>
        <w:snapToGrid/>
        <w:spacing w:line="416" w:lineRule="auto"/>
        <w:ind w:firstLine="640" w:firstLineChars="200"/>
        <w:textAlignment w:val="auto"/>
        <w:rPr>
          <w:rStyle w:val="29"/>
          <w:rFonts w:ascii="黑体" w:hAnsi="黑体" w:eastAsia="黑体"/>
          <w:b w:val="0"/>
          <w:bCs w:val="0"/>
        </w:rPr>
      </w:pPr>
      <w:bookmarkStart w:id="15" w:name="_Toc29351"/>
      <w:bookmarkStart w:id="16" w:name="_Toc15377197"/>
      <w:bookmarkStart w:id="17" w:name="_Toc15396600"/>
      <w:r>
        <w:rPr>
          <w:rStyle w:val="29"/>
          <w:rFonts w:hint="eastAsia" w:ascii="黑体" w:hAnsi="黑体" w:eastAsia="黑体"/>
          <w:b w:val="0"/>
          <w:bCs w:val="0"/>
          <w:lang w:val="en-US" w:eastAsia="zh-CN"/>
        </w:rPr>
        <w:t>一、</w:t>
      </w:r>
      <w:r>
        <w:rPr>
          <w:rStyle w:val="29"/>
          <w:rFonts w:hint="eastAsia" w:ascii="黑体" w:hAnsi="黑体" w:eastAsia="黑体"/>
          <w:b w:val="0"/>
          <w:bCs w:val="0"/>
        </w:rPr>
        <w:t>主要职责</w:t>
      </w:r>
      <w:bookmarkEnd w:id="15"/>
    </w:p>
    <w:p w14:paraId="2C4D8155">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1</w:t>
      </w:r>
      <w:r>
        <w:rPr>
          <w:rFonts w:hint="eastAsia" w:ascii="宋体" w:hAnsi="宋体" w:cs="宋体"/>
          <w:sz w:val="30"/>
          <w:szCs w:val="30"/>
          <w:lang w:val="en-US" w:eastAsia="zh-CN"/>
        </w:rPr>
        <w:t>.</w:t>
      </w:r>
      <w:r>
        <w:rPr>
          <w:rFonts w:hint="eastAsia" w:ascii="宋体" w:hAnsi="宋体" w:eastAsia="宋体" w:cs="宋体"/>
          <w:sz w:val="30"/>
          <w:szCs w:val="30"/>
        </w:rPr>
        <w:t>宣传贯彻执行党和国家的教育方针、政策、法律法规等，坚持依法治教、依法治学，贯彻执行县教育局的行政规章制度。</w:t>
      </w:r>
    </w:p>
    <w:p w14:paraId="26A4DAE3">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2</w:t>
      </w:r>
      <w:r>
        <w:rPr>
          <w:rFonts w:hint="eastAsia" w:ascii="宋体" w:hAnsi="宋体" w:cs="宋体"/>
          <w:sz w:val="30"/>
          <w:szCs w:val="30"/>
          <w:lang w:val="en-US" w:eastAsia="zh-CN"/>
        </w:rPr>
        <w:t>.</w:t>
      </w:r>
      <w:r>
        <w:rPr>
          <w:rFonts w:hint="eastAsia" w:ascii="宋体" w:hAnsi="宋体" w:eastAsia="宋体" w:cs="宋体"/>
          <w:sz w:val="30"/>
          <w:szCs w:val="30"/>
        </w:rPr>
        <w:t>配合县、镇人民政府制定符合党的教育方针和国家教育法律法规以及本校实际的教育发展规划和学校布局调整规划，并抓好组织实施和落实工作。</w:t>
      </w:r>
    </w:p>
    <w:p w14:paraId="2A74F71C">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3</w:t>
      </w:r>
      <w:r>
        <w:rPr>
          <w:rFonts w:hint="eastAsia" w:ascii="宋体" w:hAnsi="宋体" w:cs="宋体"/>
          <w:sz w:val="30"/>
          <w:szCs w:val="30"/>
          <w:lang w:val="en-US" w:eastAsia="zh-CN"/>
        </w:rPr>
        <w:t>.</w:t>
      </w:r>
      <w:r>
        <w:rPr>
          <w:rFonts w:hint="eastAsia" w:ascii="宋体" w:hAnsi="宋体" w:eastAsia="宋体" w:cs="宋体"/>
          <w:sz w:val="30"/>
          <w:szCs w:val="30"/>
        </w:rPr>
        <w:t>严格控辍</w:t>
      </w:r>
      <w:r>
        <w:rPr>
          <w:rFonts w:hint="eastAsia" w:ascii="宋体" w:hAnsi="宋体" w:cs="宋体"/>
          <w:sz w:val="30"/>
          <w:szCs w:val="30"/>
          <w:lang w:val="en-US" w:eastAsia="zh-CN"/>
        </w:rPr>
        <w:t>保</w:t>
      </w:r>
      <w:r>
        <w:rPr>
          <w:rFonts w:hint="eastAsia" w:ascii="宋体" w:hAnsi="宋体" w:eastAsia="宋体" w:cs="宋体"/>
          <w:sz w:val="30"/>
          <w:szCs w:val="30"/>
        </w:rPr>
        <w:t>学</w:t>
      </w:r>
      <w:r>
        <w:rPr>
          <w:rFonts w:hint="eastAsia" w:ascii="宋体" w:hAnsi="宋体" w:cs="宋体"/>
          <w:sz w:val="30"/>
          <w:szCs w:val="30"/>
          <w:lang w:eastAsia="zh-CN"/>
        </w:rPr>
        <w:t>，</w:t>
      </w:r>
      <w:r>
        <w:rPr>
          <w:rFonts w:hint="eastAsia" w:ascii="宋体" w:hAnsi="宋体" w:eastAsia="宋体" w:cs="宋体"/>
          <w:sz w:val="30"/>
          <w:szCs w:val="30"/>
        </w:rPr>
        <w:t>推进</w:t>
      </w:r>
      <w:r>
        <w:rPr>
          <w:rFonts w:hint="eastAsia" w:ascii="宋体" w:hAnsi="宋体" w:cs="宋体"/>
          <w:sz w:val="30"/>
          <w:szCs w:val="30"/>
          <w:lang w:val="en-US" w:eastAsia="zh-CN"/>
        </w:rPr>
        <w:t>普及</w:t>
      </w:r>
      <w:r>
        <w:rPr>
          <w:rFonts w:hint="eastAsia" w:ascii="宋体" w:hAnsi="宋体" w:eastAsia="宋体" w:cs="宋体"/>
          <w:sz w:val="30"/>
          <w:szCs w:val="30"/>
        </w:rPr>
        <w:t>义务</w:t>
      </w:r>
      <w:r>
        <w:rPr>
          <w:rFonts w:hint="eastAsia" w:ascii="宋体" w:hAnsi="宋体" w:cs="宋体"/>
          <w:sz w:val="30"/>
          <w:szCs w:val="30"/>
          <w:lang w:val="en-US" w:eastAsia="zh-CN"/>
        </w:rPr>
        <w:t>教育</w:t>
      </w:r>
      <w:r>
        <w:rPr>
          <w:rFonts w:hint="eastAsia" w:ascii="宋体" w:hAnsi="宋体" w:eastAsia="宋体" w:cs="宋体"/>
          <w:sz w:val="30"/>
          <w:szCs w:val="30"/>
        </w:rPr>
        <w:t>。</w:t>
      </w:r>
    </w:p>
    <w:p w14:paraId="6D1BA01A">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4</w:t>
      </w:r>
      <w:r>
        <w:rPr>
          <w:rFonts w:hint="eastAsia" w:ascii="宋体" w:hAnsi="宋体" w:cs="宋体"/>
          <w:sz w:val="30"/>
          <w:szCs w:val="30"/>
          <w:lang w:val="en-US" w:eastAsia="zh-CN"/>
        </w:rPr>
        <w:t>.</w:t>
      </w:r>
      <w:r>
        <w:rPr>
          <w:rFonts w:hint="eastAsia" w:ascii="宋体" w:hAnsi="宋体" w:eastAsia="宋体" w:cs="宋体"/>
          <w:sz w:val="30"/>
          <w:szCs w:val="30"/>
        </w:rPr>
        <w:t>组织开展本校的教育教学科研和教育教学改革，科研兴教，科研兴校。负责对本校教育教学业务的具体管理，负责教育教学管理及教研教改工作，全力推进素质教育实施。</w:t>
      </w:r>
    </w:p>
    <w:p w14:paraId="1B067F7A">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5</w:t>
      </w:r>
      <w:r>
        <w:rPr>
          <w:rFonts w:hint="eastAsia" w:ascii="宋体" w:hAnsi="宋体" w:cs="宋体"/>
          <w:sz w:val="30"/>
          <w:szCs w:val="30"/>
          <w:lang w:val="en-US" w:eastAsia="zh-CN"/>
        </w:rPr>
        <w:t>.</w:t>
      </w:r>
      <w:r>
        <w:rPr>
          <w:rFonts w:hint="eastAsia" w:ascii="宋体" w:hAnsi="宋体" w:eastAsia="宋体" w:cs="宋体"/>
          <w:sz w:val="30"/>
          <w:szCs w:val="30"/>
        </w:rPr>
        <w:t>按照干部和教师的职</w:t>
      </w:r>
      <w:r>
        <w:rPr>
          <w:rFonts w:hint="eastAsia" w:ascii="宋体" w:hAnsi="宋体" w:cs="宋体"/>
          <w:sz w:val="30"/>
          <w:szCs w:val="30"/>
          <w:lang w:val="en-US" w:eastAsia="zh-CN"/>
        </w:rPr>
        <w:t>工</w:t>
      </w:r>
      <w:r>
        <w:rPr>
          <w:rFonts w:hint="eastAsia" w:ascii="宋体" w:hAnsi="宋体" w:eastAsia="宋体" w:cs="宋体"/>
          <w:sz w:val="30"/>
          <w:szCs w:val="30"/>
        </w:rPr>
        <w:t>数、编制和管理权限，负责本校教师人事管理、继续教育、考核考评等工作。</w:t>
      </w:r>
    </w:p>
    <w:p w14:paraId="71B263E6">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6</w:t>
      </w:r>
      <w:r>
        <w:rPr>
          <w:rFonts w:hint="eastAsia" w:ascii="宋体" w:hAnsi="宋体" w:cs="宋体"/>
          <w:sz w:val="30"/>
          <w:szCs w:val="30"/>
          <w:lang w:val="en-US" w:eastAsia="zh-CN"/>
        </w:rPr>
        <w:t>.</w:t>
      </w:r>
      <w:r>
        <w:rPr>
          <w:rFonts w:hint="eastAsia" w:ascii="宋体" w:hAnsi="宋体" w:eastAsia="宋体" w:cs="宋体"/>
          <w:sz w:val="30"/>
          <w:szCs w:val="30"/>
        </w:rPr>
        <w:t>负责本校财务和基建管理，筹措资金，改善办学条件等工作。</w:t>
      </w:r>
    </w:p>
    <w:p w14:paraId="25DA70F6">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7</w:t>
      </w:r>
      <w:r>
        <w:rPr>
          <w:rFonts w:hint="eastAsia" w:ascii="宋体" w:hAnsi="宋体" w:cs="宋体"/>
          <w:sz w:val="30"/>
          <w:szCs w:val="30"/>
          <w:lang w:val="en-US" w:eastAsia="zh-CN"/>
        </w:rPr>
        <w:t>.</w:t>
      </w:r>
      <w:r>
        <w:rPr>
          <w:rFonts w:hint="eastAsia" w:ascii="宋体" w:hAnsi="宋体" w:eastAsia="宋体" w:cs="宋体"/>
          <w:sz w:val="30"/>
          <w:szCs w:val="30"/>
        </w:rPr>
        <w:t>指导、管理、检查、评价本校的教育教学工作，提高办学质量和办学效益。按照义务教育课程计划，开齐课程，开足课时，认真实施中小学的教育教学管理，全面推进素质教育，全面提高教育教</w:t>
      </w:r>
      <w:r>
        <w:rPr>
          <w:rFonts w:hint="eastAsia" w:ascii="宋体" w:hAnsi="宋体" w:cs="宋体"/>
          <w:sz w:val="30"/>
          <w:szCs w:val="30"/>
          <w:lang w:val="en-US" w:eastAsia="zh-CN"/>
        </w:rPr>
        <w:t>学</w:t>
      </w:r>
      <w:r>
        <w:rPr>
          <w:rFonts w:hint="eastAsia" w:ascii="宋体" w:hAnsi="宋体" w:eastAsia="宋体" w:cs="宋体"/>
          <w:sz w:val="30"/>
          <w:szCs w:val="30"/>
        </w:rPr>
        <w:t>质量。</w:t>
      </w:r>
    </w:p>
    <w:p w14:paraId="4744C3ED">
      <w:pPr>
        <w:snapToGrid w:val="0"/>
        <w:spacing w:line="520" w:lineRule="exact"/>
        <w:ind w:firstLine="560" w:firstLineChars="200"/>
        <w:rPr>
          <w:rFonts w:ascii="宋体" w:hAnsi="宋体"/>
          <w:color w:val="000000"/>
          <w:sz w:val="28"/>
          <w:szCs w:val="28"/>
        </w:rPr>
      </w:pPr>
      <w:r>
        <w:rPr>
          <w:rFonts w:hint="eastAsia" w:ascii="宋体" w:hAnsi="宋体"/>
          <w:color w:val="000000"/>
          <w:sz w:val="28"/>
          <w:szCs w:val="28"/>
          <w:lang w:val="en-US" w:eastAsia="zh-CN"/>
        </w:rPr>
        <w:t>8.</w:t>
      </w:r>
      <w:r>
        <w:rPr>
          <w:rFonts w:hint="eastAsia" w:ascii="宋体" w:hAnsi="宋体"/>
          <w:color w:val="000000"/>
          <w:sz w:val="28"/>
          <w:szCs w:val="28"/>
        </w:rPr>
        <w:t>加强住校生的管理工作；加强总务工作，充分发挥服务保障功能，严肃财经纪律；加强伙食团管理，保证质量，降低成本，搞好卫生和价格监控，努力提高服务质量和水平；加强水电管理，做到节约用水用电。加强校产管理，建立固定资产登记制度；加强采购管理，定点采购，按规定程序，规范进行。充分发挥党、团、工、妇等组织的作用，促进学校发展。　</w:t>
      </w:r>
    </w:p>
    <w:p w14:paraId="426A483A">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黑体" w:hAnsi="黑体" w:eastAsia="黑体"/>
          <w:b w:val="0"/>
        </w:rPr>
      </w:pPr>
      <w:bookmarkStart w:id="18" w:name="_Toc3111"/>
      <w:r>
        <w:rPr>
          <w:rFonts w:hint="eastAsia" w:ascii="黑体" w:hAnsi="黑体" w:eastAsia="黑体"/>
          <w:b w:val="0"/>
        </w:rPr>
        <w:t>二、机构设置</w:t>
      </w:r>
      <w:bookmarkEnd w:id="18"/>
    </w:p>
    <w:bookmarkEnd w:id="16"/>
    <w:bookmarkEnd w:id="17"/>
    <w:p w14:paraId="3C58ADE8">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四川省峨边民族中学属教育局下属二级单位1个</w:t>
      </w:r>
      <w:r>
        <w:rPr>
          <w:rFonts w:hint="eastAsia" w:ascii="宋体" w:hAnsi="宋体" w:cs="宋体"/>
          <w:sz w:val="30"/>
          <w:szCs w:val="30"/>
          <w:lang w:eastAsia="zh-CN"/>
        </w:rPr>
        <w:t>，</w:t>
      </w:r>
      <w:r>
        <w:rPr>
          <w:rFonts w:hint="eastAsia" w:ascii="宋体" w:hAnsi="宋体" w:eastAsia="宋体" w:cs="宋体"/>
          <w:sz w:val="30"/>
          <w:szCs w:val="30"/>
        </w:rPr>
        <w:t>下设</w:t>
      </w:r>
      <w:r>
        <w:rPr>
          <w:rFonts w:hint="eastAsia" w:ascii="宋体" w:hAnsi="宋体" w:cs="宋体"/>
          <w:sz w:val="30"/>
          <w:szCs w:val="30"/>
          <w:lang w:eastAsia="zh-CN"/>
        </w:rPr>
        <w:t>：</w:t>
      </w:r>
      <w:r>
        <w:rPr>
          <w:rFonts w:hint="eastAsia" w:ascii="宋体" w:hAnsi="宋体" w:eastAsia="宋体" w:cs="宋体"/>
          <w:sz w:val="30"/>
          <w:szCs w:val="30"/>
        </w:rPr>
        <w:t>办公室</w:t>
      </w:r>
      <w:r>
        <w:rPr>
          <w:rFonts w:hint="eastAsia" w:ascii="宋体" w:hAnsi="宋体" w:eastAsia="宋体" w:cs="宋体"/>
          <w:bCs/>
          <w:color w:val="000000"/>
          <w:sz w:val="30"/>
          <w:szCs w:val="30"/>
        </w:rPr>
        <w:t>、政教处、总务处、教务处</w:t>
      </w:r>
      <w:r>
        <w:rPr>
          <w:rFonts w:hint="eastAsia" w:ascii="宋体" w:hAnsi="宋体" w:cs="宋体"/>
          <w:bCs/>
          <w:color w:val="000000"/>
          <w:sz w:val="30"/>
          <w:szCs w:val="30"/>
          <w:lang w:eastAsia="zh-CN"/>
        </w:rPr>
        <w:t>、</w:t>
      </w:r>
      <w:r>
        <w:rPr>
          <w:rFonts w:hint="eastAsia" w:ascii="宋体" w:hAnsi="宋体" w:eastAsia="宋体" w:cs="宋体"/>
          <w:bCs/>
          <w:color w:val="000000"/>
          <w:sz w:val="30"/>
          <w:szCs w:val="30"/>
        </w:rPr>
        <w:t>安办、工会、团队</w:t>
      </w:r>
      <w:r>
        <w:rPr>
          <w:rFonts w:hint="eastAsia" w:ascii="宋体" w:hAnsi="宋体" w:eastAsia="宋体" w:cs="宋体"/>
          <w:color w:val="000000"/>
          <w:sz w:val="30"/>
          <w:szCs w:val="30"/>
        </w:rPr>
        <w:t>。</w:t>
      </w:r>
    </w:p>
    <w:p w14:paraId="074FA6A5">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kern w:val="0"/>
          <w:sz w:val="32"/>
          <w:szCs w:val="32"/>
        </w:rPr>
      </w:pPr>
      <w:r>
        <w:rPr>
          <w:rFonts w:hint="eastAsia" w:ascii="宋体" w:hAnsi="宋体" w:eastAsia="宋体" w:cs="宋体"/>
          <w:sz w:val="32"/>
          <w:szCs w:val="32"/>
        </w:rPr>
        <w:br w:type="page"/>
      </w:r>
    </w:p>
    <w:p w14:paraId="1AC35C8E">
      <w:pPr>
        <w:pStyle w:val="2"/>
        <w:keepNext/>
        <w:keepLines/>
        <w:pageBreakBefore w:val="0"/>
        <w:widowControl w:val="0"/>
        <w:kinsoku/>
        <w:wordWrap/>
        <w:overflowPunct/>
        <w:topLinePunct w:val="0"/>
        <w:autoSpaceDE/>
        <w:autoSpaceDN/>
        <w:bidi w:val="0"/>
        <w:adjustRightInd/>
        <w:snapToGrid/>
        <w:spacing w:line="579" w:lineRule="auto"/>
        <w:ind w:right="442"/>
        <w:jc w:val="center"/>
        <w:textAlignment w:val="auto"/>
        <w:rPr>
          <w:rStyle w:val="28"/>
          <w:rFonts w:ascii="黑体" w:hAnsi="黑体" w:eastAsia="黑体"/>
          <w:b w:val="0"/>
          <w:bCs/>
        </w:rPr>
      </w:pPr>
      <w:bookmarkStart w:id="19" w:name="_Toc15377204"/>
      <w:bookmarkStart w:id="20" w:name="_Toc15396602"/>
      <w:bookmarkStart w:id="21" w:name="_Toc21828"/>
      <w:r>
        <w:rPr>
          <w:rFonts w:hint="eastAsia" w:ascii="黑体" w:hAnsi="黑体" w:eastAsia="黑体"/>
          <w:b w:val="0"/>
        </w:rPr>
        <w:t>第二部分 2023年度</w:t>
      </w:r>
      <w:r>
        <w:rPr>
          <w:rStyle w:val="28"/>
          <w:rFonts w:hint="eastAsia" w:ascii="黑体" w:hAnsi="黑体" w:eastAsia="黑体"/>
          <w:b w:val="0"/>
          <w:bCs/>
        </w:rPr>
        <w:t>单位决算情况说明</w:t>
      </w:r>
      <w:bookmarkEnd w:id="19"/>
      <w:bookmarkEnd w:id="20"/>
      <w:bookmarkEnd w:id="21"/>
    </w:p>
    <w:p w14:paraId="26268B4A"/>
    <w:p w14:paraId="0D5865AB">
      <w:pPr>
        <w:pStyle w:val="27"/>
        <w:keepNext w:val="0"/>
        <w:keepLines w:val="0"/>
        <w:pageBreakBefore w:val="0"/>
        <w:widowControl w:val="0"/>
        <w:numPr>
          <w:ilvl w:val="0"/>
          <w:numId w:val="1"/>
        </w:numPr>
        <w:kinsoku/>
        <w:wordWrap/>
        <w:overflowPunct/>
        <w:topLinePunct w:val="0"/>
        <w:autoSpaceDE/>
        <w:autoSpaceDN/>
        <w:bidi w:val="0"/>
        <w:adjustRightInd/>
        <w:snapToGrid/>
        <w:spacing w:line="600" w:lineRule="exact"/>
        <w:ind w:left="1361" w:firstLineChars="0"/>
        <w:textAlignment w:val="auto"/>
        <w:outlineLvl w:val="1"/>
        <w:rPr>
          <w:rStyle w:val="29"/>
          <w:rFonts w:ascii="黑体" w:hAnsi="黑体" w:eastAsia="黑体"/>
          <w:b w:val="0"/>
        </w:rPr>
      </w:pPr>
      <w:bookmarkStart w:id="22" w:name="_Toc1860"/>
      <w:bookmarkStart w:id="23" w:name="_Toc15396603"/>
      <w:bookmarkStart w:id="24" w:name="_Toc15377205"/>
      <w:r>
        <w:rPr>
          <w:rFonts w:hint="eastAsia" w:ascii="黑体" w:hAnsi="黑体" w:eastAsia="黑体"/>
          <w:sz w:val="32"/>
          <w:szCs w:val="32"/>
        </w:rPr>
        <w:t>收</w:t>
      </w:r>
      <w:r>
        <w:rPr>
          <w:rStyle w:val="29"/>
          <w:rFonts w:hint="eastAsia" w:ascii="黑体" w:hAnsi="黑体" w:eastAsia="黑体"/>
          <w:b w:val="0"/>
        </w:rPr>
        <w:t>入支出决算总体情况说明</w:t>
      </w:r>
      <w:bookmarkEnd w:id="22"/>
      <w:bookmarkEnd w:id="23"/>
      <w:bookmarkEnd w:id="24"/>
    </w:p>
    <w:p w14:paraId="60AE43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sz w:val="32"/>
          <w:szCs w:val="32"/>
        </w:rPr>
      </w:pPr>
      <w:r>
        <w:rPr>
          <w:rFonts w:hint="eastAsia" w:ascii="仿宋" w:hAnsi="仿宋" w:eastAsia="仿宋"/>
          <w:sz w:val="32"/>
          <w:szCs w:val="32"/>
        </w:rPr>
        <w:t>2023年度收、支总计均为</w:t>
      </w:r>
      <w:r>
        <w:rPr>
          <w:rFonts w:hint="eastAsia" w:ascii="仿宋" w:hAnsi="仿宋" w:eastAsia="仿宋"/>
          <w:b/>
          <w:sz w:val="32"/>
          <w:szCs w:val="32"/>
        </w:rPr>
        <w:t>2543.92</w:t>
      </w:r>
      <w:r>
        <w:rPr>
          <w:rFonts w:hint="eastAsia" w:ascii="仿宋" w:hAnsi="仿宋" w:eastAsia="仿宋"/>
          <w:sz w:val="32"/>
          <w:szCs w:val="32"/>
        </w:rPr>
        <w:t>万元。与2022年度相比，收、支总计各增加</w:t>
      </w:r>
      <w:r>
        <w:rPr>
          <w:rFonts w:hint="eastAsia" w:ascii="仿宋" w:hAnsi="仿宋" w:eastAsia="仿宋"/>
          <w:sz w:val="32"/>
          <w:szCs w:val="32"/>
          <w:lang w:val="en-US" w:eastAsia="zh-CN"/>
        </w:rPr>
        <w:t>731.02</w:t>
      </w:r>
      <w:r>
        <w:rPr>
          <w:rFonts w:hint="eastAsia" w:ascii="仿宋" w:hAnsi="仿宋" w:eastAsia="仿宋"/>
          <w:sz w:val="32"/>
          <w:szCs w:val="32"/>
        </w:rPr>
        <w:t>万元，增长</w:t>
      </w:r>
      <w:r>
        <w:rPr>
          <w:rFonts w:hint="eastAsia" w:ascii="仿宋" w:hAnsi="仿宋" w:eastAsia="仿宋"/>
          <w:sz w:val="32"/>
          <w:szCs w:val="32"/>
          <w:lang w:val="en-US" w:eastAsia="zh-CN"/>
        </w:rPr>
        <w:t>40.32</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海亮集团合作办学项目增加费用和教师人数的增加</w:t>
      </w:r>
      <w:r>
        <w:rPr>
          <w:rFonts w:hint="eastAsia" w:ascii="宋体" w:hAnsi="宋体"/>
          <w:sz w:val="28"/>
          <w:szCs w:val="28"/>
        </w:rPr>
        <w:t>。</w:t>
      </w:r>
    </w:p>
    <w:p w14:paraId="3210645A">
      <w:pPr>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ascii="仿宋" w:hAnsi="仿宋" w:eastAsia="仿宋"/>
          <w:sz w:val="32"/>
          <w:szCs w:val="32"/>
        </w:rPr>
      </w:pPr>
      <w:r>
        <w:rPr>
          <w:rFonts w:hint="eastAsia" w:ascii="仿宋_GB2312" w:eastAsia="仿宋_GB2312"/>
          <w:b/>
          <w:sz w:val="28"/>
          <w:szCs w:val="28"/>
        </w:rPr>
        <w:drawing>
          <wp:anchor distT="0" distB="0" distL="114300" distR="114300" simplePos="0" relativeHeight="251659264" behindDoc="0" locked="0" layoutInCell="1" allowOverlap="1">
            <wp:simplePos x="0" y="0"/>
            <wp:positionH relativeFrom="column">
              <wp:posOffset>-133350</wp:posOffset>
            </wp:positionH>
            <wp:positionV relativeFrom="paragraph">
              <wp:posOffset>63500</wp:posOffset>
            </wp:positionV>
            <wp:extent cx="5462270" cy="3302000"/>
            <wp:effectExtent l="4445" t="4445" r="6985" b="8255"/>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425AB5C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outlineLvl w:val="9"/>
        <w:rPr>
          <w:rFonts w:ascii="仿宋_GB2312" w:eastAsia="仿宋_GB2312"/>
          <w:sz w:val="32"/>
          <w:szCs w:val="32"/>
        </w:rPr>
      </w:pPr>
    </w:p>
    <w:p w14:paraId="298F024E">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9"/>
        <w:rPr>
          <w:rStyle w:val="29"/>
          <w:rFonts w:ascii="黑体" w:hAnsi="黑体" w:eastAsia="黑体"/>
          <w:b w:val="0"/>
        </w:rPr>
      </w:pPr>
      <w:bookmarkStart w:id="25" w:name="_Toc15396604"/>
      <w:bookmarkStart w:id="26" w:name="_Toc15377206"/>
    </w:p>
    <w:p w14:paraId="0C9F3BC8">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9"/>
        <w:rPr>
          <w:rStyle w:val="29"/>
          <w:rFonts w:ascii="黑体" w:hAnsi="黑体" w:eastAsia="黑体"/>
          <w:b w:val="0"/>
        </w:rPr>
      </w:pPr>
    </w:p>
    <w:p w14:paraId="47B55765">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9"/>
        <w:rPr>
          <w:rStyle w:val="29"/>
          <w:rFonts w:ascii="黑体" w:hAnsi="黑体" w:eastAsia="黑体"/>
          <w:b w:val="0"/>
        </w:rPr>
      </w:pPr>
    </w:p>
    <w:p w14:paraId="38ACF6CE">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9"/>
        <w:rPr>
          <w:rFonts w:hint="eastAsia" w:ascii="黑体" w:hAnsi="黑体" w:eastAsia="黑体"/>
          <w:sz w:val="32"/>
          <w:szCs w:val="32"/>
          <w:lang w:val="en-US" w:eastAsia="zh-CN"/>
        </w:rPr>
      </w:pPr>
    </w:p>
    <w:p w14:paraId="432561DF">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9"/>
        <w:rPr>
          <w:rFonts w:hint="eastAsia" w:ascii="黑体" w:hAnsi="黑体" w:eastAsia="黑体"/>
          <w:sz w:val="32"/>
          <w:szCs w:val="32"/>
          <w:lang w:val="en-US" w:eastAsia="zh-CN"/>
        </w:rPr>
      </w:pPr>
    </w:p>
    <w:p w14:paraId="7E64BE2D">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9"/>
        <w:rPr>
          <w:rFonts w:hint="eastAsia" w:ascii="黑体" w:hAnsi="黑体" w:eastAsia="黑体"/>
          <w:sz w:val="32"/>
          <w:szCs w:val="32"/>
          <w:lang w:val="en-US" w:eastAsia="zh-CN"/>
        </w:rPr>
      </w:pPr>
    </w:p>
    <w:p w14:paraId="0707EB5C">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9"/>
        <w:rPr>
          <w:rFonts w:hint="eastAsia" w:ascii="黑体" w:hAnsi="黑体" w:eastAsia="黑体"/>
          <w:sz w:val="32"/>
          <w:szCs w:val="32"/>
          <w:lang w:val="en-US" w:eastAsia="zh-CN"/>
        </w:rPr>
      </w:pPr>
    </w:p>
    <w:p w14:paraId="7E173593">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1" w:leftChars="0"/>
        <w:textAlignment w:val="auto"/>
        <w:outlineLvl w:val="1"/>
        <w:rPr>
          <w:rStyle w:val="29"/>
          <w:rFonts w:ascii="黑体" w:hAnsi="黑体" w:eastAsia="黑体"/>
          <w:b w:val="0"/>
        </w:rPr>
      </w:pPr>
      <w:bookmarkStart w:id="27" w:name="_Toc7855"/>
      <w:r>
        <w:rPr>
          <w:rFonts w:hint="eastAsia" w:ascii="黑体" w:hAnsi="黑体" w:eastAsia="黑体"/>
          <w:sz w:val="32"/>
          <w:szCs w:val="32"/>
          <w:lang w:val="en-US" w:eastAsia="zh-CN"/>
        </w:rPr>
        <w:t>二、</w:t>
      </w:r>
      <w:r>
        <w:rPr>
          <w:rFonts w:hint="eastAsia" w:ascii="黑体" w:hAnsi="黑体" w:eastAsia="黑体"/>
          <w:sz w:val="32"/>
          <w:szCs w:val="32"/>
        </w:rPr>
        <w:t>收</w:t>
      </w:r>
      <w:r>
        <w:rPr>
          <w:rStyle w:val="29"/>
          <w:rFonts w:hint="eastAsia" w:ascii="黑体" w:hAnsi="黑体" w:eastAsia="黑体"/>
          <w:b w:val="0"/>
        </w:rPr>
        <w:t>入决算情况说明</w:t>
      </w:r>
      <w:bookmarkEnd w:id="25"/>
      <w:bookmarkEnd w:id="26"/>
      <w:bookmarkEnd w:id="27"/>
    </w:p>
    <w:p w14:paraId="3D72BA3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sz w:val="32"/>
          <w:szCs w:val="32"/>
        </w:rPr>
      </w:pPr>
      <w:r>
        <w:rPr>
          <w:rFonts w:hint="eastAsia" w:ascii="仿宋" w:hAnsi="仿宋" w:eastAsia="仿宋"/>
          <w:sz w:val="32"/>
          <w:szCs w:val="32"/>
        </w:rPr>
        <w:t>2023年度本年收入合计</w:t>
      </w:r>
      <w:r>
        <w:rPr>
          <w:rFonts w:ascii="仿宋" w:hAnsi="仿宋" w:eastAsia="仿宋"/>
          <w:b/>
          <w:sz w:val="32"/>
          <w:szCs w:val="32"/>
        </w:rPr>
        <w:t>2500.4</w:t>
      </w:r>
      <w:r>
        <w:rPr>
          <w:rFonts w:hint="eastAsia" w:ascii="仿宋" w:hAnsi="仿宋" w:eastAsia="仿宋"/>
          <w:sz w:val="32"/>
          <w:szCs w:val="32"/>
        </w:rPr>
        <w:t>万元，其中：一般公共预算财政拨款收入</w:t>
      </w:r>
      <w:r>
        <w:rPr>
          <w:rFonts w:ascii="仿宋" w:hAnsi="仿宋" w:eastAsia="仿宋"/>
          <w:b/>
          <w:sz w:val="32"/>
          <w:szCs w:val="32"/>
        </w:rPr>
        <w:t>2381.5</w:t>
      </w:r>
      <w:r>
        <w:rPr>
          <w:rFonts w:hint="eastAsia" w:ascii="仿宋" w:hAnsi="仿宋" w:eastAsia="仿宋"/>
          <w:sz w:val="32"/>
          <w:szCs w:val="32"/>
        </w:rPr>
        <w:t>万元，占</w:t>
      </w:r>
      <w:r>
        <w:rPr>
          <w:rFonts w:ascii="仿宋" w:hAnsi="仿宋" w:eastAsia="仿宋"/>
          <w:b/>
          <w:sz w:val="32"/>
          <w:szCs w:val="32"/>
        </w:rPr>
        <w:t>95.24%</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118.91</w:t>
      </w:r>
      <w:r>
        <w:rPr>
          <w:rFonts w:hint="eastAsia" w:ascii="仿宋" w:hAnsi="仿宋" w:eastAsia="仿宋"/>
          <w:sz w:val="32"/>
          <w:szCs w:val="32"/>
        </w:rPr>
        <w:t>万元，占</w:t>
      </w:r>
      <w:r>
        <w:rPr>
          <w:rFonts w:ascii="仿宋" w:hAnsi="仿宋" w:eastAsia="仿宋"/>
          <w:b/>
          <w:sz w:val="32"/>
          <w:szCs w:val="32"/>
        </w:rPr>
        <w:t>4.75</w:t>
      </w:r>
      <w:r>
        <w:rPr>
          <w:rFonts w:ascii="仿宋" w:hAnsi="仿宋" w:eastAsia="仿宋"/>
          <w:sz w:val="32"/>
          <w:szCs w:val="32"/>
        </w:rPr>
        <w:t>%</w:t>
      </w:r>
    </w:p>
    <w:p w14:paraId="22408FE3">
      <w:pPr>
        <w:spacing w:line="600" w:lineRule="exact"/>
        <w:ind w:firstLine="560" w:firstLineChars="200"/>
        <w:outlineLvl w:val="9"/>
        <w:rPr>
          <w:rFonts w:ascii="仿宋" w:hAnsi="仿宋" w:eastAsia="仿宋"/>
          <w:sz w:val="32"/>
          <w:szCs w:val="32"/>
        </w:rPr>
      </w:pPr>
      <w:r>
        <w:rPr>
          <w:rFonts w:hint="eastAsia" w:ascii="宋体" w:hAnsi="宋体"/>
          <w:sz w:val="28"/>
          <w:szCs w:val="28"/>
        </w:rPr>
        <w:drawing>
          <wp:anchor distT="0" distB="0" distL="114300" distR="114300" simplePos="0" relativeHeight="251660288" behindDoc="0" locked="0" layoutInCell="1" allowOverlap="1">
            <wp:simplePos x="0" y="0"/>
            <wp:positionH relativeFrom="column">
              <wp:posOffset>8890</wp:posOffset>
            </wp:positionH>
            <wp:positionV relativeFrom="paragraph">
              <wp:posOffset>132080</wp:posOffset>
            </wp:positionV>
            <wp:extent cx="5216525" cy="2734945"/>
            <wp:effectExtent l="4445" t="4445" r="11430" b="16510"/>
            <wp:wrapNone/>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3261F117">
      <w:pPr>
        <w:spacing w:line="600" w:lineRule="exact"/>
        <w:ind w:firstLine="640" w:firstLineChars="200"/>
        <w:rPr>
          <w:rFonts w:ascii="仿宋_GB2312" w:eastAsia="仿宋_GB2312"/>
          <w:sz w:val="32"/>
          <w:szCs w:val="32"/>
        </w:rPr>
      </w:pPr>
    </w:p>
    <w:p w14:paraId="30CE2790">
      <w:pPr>
        <w:pStyle w:val="27"/>
        <w:numPr>
          <w:ilvl w:val="0"/>
          <w:numId w:val="0"/>
        </w:numPr>
        <w:spacing w:line="600" w:lineRule="exact"/>
        <w:ind w:left="640" w:leftChars="0"/>
        <w:outlineLvl w:val="9"/>
        <w:rPr>
          <w:rFonts w:hint="eastAsia" w:ascii="黑体" w:hAnsi="黑体" w:eastAsia="黑体"/>
          <w:sz w:val="32"/>
          <w:szCs w:val="32"/>
          <w:lang w:val="en-US" w:eastAsia="zh-CN"/>
        </w:rPr>
      </w:pPr>
      <w:bookmarkStart w:id="28" w:name="_Toc15377207"/>
      <w:bookmarkStart w:id="29" w:name="_Toc15396605"/>
    </w:p>
    <w:p w14:paraId="6370843B">
      <w:pPr>
        <w:pStyle w:val="27"/>
        <w:numPr>
          <w:ilvl w:val="0"/>
          <w:numId w:val="0"/>
        </w:numPr>
        <w:spacing w:line="600" w:lineRule="exact"/>
        <w:ind w:left="640" w:leftChars="0"/>
        <w:outlineLvl w:val="9"/>
        <w:rPr>
          <w:rFonts w:hint="eastAsia" w:ascii="黑体" w:hAnsi="黑体" w:eastAsia="黑体"/>
          <w:sz w:val="32"/>
          <w:szCs w:val="32"/>
          <w:lang w:val="en-US" w:eastAsia="zh-CN"/>
        </w:rPr>
      </w:pPr>
    </w:p>
    <w:p w14:paraId="2F863F83">
      <w:pPr>
        <w:pStyle w:val="27"/>
        <w:numPr>
          <w:ilvl w:val="0"/>
          <w:numId w:val="0"/>
        </w:numPr>
        <w:spacing w:line="600" w:lineRule="exact"/>
        <w:ind w:left="640" w:leftChars="0"/>
        <w:outlineLvl w:val="9"/>
        <w:rPr>
          <w:rFonts w:hint="eastAsia" w:ascii="黑体" w:hAnsi="黑体" w:eastAsia="黑体"/>
          <w:sz w:val="32"/>
          <w:szCs w:val="32"/>
          <w:lang w:val="en-US" w:eastAsia="zh-CN"/>
        </w:rPr>
      </w:pPr>
    </w:p>
    <w:p w14:paraId="3A1815F6">
      <w:pPr>
        <w:pStyle w:val="27"/>
        <w:numPr>
          <w:ilvl w:val="0"/>
          <w:numId w:val="0"/>
        </w:numPr>
        <w:spacing w:line="600" w:lineRule="exact"/>
        <w:ind w:left="640" w:leftChars="0"/>
        <w:outlineLvl w:val="9"/>
        <w:rPr>
          <w:rFonts w:hint="eastAsia" w:ascii="黑体" w:hAnsi="黑体" w:eastAsia="黑体"/>
          <w:sz w:val="32"/>
          <w:szCs w:val="32"/>
          <w:lang w:val="en-US" w:eastAsia="zh-CN"/>
        </w:rPr>
      </w:pPr>
    </w:p>
    <w:p w14:paraId="16AB7989">
      <w:pPr>
        <w:pStyle w:val="27"/>
        <w:numPr>
          <w:ilvl w:val="0"/>
          <w:numId w:val="0"/>
        </w:numPr>
        <w:spacing w:line="600" w:lineRule="exact"/>
        <w:ind w:left="640" w:leftChars="0"/>
        <w:outlineLvl w:val="9"/>
        <w:rPr>
          <w:rFonts w:hint="eastAsia" w:ascii="黑体" w:hAnsi="黑体" w:eastAsia="黑体"/>
          <w:sz w:val="32"/>
          <w:szCs w:val="32"/>
          <w:lang w:val="en-US" w:eastAsia="zh-CN"/>
        </w:rPr>
      </w:pPr>
    </w:p>
    <w:p w14:paraId="2E75A48A">
      <w:pPr>
        <w:pStyle w:val="27"/>
        <w:numPr>
          <w:ilvl w:val="0"/>
          <w:numId w:val="0"/>
        </w:numPr>
        <w:spacing w:line="600" w:lineRule="exact"/>
        <w:ind w:left="640" w:leftChars="0"/>
        <w:outlineLvl w:val="9"/>
        <w:rPr>
          <w:rFonts w:hint="eastAsia" w:ascii="黑体" w:hAnsi="黑体" w:eastAsia="黑体"/>
          <w:sz w:val="32"/>
          <w:szCs w:val="32"/>
          <w:lang w:val="en-US" w:eastAsia="zh-CN"/>
        </w:rPr>
      </w:pPr>
    </w:p>
    <w:p w14:paraId="6637A313">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1" w:leftChars="0"/>
        <w:textAlignment w:val="auto"/>
        <w:outlineLvl w:val="1"/>
        <w:rPr>
          <w:rStyle w:val="29"/>
          <w:rFonts w:ascii="黑体" w:hAnsi="黑体" w:eastAsia="黑体"/>
          <w:b w:val="0"/>
        </w:rPr>
      </w:pPr>
      <w:bookmarkStart w:id="30" w:name="_Toc4056"/>
      <w:r>
        <w:rPr>
          <w:rFonts w:hint="eastAsia" w:ascii="黑体" w:hAnsi="黑体" w:eastAsia="黑体"/>
          <w:sz w:val="32"/>
          <w:szCs w:val="32"/>
          <w:lang w:val="en-US" w:eastAsia="zh-CN"/>
        </w:rPr>
        <w:t>三、</w:t>
      </w:r>
      <w:r>
        <w:rPr>
          <w:rFonts w:hint="eastAsia" w:ascii="黑体" w:hAnsi="黑体" w:eastAsia="黑体"/>
          <w:sz w:val="32"/>
          <w:szCs w:val="32"/>
        </w:rPr>
        <w:t>支</w:t>
      </w:r>
      <w:r>
        <w:rPr>
          <w:rStyle w:val="29"/>
          <w:rFonts w:hint="eastAsia" w:ascii="黑体" w:hAnsi="黑体" w:eastAsia="黑体"/>
          <w:b w:val="0"/>
        </w:rPr>
        <w:t>出决算情况说明</w:t>
      </w:r>
      <w:bookmarkEnd w:id="28"/>
      <w:bookmarkEnd w:id="29"/>
      <w:bookmarkEnd w:id="30"/>
    </w:p>
    <w:p w14:paraId="06580D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sz w:val="32"/>
          <w:szCs w:val="32"/>
        </w:rPr>
      </w:pPr>
      <w:r>
        <w:rPr>
          <w:rFonts w:hint="eastAsia" w:ascii="仿宋" w:hAnsi="仿宋" w:eastAsia="仿宋"/>
          <w:sz w:val="32"/>
          <w:szCs w:val="32"/>
        </w:rPr>
        <w:t>2023年度本年支出合计</w:t>
      </w:r>
      <w:r>
        <w:rPr>
          <w:rFonts w:ascii="仿宋" w:hAnsi="仿宋" w:eastAsia="仿宋"/>
          <w:b/>
          <w:sz w:val="32"/>
          <w:szCs w:val="32"/>
        </w:rPr>
        <w:t>2500.4</w:t>
      </w:r>
      <w:r>
        <w:rPr>
          <w:rFonts w:hint="eastAsia" w:ascii="仿宋" w:hAnsi="仿宋" w:eastAsia="仿宋"/>
          <w:sz w:val="32"/>
          <w:szCs w:val="32"/>
        </w:rPr>
        <w:t>万元，其中：基本支出</w:t>
      </w:r>
      <w:r>
        <w:rPr>
          <w:rFonts w:ascii="仿宋" w:hAnsi="仿宋" w:eastAsia="仿宋"/>
          <w:b/>
          <w:sz w:val="32"/>
          <w:szCs w:val="32"/>
        </w:rPr>
        <w:t>1839.46</w:t>
      </w:r>
      <w:r>
        <w:rPr>
          <w:rFonts w:hint="eastAsia" w:ascii="仿宋" w:hAnsi="仿宋" w:eastAsia="仿宋"/>
          <w:sz w:val="32"/>
          <w:szCs w:val="32"/>
        </w:rPr>
        <w:t>万元，占</w:t>
      </w:r>
      <w:r>
        <w:rPr>
          <w:rFonts w:ascii="仿宋" w:hAnsi="仿宋" w:eastAsia="仿宋"/>
          <w:b/>
          <w:sz w:val="32"/>
          <w:szCs w:val="32"/>
        </w:rPr>
        <w:t>73.56</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660.94</w:t>
      </w:r>
      <w:r>
        <w:rPr>
          <w:rFonts w:hint="eastAsia" w:ascii="仿宋" w:hAnsi="仿宋" w:eastAsia="仿宋"/>
          <w:sz w:val="32"/>
          <w:szCs w:val="32"/>
        </w:rPr>
        <w:t>万元，占</w:t>
      </w:r>
      <w:r>
        <w:rPr>
          <w:rFonts w:ascii="仿宋" w:hAnsi="仿宋" w:eastAsia="仿宋"/>
          <w:b/>
          <w:sz w:val="32"/>
          <w:szCs w:val="32"/>
        </w:rPr>
        <w:t>26.43</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p>
    <w:p w14:paraId="40D99D0F">
      <w:pPr>
        <w:spacing w:line="600" w:lineRule="exact"/>
        <w:ind w:firstLine="560" w:firstLineChars="200"/>
        <w:outlineLvl w:val="9"/>
        <w:rPr>
          <w:rFonts w:ascii="仿宋" w:hAnsi="仿宋" w:eastAsia="仿宋"/>
          <w:sz w:val="32"/>
          <w:szCs w:val="32"/>
        </w:rPr>
      </w:pPr>
      <w:r>
        <w:rPr>
          <w:rFonts w:hint="eastAsia" w:ascii="宋体" w:hAnsi="宋体"/>
          <w:sz w:val="28"/>
          <w:szCs w:val="28"/>
        </w:rPr>
        <w:drawing>
          <wp:anchor distT="0" distB="0" distL="114300" distR="114300" simplePos="0" relativeHeight="251661312" behindDoc="0" locked="0" layoutInCell="1" allowOverlap="1">
            <wp:simplePos x="0" y="0"/>
            <wp:positionH relativeFrom="column">
              <wp:posOffset>38100</wp:posOffset>
            </wp:positionH>
            <wp:positionV relativeFrom="paragraph">
              <wp:posOffset>74930</wp:posOffset>
            </wp:positionV>
            <wp:extent cx="5216525" cy="2259330"/>
            <wp:effectExtent l="4445" t="4445" r="11430" b="9525"/>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230B70AF">
      <w:pPr>
        <w:spacing w:line="600" w:lineRule="exact"/>
        <w:ind w:firstLine="640" w:firstLineChars="200"/>
        <w:rPr>
          <w:rFonts w:ascii="仿宋_GB2312" w:eastAsia="仿宋_GB2312"/>
          <w:sz w:val="32"/>
          <w:szCs w:val="32"/>
        </w:rPr>
      </w:pPr>
    </w:p>
    <w:p w14:paraId="65952634">
      <w:pPr>
        <w:spacing w:line="600" w:lineRule="exact"/>
        <w:ind w:firstLine="640" w:firstLineChars="200"/>
        <w:outlineLvl w:val="9"/>
        <w:rPr>
          <w:rFonts w:hint="eastAsia" w:ascii="黑体" w:hAnsi="黑体" w:eastAsia="黑体"/>
          <w:sz w:val="32"/>
          <w:szCs w:val="32"/>
        </w:rPr>
      </w:pPr>
      <w:bookmarkStart w:id="31" w:name="_Toc15377208"/>
      <w:bookmarkStart w:id="32" w:name="_Toc15396606"/>
    </w:p>
    <w:p w14:paraId="28CC1D24">
      <w:pPr>
        <w:spacing w:line="600" w:lineRule="exact"/>
        <w:ind w:firstLine="640" w:firstLineChars="200"/>
        <w:outlineLvl w:val="9"/>
        <w:rPr>
          <w:rFonts w:hint="eastAsia" w:ascii="黑体" w:hAnsi="黑体" w:eastAsia="黑体"/>
          <w:sz w:val="32"/>
          <w:szCs w:val="32"/>
        </w:rPr>
      </w:pPr>
    </w:p>
    <w:p w14:paraId="004DBC13">
      <w:pPr>
        <w:spacing w:line="600" w:lineRule="exact"/>
        <w:ind w:firstLine="640" w:firstLineChars="200"/>
        <w:outlineLvl w:val="9"/>
        <w:rPr>
          <w:rFonts w:hint="eastAsia" w:ascii="黑体" w:hAnsi="黑体" w:eastAsia="黑体"/>
          <w:sz w:val="32"/>
          <w:szCs w:val="32"/>
        </w:rPr>
      </w:pPr>
    </w:p>
    <w:p w14:paraId="378EE26F">
      <w:pPr>
        <w:spacing w:line="600" w:lineRule="exact"/>
        <w:ind w:firstLine="640" w:firstLineChars="200"/>
        <w:outlineLvl w:val="9"/>
        <w:rPr>
          <w:rFonts w:hint="eastAsia" w:ascii="黑体" w:hAnsi="黑体" w:eastAsia="黑体"/>
          <w:sz w:val="32"/>
          <w:szCs w:val="32"/>
        </w:rPr>
      </w:pPr>
    </w:p>
    <w:p w14:paraId="00A05B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Style w:val="29"/>
          <w:rFonts w:ascii="黑体" w:hAnsi="黑体" w:eastAsia="黑体"/>
          <w:b w:val="0"/>
        </w:rPr>
      </w:pPr>
      <w:bookmarkStart w:id="33" w:name="_Toc5899"/>
      <w:r>
        <w:rPr>
          <w:rFonts w:hint="eastAsia" w:ascii="黑体" w:hAnsi="黑体" w:eastAsia="黑体"/>
          <w:sz w:val="32"/>
          <w:szCs w:val="32"/>
        </w:rPr>
        <w:t>四、财</w:t>
      </w:r>
      <w:r>
        <w:rPr>
          <w:rStyle w:val="29"/>
          <w:rFonts w:hint="eastAsia" w:ascii="黑体" w:hAnsi="黑体" w:eastAsia="黑体"/>
          <w:b w:val="0"/>
        </w:rPr>
        <w:t>政拨款收入支出决算总体情况说明</w:t>
      </w:r>
      <w:bookmarkEnd w:id="31"/>
      <w:bookmarkEnd w:id="32"/>
      <w:bookmarkEnd w:id="33"/>
    </w:p>
    <w:p w14:paraId="44B0EF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sz w:val="32"/>
          <w:szCs w:val="32"/>
        </w:rPr>
      </w:pPr>
      <w:r>
        <w:rPr>
          <w:rFonts w:hint="eastAsia" w:ascii="仿宋" w:hAnsi="仿宋" w:eastAsia="仿宋"/>
          <w:sz w:val="32"/>
          <w:szCs w:val="32"/>
        </w:rPr>
        <w:t>2023年度财政拨款收、支总计均为</w:t>
      </w:r>
      <w:r>
        <w:rPr>
          <w:rFonts w:ascii="仿宋" w:hAnsi="仿宋" w:eastAsia="仿宋"/>
          <w:b/>
          <w:sz w:val="32"/>
          <w:szCs w:val="32"/>
        </w:rPr>
        <w:t>2425.01</w:t>
      </w:r>
      <w:r>
        <w:rPr>
          <w:rFonts w:hint="eastAsia" w:ascii="仿宋" w:hAnsi="仿宋" w:eastAsia="仿宋"/>
          <w:sz w:val="32"/>
          <w:szCs w:val="32"/>
        </w:rPr>
        <w:t>万元。与2022年度相比，财政拨款收、支总计各增加</w:t>
      </w:r>
      <w:r>
        <w:rPr>
          <w:rFonts w:hint="eastAsia" w:ascii="仿宋" w:hAnsi="仿宋" w:eastAsia="仿宋"/>
          <w:sz w:val="32"/>
          <w:szCs w:val="32"/>
          <w:lang w:val="en-US" w:eastAsia="zh-CN"/>
        </w:rPr>
        <w:t>393.24</w:t>
      </w:r>
      <w:r>
        <w:rPr>
          <w:rFonts w:hint="eastAsia" w:ascii="仿宋" w:hAnsi="仿宋" w:eastAsia="仿宋"/>
          <w:sz w:val="32"/>
          <w:szCs w:val="32"/>
        </w:rPr>
        <w:t>万元，增长</w:t>
      </w:r>
      <w:r>
        <w:rPr>
          <w:rFonts w:hint="eastAsia" w:ascii="仿宋" w:hAnsi="仿宋" w:eastAsia="仿宋"/>
          <w:sz w:val="32"/>
          <w:szCs w:val="32"/>
          <w:lang w:val="en-US" w:eastAsia="zh-CN"/>
        </w:rPr>
        <w:t>19.35</w:t>
      </w:r>
      <w:r>
        <w:rPr>
          <w:rFonts w:ascii="仿宋" w:hAnsi="仿宋" w:eastAsia="仿宋"/>
          <w:sz w:val="32"/>
          <w:szCs w:val="32"/>
        </w:rPr>
        <w:t>%</w:t>
      </w:r>
      <w:r>
        <w:rPr>
          <w:rFonts w:hint="eastAsia" w:ascii="仿宋" w:hAnsi="仿宋" w:eastAsia="仿宋"/>
          <w:sz w:val="32"/>
          <w:szCs w:val="32"/>
        </w:rPr>
        <w:t>。主要变动原因</w:t>
      </w:r>
      <w:r>
        <w:rPr>
          <w:rFonts w:hint="eastAsia" w:ascii="仿宋" w:hAnsi="仿宋" w:eastAsia="仿宋"/>
          <w:sz w:val="32"/>
          <w:szCs w:val="32"/>
          <w:lang w:val="en-US" w:eastAsia="zh-CN"/>
        </w:rPr>
        <w:t>海亮集团合作办学项目增加费用和教师人数的增加</w:t>
      </w:r>
      <w:r>
        <w:rPr>
          <w:rFonts w:hint="eastAsia" w:ascii="宋体" w:hAnsi="宋体"/>
          <w:sz w:val="28"/>
          <w:szCs w:val="28"/>
        </w:rPr>
        <w:t>。</w:t>
      </w:r>
    </w:p>
    <w:p w14:paraId="7C2DD304">
      <w:pPr>
        <w:spacing w:line="600" w:lineRule="exact"/>
        <w:ind w:firstLine="640"/>
        <w:rPr>
          <w:rFonts w:ascii="仿宋" w:hAnsi="仿宋" w:eastAsia="仿宋"/>
          <w:sz w:val="32"/>
          <w:szCs w:val="32"/>
        </w:rPr>
      </w:pPr>
      <w:r>
        <w:rPr>
          <w:rFonts w:hint="eastAsia" w:ascii="仿宋_GB2312" w:hAnsi="仿宋" w:eastAsia="仿宋_GB2312"/>
          <w:sz w:val="32"/>
          <w:szCs w:val="32"/>
        </w:rPr>
        <w:drawing>
          <wp:anchor distT="0" distB="0" distL="114300" distR="114300" simplePos="0" relativeHeight="251662336" behindDoc="0" locked="0" layoutInCell="1" allowOverlap="1">
            <wp:simplePos x="0" y="0"/>
            <wp:positionH relativeFrom="column">
              <wp:posOffset>-12700</wp:posOffset>
            </wp:positionH>
            <wp:positionV relativeFrom="paragraph">
              <wp:posOffset>164465</wp:posOffset>
            </wp:positionV>
            <wp:extent cx="5493385" cy="3296285"/>
            <wp:effectExtent l="4445" t="4445" r="13970" b="13970"/>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C7306DA">
      <w:pPr>
        <w:spacing w:line="600" w:lineRule="exact"/>
        <w:ind w:firstLine="640"/>
        <w:rPr>
          <w:rFonts w:ascii="仿宋" w:hAnsi="仿宋" w:eastAsia="仿宋"/>
          <w:b/>
          <w:sz w:val="32"/>
          <w:szCs w:val="32"/>
        </w:rPr>
      </w:pPr>
    </w:p>
    <w:p w14:paraId="6F00831A">
      <w:pPr>
        <w:spacing w:line="600" w:lineRule="exact"/>
        <w:ind w:firstLine="640" w:firstLineChars="200"/>
        <w:outlineLvl w:val="9"/>
        <w:rPr>
          <w:rFonts w:hint="eastAsia" w:ascii="黑体" w:hAnsi="黑体" w:eastAsia="黑体"/>
          <w:sz w:val="32"/>
          <w:szCs w:val="32"/>
        </w:rPr>
      </w:pPr>
      <w:bookmarkStart w:id="34" w:name="_Toc15377209"/>
      <w:bookmarkStart w:id="35" w:name="_Toc15396607"/>
    </w:p>
    <w:p w14:paraId="2508F857">
      <w:pPr>
        <w:spacing w:line="600" w:lineRule="exact"/>
        <w:ind w:firstLine="640" w:firstLineChars="200"/>
        <w:outlineLvl w:val="9"/>
        <w:rPr>
          <w:rFonts w:hint="eastAsia" w:ascii="黑体" w:hAnsi="黑体" w:eastAsia="黑体"/>
          <w:sz w:val="32"/>
          <w:szCs w:val="32"/>
        </w:rPr>
      </w:pPr>
    </w:p>
    <w:p w14:paraId="200A9D47">
      <w:pPr>
        <w:spacing w:line="600" w:lineRule="exact"/>
        <w:ind w:firstLine="640" w:firstLineChars="200"/>
        <w:outlineLvl w:val="9"/>
        <w:rPr>
          <w:rFonts w:hint="eastAsia" w:ascii="黑体" w:hAnsi="黑体" w:eastAsia="黑体"/>
          <w:sz w:val="32"/>
          <w:szCs w:val="32"/>
        </w:rPr>
      </w:pPr>
    </w:p>
    <w:p w14:paraId="55E4152E">
      <w:pPr>
        <w:spacing w:line="600" w:lineRule="exact"/>
        <w:ind w:firstLine="640" w:firstLineChars="200"/>
        <w:outlineLvl w:val="9"/>
        <w:rPr>
          <w:rFonts w:hint="eastAsia" w:ascii="黑体" w:hAnsi="黑体" w:eastAsia="黑体"/>
          <w:sz w:val="32"/>
          <w:szCs w:val="32"/>
        </w:rPr>
      </w:pPr>
    </w:p>
    <w:p w14:paraId="260F9CCE">
      <w:pPr>
        <w:spacing w:line="600" w:lineRule="exact"/>
        <w:ind w:firstLine="640" w:firstLineChars="200"/>
        <w:outlineLvl w:val="9"/>
        <w:rPr>
          <w:rFonts w:hint="eastAsia" w:ascii="黑体" w:hAnsi="黑体" w:eastAsia="黑体"/>
          <w:sz w:val="32"/>
          <w:szCs w:val="32"/>
        </w:rPr>
      </w:pPr>
    </w:p>
    <w:p w14:paraId="7D92957D">
      <w:pPr>
        <w:spacing w:line="600" w:lineRule="exact"/>
        <w:ind w:firstLine="640" w:firstLineChars="200"/>
        <w:outlineLvl w:val="9"/>
        <w:rPr>
          <w:rFonts w:hint="eastAsia" w:ascii="黑体" w:hAnsi="黑体" w:eastAsia="黑体"/>
          <w:sz w:val="32"/>
          <w:szCs w:val="32"/>
        </w:rPr>
      </w:pPr>
    </w:p>
    <w:p w14:paraId="0ECEEC33">
      <w:pPr>
        <w:spacing w:line="600" w:lineRule="exact"/>
        <w:ind w:firstLine="640" w:firstLineChars="200"/>
        <w:outlineLvl w:val="9"/>
        <w:rPr>
          <w:rFonts w:hint="eastAsia" w:ascii="黑体" w:hAnsi="黑体" w:eastAsia="黑体"/>
          <w:sz w:val="32"/>
          <w:szCs w:val="32"/>
        </w:rPr>
      </w:pPr>
    </w:p>
    <w:p w14:paraId="3B09163F">
      <w:pPr>
        <w:spacing w:line="600" w:lineRule="exact"/>
        <w:ind w:firstLine="640" w:firstLineChars="200"/>
        <w:outlineLvl w:val="1"/>
        <w:rPr>
          <w:rStyle w:val="29"/>
          <w:rFonts w:ascii="黑体" w:hAnsi="黑体" w:eastAsia="黑体"/>
          <w:b w:val="0"/>
        </w:rPr>
      </w:pPr>
      <w:bookmarkStart w:id="36" w:name="_Toc11930"/>
      <w:r>
        <w:rPr>
          <w:rFonts w:hint="eastAsia" w:ascii="黑体" w:hAnsi="黑体" w:eastAsia="黑体"/>
          <w:sz w:val="32"/>
          <w:szCs w:val="32"/>
        </w:rPr>
        <w:t>五、</w:t>
      </w:r>
      <w:r>
        <w:rPr>
          <w:rFonts w:hint="eastAsia" w:ascii="黑体" w:hAnsi="黑体" w:eastAsia="黑体"/>
          <w:b/>
          <w:sz w:val="32"/>
          <w:szCs w:val="32"/>
        </w:rPr>
        <w:t>一</w:t>
      </w:r>
      <w:r>
        <w:rPr>
          <w:rStyle w:val="29"/>
          <w:rFonts w:hint="eastAsia" w:ascii="黑体" w:hAnsi="黑体" w:eastAsia="黑体"/>
          <w:b w:val="0"/>
        </w:rPr>
        <w:t>般公共预算财政拨款支出决算情况说明</w:t>
      </w:r>
      <w:bookmarkEnd w:id="34"/>
      <w:bookmarkEnd w:id="35"/>
      <w:bookmarkEnd w:id="36"/>
    </w:p>
    <w:p w14:paraId="3DCC0857">
      <w:pPr>
        <w:spacing w:line="600" w:lineRule="exact"/>
        <w:ind w:firstLine="643" w:firstLineChars="200"/>
        <w:outlineLvl w:val="2"/>
        <w:rPr>
          <w:rFonts w:ascii="仿宋" w:hAnsi="仿宋" w:eastAsia="仿宋"/>
          <w:b/>
          <w:sz w:val="32"/>
          <w:szCs w:val="32"/>
        </w:rPr>
      </w:pPr>
      <w:bookmarkStart w:id="37" w:name="_Toc15377210"/>
      <w:r>
        <w:rPr>
          <w:rFonts w:hint="eastAsia" w:ascii="仿宋" w:hAnsi="仿宋" w:eastAsia="仿宋"/>
          <w:b/>
          <w:sz w:val="32"/>
          <w:szCs w:val="32"/>
        </w:rPr>
        <w:t>（一）一般公共预算财政拨款支出决算总体情况</w:t>
      </w:r>
      <w:bookmarkEnd w:id="37"/>
    </w:p>
    <w:p w14:paraId="5B47A62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ascii="仿宋" w:hAnsi="仿宋" w:eastAsia="仿宋"/>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2381.5</w:t>
      </w:r>
      <w:r>
        <w:rPr>
          <w:rFonts w:hint="eastAsia" w:ascii="仿宋" w:hAnsi="仿宋" w:eastAsia="仿宋"/>
          <w:sz w:val="32"/>
          <w:szCs w:val="32"/>
        </w:rPr>
        <w:t>万元，占本年支出合计的</w:t>
      </w:r>
      <w:r>
        <w:rPr>
          <w:rFonts w:ascii="仿宋" w:hAnsi="仿宋" w:eastAsia="仿宋"/>
          <w:b/>
          <w:sz w:val="32"/>
          <w:szCs w:val="32"/>
        </w:rPr>
        <w:t>95.24</w:t>
      </w:r>
      <w:r>
        <w:rPr>
          <w:rFonts w:ascii="仿宋" w:hAnsi="仿宋" w:eastAsia="仿宋"/>
          <w:sz w:val="32"/>
          <w:szCs w:val="32"/>
        </w:rPr>
        <w:t>%</w:t>
      </w:r>
      <w:r>
        <w:rPr>
          <w:rFonts w:hint="eastAsia" w:ascii="仿宋" w:hAnsi="仿宋" w:eastAsia="仿宋"/>
          <w:sz w:val="32"/>
          <w:szCs w:val="32"/>
        </w:rPr>
        <w:t>。与2022年度相比，一般公共预算财政拨款支出增加</w:t>
      </w:r>
      <w:r>
        <w:rPr>
          <w:rFonts w:hint="eastAsia" w:ascii="仿宋" w:hAnsi="仿宋" w:eastAsia="仿宋"/>
          <w:sz w:val="32"/>
          <w:szCs w:val="32"/>
          <w:lang w:val="en-US" w:eastAsia="zh-CN"/>
        </w:rPr>
        <w:t>367.75</w:t>
      </w:r>
      <w:r>
        <w:rPr>
          <w:rFonts w:hint="eastAsia" w:ascii="仿宋" w:hAnsi="仿宋" w:eastAsia="仿宋"/>
          <w:sz w:val="32"/>
          <w:szCs w:val="32"/>
        </w:rPr>
        <w:t>万元，增长</w:t>
      </w:r>
      <w:r>
        <w:rPr>
          <w:rFonts w:hint="eastAsia" w:ascii="仿宋" w:hAnsi="仿宋" w:eastAsia="仿宋"/>
          <w:sz w:val="32"/>
          <w:szCs w:val="32"/>
          <w:lang w:val="en-US" w:eastAsia="zh-CN"/>
        </w:rPr>
        <w:t>18.26</w:t>
      </w:r>
      <w:r>
        <w:rPr>
          <w:rFonts w:ascii="仿宋" w:hAnsi="仿宋" w:eastAsia="仿宋"/>
          <w:sz w:val="32"/>
          <w:szCs w:val="32"/>
        </w:rPr>
        <w:t>%</w:t>
      </w:r>
      <w:r>
        <w:rPr>
          <w:rFonts w:hint="eastAsia" w:ascii="仿宋" w:hAnsi="仿宋" w:eastAsia="仿宋"/>
          <w:sz w:val="32"/>
          <w:szCs w:val="32"/>
        </w:rPr>
        <w:t>。主要变动原因</w:t>
      </w:r>
      <w:r>
        <w:rPr>
          <w:rFonts w:hint="eastAsia" w:ascii="仿宋" w:hAnsi="仿宋" w:eastAsia="仿宋"/>
          <w:sz w:val="32"/>
          <w:szCs w:val="32"/>
          <w:lang w:val="en-US" w:eastAsia="zh-CN"/>
        </w:rPr>
        <w:t>是海亮集团合作办学项目增加费用和教师人数的增加</w:t>
      </w:r>
      <w:r>
        <w:rPr>
          <w:rFonts w:hint="eastAsia" w:ascii="宋体" w:hAnsi="宋体"/>
          <w:sz w:val="28"/>
          <w:szCs w:val="28"/>
        </w:rPr>
        <w:t>。</w:t>
      </w:r>
    </w:p>
    <w:p w14:paraId="29716DC7">
      <w:pPr>
        <w:spacing w:line="600" w:lineRule="exact"/>
        <w:rPr>
          <w:rFonts w:ascii="仿宋" w:hAnsi="仿宋" w:eastAsia="仿宋"/>
          <w:sz w:val="32"/>
          <w:szCs w:val="32"/>
        </w:rPr>
      </w:pPr>
      <w:r>
        <w:rPr>
          <w:rFonts w:hint="eastAsia" w:ascii="仿宋_GB2312" w:hAnsi="仿宋" w:eastAsia="仿宋_GB2312"/>
          <w:sz w:val="32"/>
          <w:szCs w:val="32"/>
        </w:rPr>
        <w:drawing>
          <wp:anchor distT="0" distB="0" distL="114300" distR="114300" simplePos="0" relativeHeight="251663360" behindDoc="0" locked="0" layoutInCell="1" allowOverlap="1">
            <wp:simplePos x="0" y="0"/>
            <wp:positionH relativeFrom="column">
              <wp:posOffset>196850</wp:posOffset>
            </wp:positionH>
            <wp:positionV relativeFrom="paragraph">
              <wp:posOffset>88900</wp:posOffset>
            </wp:positionV>
            <wp:extent cx="5060950" cy="2926080"/>
            <wp:effectExtent l="4445" t="4445" r="14605" b="15875"/>
            <wp:wrapNone/>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8F93114">
      <w:pPr>
        <w:spacing w:line="600" w:lineRule="exact"/>
        <w:ind w:firstLine="640" w:firstLineChars="200"/>
        <w:rPr>
          <w:rFonts w:ascii="仿宋" w:hAnsi="仿宋" w:eastAsia="仿宋"/>
          <w:sz w:val="32"/>
          <w:szCs w:val="32"/>
        </w:rPr>
      </w:pPr>
    </w:p>
    <w:p w14:paraId="622014BD">
      <w:pPr>
        <w:spacing w:line="600" w:lineRule="exact"/>
        <w:ind w:firstLine="643" w:firstLineChars="200"/>
        <w:outlineLvl w:val="9"/>
        <w:rPr>
          <w:rFonts w:hint="eastAsia" w:ascii="仿宋" w:hAnsi="仿宋" w:eastAsia="仿宋"/>
          <w:b/>
          <w:sz w:val="32"/>
          <w:szCs w:val="32"/>
        </w:rPr>
      </w:pPr>
      <w:bookmarkStart w:id="38" w:name="_Toc15377211"/>
    </w:p>
    <w:p w14:paraId="757DC8AC">
      <w:pPr>
        <w:spacing w:line="600" w:lineRule="exact"/>
        <w:ind w:firstLine="643" w:firstLineChars="200"/>
        <w:outlineLvl w:val="9"/>
        <w:rPr>
          <w:rFonts w:hint="eastAsia" w:ascii="仿宋" w:hAnsi="仿宋" w:eastAsia="仿宋"/>
          <w:b/>
          <w:sz w:val="32"/>
          <w:szCs w:val="32"/>
        </w:rPr>
      </w:pPr>
    </w:p>
    <w:p w14:paraId="1C124175">
      <w:pPr>
        <w:spacing w:line="600" w:lineRule="exact"/>
        <w:ind w:firstLine="643" w:firstLineChars="200"/>
        <w:outlineLvl w:val="9"/>
        <w:rPr>
          <w:rFonts w:hint="eastAsia" w:ascii="仿宋" w:hAnsi="仿宋" w:eastAsia="仿宋"/>
          <w:b/>
          <w:sz w:val="32"/>
          <w:szCs w:val="32"/>
        </w:rPr>
      </w:pPr>
    </w:p>
    <w:p w14:paraId="26568F9E">
      <w:pPr>
        <w:spacing w:line="600" w:lineRule="exact"/>
        <w:ind w:firstLine="643" w:firstLineChars="200"/>
        <w:outlineLvl w:val="9"/>
        <w:rPr>
          <w:rFonts w:hint="eastAsia" w:ascii="仿宋" w:hAnsi="仿宋" w:eastAsia="仿宋"/>
          <w:b/>
          <w:sz w:val="32"/>
          <w:szCs w:val="32"/>
        </w:rPr>
      </w:pPr>
    </w:p>
    <w:p w14:paraId="3BFBC5A7">
      <w:pPr>
        <w:spacing w:line="600" w:lineRule="exact"/>
        <w:ind w:firstLine="643" w:firstLineChars="200"/>
        <w:outlineLvl w:val="9"/>
        <w:rPr>
          <w:rFonts w:hint="eastAsia" w:ascii="仿宋" w:hAnsi="仿宋" w:eastAsia="仿宋"/>
          <w:b/>
          <w:sz w:val="32"/>
          <w:szCs w:val="32"/>
        </w:rPr>
      </w:pPr>
    </w:p>
    <w:p w14:paraId="4820C20E">
      <w:pPr>
        <w:spacing w:line="600" w:lineRule="exact"/>
        <w:ind w:firstLine="643" w:firstLineChars="200"/>
        <w:outlineLvl w:val="9"/>
        <w:rPr>
          <w:rFonts w:hint="eastAsia" w:ascii="仿宋" w:hAnsi="仿宋" w:eastAsia="仿宋"/>
          <w:b/>
          <w:sz w:val="32"/>
          <w:szCs w:val="32"/>
        </w:rPr>
      </w:pPr>
    </w:p>
    <w:p w14:paraId="7B385411">
      <w:pPr>
        <w:spacing w:line="600" w:lineRule="exact"/>
        <w:ind w:firstLine="643" w:firstLineChars="200"/>
        <w:outlineLvl w:val="2"/>
        <w:rPr>
          <w:rFonts w:ascii="仿宋" w:hAnsi="仿宋" w:eastAsia="仿宋"/>
          <w:b/>
          <w:sz w:val="32"/>
          <w:szCs w:val="32"/>
        </w:rPr>
      </w:pPr>
      <w:r>
        <w:rPr>
          <w:rFonts w:hint="eastAsia" w:ascii="仿宋" w:hAnsi="仿宋" w:eastAsia="仿宋"/>
          <w:b/>
          <w:sz w:val="32"/>
          <w:szCs w:val="32"/>
        </w:rPr>
        <w:t>（二）一般公共预算财政拨款支出决算结构情况</w:t>
      </w:r>
      <w:bookmarkEnd w:id="38"/>
    </w:p>
    <w:p w14:paraId="4F5485F8">
      <w:pPr>
        <w:spacing w:line="600" w:lineRule="exact"/>
        <w:ind w:firstLine="640"/>
        <w:rPr>
          <w:rFonts w:hint="eastAsia" w:ascii="仿宋" w:hAnsi="仿宋" w:eastAsia="仿宋"/>
          <w:b/>
          <w:sz w:val="32"/>
          <w:szCs w:val="32"/>
          <w:lang w:eastAsia="zh-CN"/>
        </w:rPr>
      </w:pPr>
      <w:r>
        <w:rPr>
          <w:rFonts w:hint="eastAsia" w:ascii="仿宋" w:hAnsi="仿宋" w:eastAsia="仿宋"/>
          <w:sz w:val="32"/>
          <w:szCs w:val="32"/>
        </w:rPr>
        <w:t>2023年度一般公共预算财政拨款支出</w:t>
      </w:r>
      <w:r>
        <w:rPr>
          <w:rFonts w:ascii="仿宋" w:hAnsi="仿宋" w:eastAsia="仿宋"/>
          <w:b/>
          <w:sz w:val="32"/>
          <w:szCs w:val="32"/>
        </w:rPr>
        <w:t>2381.5</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教育支出</w:t>
      </w:r>
      <w:r>
        <w:rPr>
          <w:rFonts w:hint="eastAsia" w:ascii="仿宋" w:hAnsi="仿宋" w:eastAsia="仿宋"/>
          <w:b/>
          <w:sz w:val="32"/>
          <w:szCs w:val="32"/>
          <w:lang w:val="en-US" w:eastAsia="zh-CN"/>
        </w:rPr>
        <w:t>2006.77</w:t>
      </w:r>
      <w:r>
        <w:rPr>
          <w:rFonts w:hint="eastAsia" w:ascii="仿宋" w:hAnsi="仿宋" w:eastAsia="仿宋"/>
          <w:sz w:val="32"/>
          <w:szCs w:val="32"/>
        </w:rPr>
        <w:t>万元，占</w:t>
      </w:r>
      <w:r>
        <w:rPr>
          <w:rFonts w:hint="eastAsia" w:ascii="仿宋" w:hAnsi="仿宋" w:eastAsia="仿宋"/>
          <w:sz w:val="32"/>
          <w:szCs w:val="32"/>
          <w:lang w:val="en-US" w:eastAsia="zh-CN"/>
        </w:rPr>
        <w:t>84.26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b/>
          <w:bCs/>
          <w:sz w:val="32"/>
          <w:szCs w:val="32"/>
          <w:lang w:val="en-US" w:eastAsia="zh-CN"/>
        </w:rPr>
        <w:t>283.46</w:t>
      </w:r>
      <w:r>
        <w:rPr>
          <w:rFonts w:hint="eastAsia" w:ascii="仿宋" w:hAnsi="仿宋" w:eastAsia="仿宋"/>
          <w:sz w:val="32"/>
          <w:szCs w:val="32"/>
        </w:rPr>
        <w:t>万元，占</w:t>
      </w:r>
      <w:r>
        <w:rPr>
          <w:rFonts w:hint="eastAsia" w:ascii="仿宋" w:hAnsi="仿宋" w:eastAsia="仿宋"/>
          <w:sz w:val="32"/>
          <w:szCs w:val="32"/>
          <w:lang w:val="en-US" w:eastAsia="zh-CN"/>
        </w:rPr>
        <w:t>11.90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b/>
          <w:bCs/>
          <w:sz w:val="32"/>
          <w:szCs w:val="32"/>
          <w:lang w:val="en-US" w:eastAsia="zh-CN"/>
        </w:rPr>
        <w:t>68.21</w:t>
      </w:r>
      <w:r>
        <w:rPr>
          <w:rFonts w:hint="eastAsia" w:ascii="仿宋" w:hAnsi="仿宋" w:eastAsia="仿宋"/>
          <w:sz w:val="32"/>
          <w:szCs w:val="32"/>
        </w:rPr>
        <w:t>万元，占</w:t>
      </w:r>
      <w:r>
        <w:rPr>
          <w:rFonts w:hint="eastAsia" w:ascii="仿宋" w:hAnsi="仿宋" w:eastAsia="仿宋"/>
          <w:sz w:val="32"/>
          <w:szCs w:val="32"/>
          <w:lang w:val="en-US" w:eastAsia="zh-CN"/>
        </w:rPr>
        <w:t>2.86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b/>
          <w:bCs/>
          <w:sz w:val="32"/>
          <w:szCs w:val="32"/>
          <w:lang w:val="en-US" w:eastAsia="zh-CN"/>
        </w:rPr>
        <w:t>141.96</w:t>
      </w:r>
      <w:r>
        <w:rPr>
          <w:rFonts w:hint="eastAsia" w:ascii="仿宋" w:hAnsi="仿宋" w:eastAsia="仿宋"/>
          <w:sz w:val="32"/>
          <w:szCs w:val="32"/>
        </w:rPr>
        <w:t>万元，占</w:t>
      </w:r>
      <w:r>
        <w:rPr>
          <w:rFonts w:hint="eastAsia" w:ascii="仿宋" w:hAnsi="仿宋" w:eastAsia="仿宋"/>
          <w:sz w:val="32"/>
          <w:szCs w:val="32"/>
          <w:lang w:val="en-US" w:eastAsia="zh-CN"/>
        </w:rPr>
        <w:t>5.96</w:t>
      </w:r>
      <w:r>
        <w:rPr>
          <w:rFonts w:ascii="仿宋" w:hAnsi="仿宋" w:eastAsia="仿宋"/>
          <w:sz w:val="32"/>
          <w:szCs w:val="32"/>
        </w:rPr>
        <w:t>%</w:t>
      </w:r>
      <w:r>
        <w:rPr>
          <w:rFonts w:hint="eastAsia" w:ascii="仿宋" w:hAnsi="仿宋" w:eastAsia="仿宋"/>
          <w:sz w:val="32"/>
          <w:szCs w:val="32"/>
          <w:lang w:eastAsia="zh-CN"/>
        </w:rPr>
        <w:t>。</w:t>
      </w:r>
    </w:p>
    <w:p w14:paraId="3DC3DA8B">
      <w:pPr>
        <w:pStyle w:val="5"/>
        <w:rPr>
          <w:rFonts w:ascii="仿宋" w:hAnsi="仿宋" w:eastAsia="仿宋"/>
          <w:sz w:val="32"/>
          <w:szCs w:val="32"/>
        </w:rPr>
      </w:pPr>
      <w:r>
        <w:rPr>
          <w:b/>
          <w:sz w:val="30"/>
          <w:szCs w:val="30"/>
        </w:rPr>
        <w:drawing>
          <wp:inline distT="0" distB="0" distL="0" distR="0">
            <wp:extent cx="5278120" cy="3210560"/>
            <wp:effectExtent l="5080" t="4445" r="12700" b="2349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3F6FEF">
      <w:pPr>
        <w:spacing w:line="600" w:lineRule="exact"/>
        <w:ind w:firstLine="643" w:firstLineChars="200"/>
        <w:outlineLvl w:val="2"/>
        <w:rPr>
          <w:rFonts w:ascii="仿宋" w:hAnsi="仿宋" w:eastAsia="仿宋"/>
          <w:b/>
          <w:sz w:val="32"/>
          <w:szCs w:val="32"/>
        </w:rPr>
      </w:pPr>
      <w:bookmarkStart w:id="39" w:name="_Toc15377212"/>
      <w:r>
        <w:rPr>
          <w:rFonts w:hint="eastAsia" w:ascii="仿宋" w:hAnsi="仿宋" w:eastAsia="仿宋"/>
          <w:b/>
          <w:sz w:val="32"/>
          <w:szCs w:val="32"/>
        </w:rPr>
        <w:t>（三）一般公共预算财政拨款支出决算具体情况</w:t>
      </w:r>
      <w:bookmarkEnd w:id="39"/>
    </w:p>
    <w:p w14:paraId="0AD5426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9"/>
        <w:rPr>
          <w:rFonts w:ascii="仿宋" w:hAnsi="仿宋" w:eastAsia="仿宋"/>
          <w:sz w:val="32"/>
          <w:szCs w:val="32"/>
        </w:rPr>
      </w:pPr>
      <w:bookmarkStart w:id="40" w:name="_Toc15377213"/>
      <w:bookmarkStart w:id="41" w:name="_Toc15377444"/>
      <w:bookmarkStart w:id="42" w:name="_Toc15378460"/>
      <w:r>
        <w:rPr>
          <w:rFonts w:hint="eastAsia" w:ascii="仿宋" w:hAnsi="仿宋" w:eastAsia="仿宋"/>
          <w:b/>
          <w:sz w:val="32"/>
          <w:szCs w:val="32"/>
        </w:rPr>
        <w:t>2023年度一般公共预算支出决算数为</w:t>
      </w:r>
      <w:r>
        <w:rPr>
          <w:rFonts w:ascii="仿宋" w:hAnsi="仿宋" w:eastAsia="仿宋"/>
          <w:b/>
          <w:sz w:val="32"/>
          <w:szCs w:val="32"/>
        </w:rPr>
        <w:t>2381.5</w:t>
      </w:r>
      <w:r>
        <w:rPr>
          <w:rFonts w:hint="eastAsia" w:ascii="仿宋" w:hAnsi="仿宋" w:eastAsia="仿宋"/>
          <w:sz w:val="32"/>
          <w:szCs w:val="32"/>
        </w:rPr>
        <w:t>，</w:t>
      </w:r>
      <w:r>
        <w:rPr>
          <w:rStyle w:val="17"/>
          <w:rFonts w:hint="eastAsia" w:ascii="仿宋" w:hAnsi="仿宋" w:eastAsia="仿宋"/>
          <w:bCs/>
          <w:sz w:val="32"/>
          <w:szCs w:val="32"/>
        </w:rPr>
        <w:t>完成预算</w:t>
      </w:r>
      <w:r>
        <w:rPr>
          <w:rStyle w:val="17"/>
          <w:rFonts w:hint="eastAsia" w:ascii="仿宋" w:hAnsi="仿宋" w:eastAsia="仿宋"/>
          <w:bCs/>
          <w:sz w:val="32"/>
          <w:szCs w:val="32"/>
          <w:lang w:val="en-US" w:eastAsia="zh-CN"/>
        </w:rPr>
        <w:t>100</w:t>
      </w:r>
      <w:r>
        <w:rPr>
          <w:rStyle w:val="17"/>
          <w:rFonts w:ascii="仿宋" w:hAnsi="仿宋" w:eastAsia="仿宋"/>
          <w:bCs/>
          <w:sz w:val="32"/>
          <w:szCs w:val="32"/>
        </w:rPr>
        <w:t>%</w:t>
      </w:r>
      <w:r>
        <w:rPr>
          <w:rStyle w:val="17"/>
          <w:rFonts w:hint="eastAsia" w:ascii="仿宋" w:hAnsi="仿宋" w:eastAsia="仿宋"/>
          <w:bCs/>
          <w:sz w:val="32"/>
          <w:szCs w:val="32"/>
        </w:rPr>
        <w:t>。其中：</w:t>
      </w:r>
      <w:bookmarkEnd w:id="40"/>
      <w:bookmarkEnd w:id="41"/>
      <w:bookmarkEnd w:id="42"/>
    </w:p>
    <w:p w14:paraId="397A9F01">
      <w:pPr>
        <w:spacing w:line="600" w:lineRule="exact"/>
        <w:ind w:firstLine="643" w:firstLineChars="200"/>
        <w:rPr>
          <w:rFonts w:hint="eastAsia" w:ascii="仿宋" w:hAnsi="仿宋" w:eastAsia="仿宋"/>
          <w:b/>
          <w:sz w:val="32"/>
          <w:szCs w:val="32"/>
          <w:lang w:eastAsia="zh-CN"/>
        </w:rPr>
      </w:pPr>
      <w:r>
        <w:rPr>
          <w:rStyle w:val="17"/>
          <w:rFonts w:hint="eastAsia" w:ascii="仿宋" w:hAnsi="仿宋" w:eastAsia="仿宋"/>
          <w:bCs/>
          <w:sz w:val="32"/>
          <w:szCs w:val="32"/>
          <w:lang w:val="en-US" w:eastAsia="zh-CN"/>
        </w:rPr>
        <w:t>1</w:t>
      </w:r>
      <w:r>
        <w:rPr>
          <w:rStyle w:val="17"/>
          <w:rFonts w:ascii="仿宋" w:hAnsi="仿宋" w:eastAsia="仿宋"/>
          <w:bCs/>
          <w:sz w:val="32"/>
          <w:szCs w:val="32"/>
        </w:rPr>
        <w:t>.</w:t>
      </w:r>
      <w:r>
        <w:rPr>
          <w:rStyle w:val="17"/>
          <w:rFonts w:hint="eastAsia" w:ascii="仿宋" w:hAnsi="仿宋" w:eastAsia="仿宋"/>
          <w:bCs/>
          <w:sz w:val="32"/>
          <w:szCs w:val="32"/>
        </w:rPr>
        <w:t>教育（类）</w:t>
      </w:r>
      <w:r>
        <w:rPr>
          <w:rStyle w:val="17"/>
          <w:rFonts w:hint="eastAsia" w:ascii="仿宋" w:hAnsi="仿宋" w:eastAsia="仿宋"/>
          <w:bCs/>
          <w:sz w:val="32"/>
          <w:szCs w:val="32"/>
          <w:lang w:val="en-US" w:eastAsia="zh-CN"/>
        </w:rPr>
        <w:t>教育管理事务</w:t>
      </w:r>
      <w:r>
        <w:rPr>
          <w:rStyle w:val="17"/>
          <w:rFonts w:hint="eastAsia" w:ascii="仿宋" w:hAnsi="仿宋" w:eastAsia="仿宋"/>
          <w:bCs/>
          <w:sz w:val="32"/>
          <w:szCs w:val="32"/>
        </w:rPr>
        <w:t>（款）</w:t>
      </w:r>
      <w:r>
        <w:rPr>
          <w:rStyle w:val="17"/>
          <w:rFonts w:hint="eastAsia" w:ascii="仿宋" w:hAnsi="仿宋" w:eastAsia="仿宋"/>
          <w:bCs/>
          <w:sz w:val="32"/>
          <w:szCs w:val="32"/>
          <w:lang w:val="en-US" w:eastAsia="zh-CN"/>
        </w:rPr>
        <w:t>其他教育管理事务支出</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14.58</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5832B37B">
      <w:pPr>
        <w:spacing w:line="600" w:lineRule="exact"/>
        <w:ind w:firstLine="643" w:firstLineChars="200"/>
        <w:rPr>
          <w:rFonts w:hint="eastAsia" w:ascii="仿宋" w:hAnsi="仿宋" w:eastAsia="仿宋"/>
          <w:b/>
          <w:sz w:val="32"/>
          <w:szCs w:val="32"/>
          <w:lang w:eastAsia="zh-CN"/>
        </w:rPr>
      </w:pPr>
      <w:r>
        <w:rPr>
          <w:rStyle w:val="17"/>
          <w:rFonts w:hint="eastAsia" w:ascii="仿宋" w:hAnsi="仿宋" w:eastAsia="仿宋"/>
          <w:bCs/>
          <w:sz w:val="32"/>
          <w:szCs w:val="32"/>
          <w:lang w:val="en-US" w:eastAsia="zh-CN"/>
        </w:rPr>
        <w:t>2</w:t>
      </w:r>
      <w:r>
        <w:rPr>
          <w:rStyle w:val="17"/>
          <w:rFonts w:ascii="仿宋" w:hAnsi="仿宋" w:eastAsia="仿宋"/>
          <w:bCs/>
          <w:sz w:val="32"/>
          <w:szCs w:val="32"/>
        </w:rPr>
        <w:t>.</w:t>
      </w:r>
      <w:r>
        <w:rPr>
          <w:rStyle w:val="17"/>
          <w:rFonts w:hint="eastAsia" w:ascii="仿宋" w:hAnsi="仿宋" w:eastAsia="仿宋"/>
          <w:bCs/>
          <w:sz w:val="32"/>
          <w:szCs w:val="32"/>
        </w:rPr>
        <w:t>教育（类）</w:t>
      </w:r>
      <w:r>
        <w:rPr>
          <w:rStyle w:val="17"/>
          <w:rFonts w:hint="eastAsia" w:ascii="仿宋" w:hAnsi="仿宋" w:eastAsia="仿宋"/>
          <w:bCs/>
          <w:sz w:val="32"/>
          <w:szCs w:val="32"/>
          <w:lang w:val="en-US" w:eastAsia="zh-CN"/>
        </w:rPr>
        <w:t>普通教育</w:t>
      </w:r>
      <w:r>
        <w:rPr>
          <w:rStyle w:val="17"/>
          <w:rFonts w:hint="eastAsia" w:ascii="仿宋" w:hAnsi="仿宋" w:eastAsia="仿宋"/>
          <w:bCs/>
          <w:sz w:val="32"/>
          <w:szCs w:val="32"/>
        </w:rPr>
        <w:t>（款）</w:t>
      </w:r>
      <w:r>
        <w:rPr>
          <w:rStyle w:val="17"/>
          <w:rFonts w:hint="eastAsia" w:ascii="仿宋" w:hAnsi="仿宋" w:eastAsia="仿宋"/>
          <w:bCs/>
          <w:sz w:val="32"/>
          <w:szCs w:val="32"/>
          <w:lang w:val="en-US" w:eastAsia="zh-CN"/>
        </w:rPr>
        <w:t>小学教育</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60.11</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159048C0">
      <w:pPr>
        <w:spacing w:line="600" w:lineRule="exact"/>
        <w:ind w:firstLine="643" w:firstLineChars="200"/>
        <w:rPr>
          <w:rFonts w:hint="eastAsia" w:ascii="仿宋" w:hAnsi="仿宋" w:eastAsia="仿宋"/>
          <w:b/>
          <w:sz w:val="32"/>
          <w:szCs w:val="32"/>
          <w:lang w:eastAsia="zh-CN"/>
        </w:rPr>
      </w:pPr>
      <w:r>
        <w:rPr>
          <w:rStyle w:val="17"/>
          <w:rFonts w:hint="eastAsia" w:ascii="仿宋" w:hAnsi="仿宋" w:eastAsia="仿宋"/>
          <w:bCs/>
          <w:sz w:val="32"/>
          <w:szCs w:val="32"/>
          <w:lang w:val="en-US" w:eastAsia="zh-CN"/>
        </w:rPr>
        <w:t>3</w:t>
      </w:r>
      <w:r>
        <w:rPr>
          <w:rStyle w:val="17"/>
          <w:rFonts w:ascii="仿宋" w:hAnsi="仿宋" w:eastAsia="仿宋"/>
          <w:bCs/>
          <w:sz w:val="32"/>
          <w:szCs w:val="32"/>
        </w:rPr>
        <w:t>.</w:t>
      </w:r>
      <w:r>
        <w:rPr>
          <w:rStyle w:val="17"/>
          <w:rFonts w:hint="eastAsia" w:ascii="仿宋" w:hAnsi="仿宋" w:eastAsia="仿宋"/>
          <w:bCs/>
          <w:sz w:val="32"/>
          <w:szCs w:val="32"/>
        </w:rPr>
        <w:t>教育（类）</w:t>
      </w:r>
      <w:r>
        <w:rPr>
          <w:rStyle w:val="17"/>
          <w:rFonts w:hint="eastAsia" w:ascii="仿宋" w:hAnsi="仿宋" w:eastAsia="仿宋"/>
          <w:bCs/>
          <w:sz w:val="32"/>
          <w:szCs w:val="32"/>
          <w:lang w:val="en-US" w:eastAsia="zh-CN"/>
        </w:rPr>
        <w:t>普通教育</w:t>
      </w:r>
      <w:r>
        <w:rPr>
          <w:rStyle w:val="17"/>
          <w:rFonts w:hint="eastAsia" w:ascii="仿宋" w:hAnsi="仿宋" w:eastAsia="仿宋"/>
          <w:bCs/>
          <w:sz w:val="32"/>
          <w:szCs w:val="32"/>
        </w:rPr>
        <w:t>（款）</w:t>
      </w:r>
      <w:r>
        <w:rPr>
          <w:rStyle w:val="17"/>
          <w:rFonts w:hint="eastAsia" w:ascii="仿宋" w:hAnsi="仿宋" w:eastAsia="仿宋"/>
          <w:bCs/>
          <w:sz w:val="32"/>
          <w:szCs w:val="32"/>
          <w:lang w:val="en-US" w:eastAsia="zh-CN"/>
        </w:rPr>
        <w:t>初中教育</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1928.48</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55C078F9">
      <w:pPr>
        <w:spacing w:line="600" w:lineRule="exact"/>
        <w:ind w:firstLine="643" w:firstLineChars="200"/>
        <w:rPr>
          <w:rFonts w:hint="eastAsia" w:ascii="仿宋" w:hAnsi="仿宋" w:eastAsia="仿宋"/>
          <w:b/>
          <w:sz w:val="32"/>
          <w:szCs w:val="32"/>
          <w:lang w:eastAsia="zh-CN"/>
        </w:rPr>
      </w:pPr>
      <w:r>
        <w:rPr>
          <w:rStyle w:val="17"/>
          <w:rFonts w:hint="eastAsia" w:ascii="仿宋" w:hAnsi="仿宋" w:eastAsia="仿宋"/>
          <w:bCs/>
          <w:sz w:val="32"/>
          <w:szCs w:val="32"/>
          <w:lang w:val="en-US" w:eastAsia="zh-CN"/>
        </w:rPr>
        <w:t>4</w:t>
      </w:r>
      <w:r>
        <w:rPr>
          <w:rStyle w:val="17"/>
          <w:rFonts w:ascii="仿宋" w:hAnsi="仿宋" w:eastAsia="仿宋"/>
          <w:bCs/>
          <w:sz w:val="32"/>
          <w:szCs w:val="32"/>
        </w:rPr>
        <w:t>.</w:t>
      </w:r>
      <w:r>
        <w:rPr>
          <w:rStyle w:val="17"/>
          <w:rFonts w:hint="eastAsia" w:ascii="仿宋" w:hAnsi="仿宋" w:eastAsia="仿宋"/>
          <w:bCs/>
          <w:sz w:val="32"/>
          <w:szCs w:val="32"/>
        </w:rPr>
        <w:t>教育（类）</w:t>
      </w:r>
      <w:r>
        <w:rPr>
          <w:rStyle w:val="17"/>
          <w:rFonts w:hint="eastAsia" w:ascii="仿宋" w:hAnsi="仿宋" w:eastAsia="仿宋"/>
          <w:bCs/>
          <w:sz w:val="32"/>
          <w:szCs w:val="32"/>
          <w:lang w:val="en-US" w:eastAsia="zh-CN"/>
        </w:rPr>
        <w:t>其他教育支出</w:t>
      </w:r>
      <w:r>
        <w:rPr>
          <w:rStyle w:val="17"/>
          <w:rFonts w:hint="eastAsia" w:ascii="仿宋" w:hAnsi="仿宋" w:eastAsia="仿宋"/>
          <w:bCs/>
          <w:sz w:val="32"/>
          <w:szCs w:val="32"/>
        </w:rPr>
        <w:t>（款）</w:t>
      </w:r>
      <w:r>
        <w:rPr>
          <w:rStyle w:val="17"/>
          <w:rFonts w:hint="eastAsia" w:ascii="仿宋" w:hAnsi="仿宋" w:eastAsia="仿宋"/>
          <w:bCs/>
          <w:sz w:val="32"/>
          <w:szCs w:val="32"/>
          <w:lang w:val="en-US" w:eastAsia="zh-CN"/>
        </w:rPr>
        <w:t>其他教育支出</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3.60</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1355FBE1">
      <w:pPr>
        <w:spacing w:line="600" w:lineRule="exact"/>
        <w:ind w:firstLine="643" w:firstLineChars="200"/>
        <w:rPr>
          <w:rFonts w:hint="eastAsia" w:ascii="仿宋" w:hAnsi="仿宋" w:eastAsia="仿宋"/>
          <w:b/>
          <w:sz w:val="32"/>
          <w:szCs w:val="32"/>
          <w:lang w:eastAsia="zh-CN"/>
        </w:rPr>
      </w:pPr>
      <w:r>
        <w:rPr>
          <w:rStyle w:val="17"/>
          <w:rFonts w:hint="eastAsia" w:ascii="仿宋" w:hAnsi="仿宋" w:eastAsia="仿宋"/>
          <w:bCs/>
          <w:sz w:val="32"/>
          <w:szCs w:val="32"/>
          <w:lang w:val="en-US" w:eastAsia="zh-CN"/>
        </w:rPr>
        <w:t>5</w:t>
      </w:r>
      <w:r>
        <w:rPr>
          <w:rStyle w:val="17"/>
          <w:rFonts w:ascii="仿宋" w:hAnsi="仿宋" w:eastAsia="仿宋"/>
          <w:bCs/>
          <w:sz w:val="32"/>
          <w:szCs w:val="32"/>
        </w:rPr>
        <w:t>.</w:t>
      </w:r>
      <w:r>
        <w:rPr>
          <w:rStyle w:val="17"/>
          <w:rFonts w:hint="eastAsia" w:ascii="仿宋" w:hAnsi="仿宋" w:eastAsia="仿宋"/>
          <w:bCs/>
          <w:sz w:val="32"/>
          <w:szCs w:val="32"/>
        </w:rPr>
        <w:t>社会保障和就业（类）</w:t>
      </w:r>
      <w:r>
        <w:rPr>
          <w:rStyle w:val="17"/>
          <w:rFonts w:hint="eastAsia" w:ascii="仿宋" w:hAnsi="仿宋" w:eastAsia="仿宋"/>
          <w:bCs/>
          <w:sz w:val="32"/>
          <w:szCs w:val="32"/>
          <w:lang w:val="en-US" w:eastAsia="zh-CN"/>
        </w:rPr>
        <w:t>行政事业单位养老支出</w:t>
      </w:r>
      <w:r>
        <w:rPr>
          <w:rStyle w:val="17"/>
          <w:rFonts w:hint="eastAsia" w:ascii="仿宋" w:hAnsi="仿宋" w:eastAsia="仿宋"/>
          <w:bCs/>
          <w:sz w:val="32"/>
          <w:szCs w:val="32"/>
        </w:rPr>
        <w:t>（款）</w:t>
      </w:r>
      <w:r>
        <w:rPr>
          <w:rStyle w:val="17"/>
          <w:rFonts w:hint="eastAsia" w:ascii="仿宋" w:hAnsi="仿宋" w:eastAsia="仿宋"/>
          <w:bCs/>
          <w:sz w:val="32"/>
          <w:szCs w:val="32"/>
          <w:lang w:val="en-US" w:eastAsia="zh-CN"/>
        </w:rPr>
        <w:t>机关事业单位基本养老保险缴费支出</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153.85</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58D9D6AD">
      <w:pPr>
        <w:spacing w:line="600" w:lineRule="exact"/>
        <w:ind w:firstLine="643" w:firstLineChars="200"/>
        <w:rPr>
          <w:rFonts w:hint="eastAsia" w:ascii="仿宋" w:hAnsi="仿宋" w:eastAsia="仿宋"/>
          <w:b/>
          <w:sz w:val="32"/>
          <w:szCs w:val="32"/>
          <w:lang w:eastAsia="zh-CN"/>
        </w:rPr>
      </w:pPr>
      <w:r>
        <w:rPr>
          <w:rStyle w:val="17"/>
          <w:rFonts w:hint="eastAsia" w:ascii="仿宋" w:hAnsi="仿宋" w:eastAsia="仿宋"/>
          <w:bCs/>
          <w:sz w:val="32"/>
          <w:szCs w:val="32"/>
          <w:lang w:val="en-US" w:eastAsia="zh-CN"/>
        </w:rPr>
        <w:t>6</w:t>
      </w:r>
      <w:r>
        <w:rPr>
          <w:rStyle w:val="17"/>
          <w:rFonts w:ascii="仿宋" w:hAnsi="仿宋" w:eastAsia="仿宋"/>
          <w:bCs/>
          <w:sz w:val="32"/>
          <w:szCs w:val="32"/>
        </w:rPr>
        <w:t>.</w:t>
      </w:r>
      <w:r>
        <w:rPr>
          <w:rStyle w:val="17"/>
          <w:rFonts w:hint="eastAsia" w:ascii="仿宋" w:hAnsi="仿宋" w:eastAsia="仿宋"/>
          <w:bCs/>
          <w:sz w:val="32"/>
          <w:szCs w:val="32"/>
        </w:rPr>
        <w:t>社会保障和就业（类）</w:t>
      </w:r>
      <w:r>
        <w:rPr>
          <w:rStyle w:val="17"/>
          <w:rFonts w:hint="eastAsia" w:ascii="仿宋" w:hAnsi="仿宋" w:eastAsia="仿宋"/>
          <w:bCs/>
          <w:sz w:val="32"/>
          <w:szCs w:val="32"/>
          <w:lang w:val="en-US" w:eastAsia="zh-CN"/>
        </w:rPr>
        <w:t>行政事业单位养老支出</w:t>
      </w:r>
      <w:r>
        <w:rPr>
          <w:rStyle w:val="17"/>
          <w:rFonts w:hint="eastAsia" w:ascii="仿宋" w:hAnsi="仿宋" w:eastAsia="仿宋"/>
          <w:bCs/>
          <w:sz w:val="32"/>
          <w:szCs w:val="32"/>
        </w:rPr>
        <w:t>（款）</w:t>
      </w:r>
      <w:r>
        <w:rPr>
          <w:rStyle w:val="17"/>
          <w:rFonts w:hint="eastAsia" w:ascii="仿宋" w:hAnsi="仿宋" w:eastAsia="仿宋"/>
          <w:bCs/>
          <w:sz w:val="32"/>
          <w:szCs w:val="32"/>
          <w:lang w:val="en-US" w:eastAsia="zh-CN"/>
        </w:rPr>
        <w:t>机关事业单位职业年金缴费支出</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76.93</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2036A492">
      <w:pPr>
        <w:spacing w:line="600" w:lineRule="exact"/>
        <w:ind w:firstLine="643" w:firstLineChars="200"/>
        <w:rPr>
          <w:rFonts w:hint="eastAsia" w:ascii="仿宋" w:hAnsi="仿宋" w:eastAsia="仿宋"/>
          <w:b/>
          <w:sz w:val="32"/>
          <w:szCs w:val="32"/>
          <w:lang w:eastAsia="zh-CN"/>
        </w:rPr>
      </w:pPr>
      <w:r>
        <w:rPr>
          <w:rStyle w:val="17"/>
          <w:rFonts w:hint="eastAsia" w:ascii="仿宋" w:hAnsi="仿宋" w:eastAsia="仿宋"/>
          <w:bCs/>
          <w:sz w:val="32"/>
          <w:szCs w:val="32"/>
          <w:lang w:val="en-US" w:eastAsia="zh-CN"/>
        </w:rPr>
        <w:t>7</w:t>
      </w:r>
      <w:r>
        <w:rPr>
          <w:rStyle w:val="17"/>
          <w:rFonts w:ascii="仿宋" w:hAnsi="仿宋" w:eastAsia="仿宋"/>
          <w:bCs/>
          <w:sz w:val="32"/>
          <w:szCs w:val="32"/>
        </w:rPr>
        <w:t>.</w:t>
      </w:r>
      <w:r>
        <w:rPr>
          <w:rStyle w:val="17"/>
          <w:rFonts w:hint="eastAsia" w:ascii="仿宋" w:hAnsi="仿宋" w:eastAsia="仿宋"/>
          <w:bCs/>
          <w:sz w:val="32"/>
          <w:szCs w:val="32"/>
        </w:rPr>
        <w:t>社会保障和就业（类）</w:t>
      </w:r>
      <w:r>
        <w:rPr>
          <w:rStyle w:val="17"/>
          <w:rFonts w:hint="eastAsia" w:ascii="仿宋" w:hAnsi="仿宋" w:eastAsia="仿宋"/>
          <w:bCs/>
          <w:sz w:val="32"/>
          <w:szCs w:val="32"/>
          <w:lang w:val="en-US" w:eastAsia="zh-CN"/>
        </w:rPr>
        <w:t>其他社会保障和就业支出</w:t>
      </w:r>
      <w:r>
        <w:rPr>
          <w:rStyle w:val="17"/>
          <w:rFonts w:hint="eastAsia" w:ascii="仿宋" w:hAnsi="仿宋" w:eastAsia="仿宋"/>
          <w:bCs/>
          <w:sz w:val="32"/>
          <w:szCs w:val="32"/>
        </w:rPr>
        <w:t>（款）</w:t>
      </w:r>
      <w:r>
        <w:rPr>
          <w:rStyle w:val="17"/>
          <w:rFonts w:hint="eastAsia" w:ascii="仿宋" w:hAnsi="仿宋" w:eastAsia="仿宋"/>
          <w:bCs/>
          <w:sz w:val="32"/>
          <w:szCs w:val="32"/>
          <w:lang w:val="en-US" w:eastAsia="zh-CN"/>
        </w:rPr>
        <w:t>其他社会保障和就业支出</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52.68</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11CE34A8">
      <w:pPr>
        <w:spacing w:line="600" w:lineRule="exact"/>
        <w:ind w:firstLine="643" w:firstLineChars="200"/>
        <w:rPr>
          <w:rFonts w:hint="eastAsia" w:ascii="仿宋" w:hAnsi="仿宋" w:eastAsia="仿宋"/>
          <w:b/>
          <w:sz w:val="32"/>
          <w:szCs w:val="32"/>
          <w:lang w:eastAsia="zh-CN"/>
        </w:rPr>
      </w:pPr>
      <w:r>
        <w:rPr>
          <w:rStyle w:val="17"/>
          <w:rFonts w:hint="eastAsia" w:ascii="仿宋" w:hAnsi="仿宋" w:eastAsia="仿宋"/>
          <w:bCs/>
          <w:sz w:val="32"/>
          <w:szCs w:val="32"/>
          <w:lang w:val="en-US" w:eastAsia="zh-CN"/>
        </w:rPr>
        <w:t>8</w:t>
      </w:r>
      <w:r>
        <w:rPr>
          <w:rStyle w:val="17"/>
          <w:rFonts w:ascii="仿宋" w:hAnsi="仿宋" w:eastAsia="仿宋"/>
          <w:bCs/>
          <w:sz w:val="32"/>
          <w:szCs w:val="32"/>
        </w:rPr>
        <w:t>.</w:t>
      </w:r>
      <w:r>
        <w:rPr>
          <w:rFonts w:hint="eastAsia" w:ascii="仿宋" w:hAnsi="仿宋" w:eastAsia="仿宋"/>
          <w:b/>
          <w:bCs/>
          <w:sz w:val="32"/>
          <w:szCs w:val="32"/>
        </w:rPr>
        <w:t>卫生健康</w:t>
      </w:r>
      <w:r>
        <w:rPr>
          <w:rStyle w:val="17"/>
          <w:rFonts w:hint="eastAsia" w:ascii="仿宋" w:hAnsi="仿宋" w:eastAsia="仿宋"/>
          <w:bCs/>
          <w:sz w:val="32"/>
          <w:szCs w:val="32"/>
        </w:rPr>
        <w:t>（类）</w:t>
      </w:r>
      <w:r>
        <w:rPr>
          <w:rStyle w:val="17"/>
          <w:rFonts w:hint="eastAsia" w:ascii="仿宋" w:hAnsi="仿宋" w:eastAsia="仿宋"/>
          <w:bCs/>
          <w:sz w:val="32"/>
          <w:szCs w:val="32"/>
          <w:lang w:val="en-US" w:eastAsia="zh-CN"/>
        </w:rPr>
        <w:t>行政事业单位医疗</w:t>
      </w:r>
      <w:r>
        <w:rPr>
          <w:rStyle w:val="17"/>
          <w:rFonts w:hint="eastAsia" w:ascii="仿宋" w:hAnsi="仿宋" w:eastAsia="仿宋"/>
          <w:bCs/>
          <w:sz w:val="32"/>
          <w:szCs w:val="32"/>
        </w:rPr>
        <w:t>（款）</w:t>
      </w:r>
      <w:r>
        <w:rPr>
          <w:rStyle w:val="17"/>
          <w:rFonts w:hint="eastAsia" w:ascii="仿宋" w:hAnsi="仿宋" w:eastAsia="仿宋"/>
          <w:bCs/>
          <w:sz w:val="32"/>
          <w:szCs w:val="32"/>
          <w:lang w:val="en-US" w:eastAsia="zh-CN"/>
        </w:rPr>
        <w:t>事业单位医疗</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59.51</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3EA6C000">
      <w:pPr>
        <w:spacing w:line="600" w:lineRule="exact"/>
        <w:ind w:firstLine="643" w:firstLineChars="200"/>
        <w:rPr>
          <w:rFonts w:hint="eastAsia" w:ascii="仿宋" w:hAnsi="仿宋" w:eastAsia="仿宋"/>
          <w:b/>
          <w:sz w:val="32"/>
          <w:szCs w:val="32"/>
          <w:lang w:eastAsia="zh-CN"/>
        </w:rPr>
      </w:pPr>
      <w:r>
        <w:rPr>
          <w:rStyle w:val="17"/>
          <w:rFonts w:hint="eastAsia" w:ascii="仿宋" w:hAnsi="仿宋" w:eastAsia="仿宋"/>
          <w:bCs/>
          <w:sz w:val="32"/>
          <w:szCs w:val="32"/>
          <w:lang w:val="en-US" w:eastAsia="zh-CN"/>
        </w:rPr>
        <w:t>9</w:t>
      </w:r>
      <w:r>
        <w:rPr>
          <w:rStyle w:val="17"/>
          <w:rFonts w:ascii="仿宋" w:hAnsi="仿宋" w:eastAsia="仿宋"/>
          <w:bCs/>
          <w:sz w:val="32"/>
          <w:szCs w:val="32"/>
        </w:rPr>
        <w:t>.</w:t>
      </w:r>
      <w:r>
        <w:rPr>
          <w:rFonts w:hint="eastAsia" w:ascii="仿宋" w:hAnsi="仿宋" w:eastAsia="仿宋"/>
          <w:b/>
          <w:bCs/>
          <w:sz w:val="32"/>
          <w:szCs w:val="32"/>
        </w:rPr>
        <w:t>卫生健康</w:t>
      </w:r>
      <w:r>
        <w:rPr>
          <w:rStyle w:val="17"/>
          <w:rFonts w:hint="eastAsia" w:ascii="仿宋" w:hAnsi="仿宋" w:eastAsia="仿宋"/>
          <w:bCs/>
          <w:sz w:val="32"/>
          <w:szCs w:val="32"/>
        </w:rPr>
        <w:t>（类）</w:t>
      </w:r>
      <w:r>
        <w:rPr>
          <w:rStyle w:val="17"/>
          <w:rFonts w:hint="eastAsia" w:ascii="仿宋" w:hAnsi="仿宋" w:eastAsia="仿宋"/>
          <w:bCs/>
          <w:sz w:val="32"/>
          <w:szCs w:val="32"/>
          <w:lang w:val="en-US" w:eastAsia="zh-CN"/>
        </w:rPr>
        <w:t>行政事业单位医疗</w:t>
      </w:r>
      <w:r>
        <w:rPr>
          <w:rStyle w:val="17"/>
          <w:rFonts w:hint="eastAsia" w:ascii="仿宋" w:hAnsi="仿宋" w:eastAsia="仿宋"/>
          <w:bCs/>
          <w:sz w:val="32"/>
          <w:szCs w:val="32"/>
        </w:rPr>
        <w:t>（款）</w:t>
      </w:r>
      <w:r>
        <w:rPr>
          <w:rStyle w:val="17"/>
          <w:rFonts w:hint="eastAsia" w:ascii="仿宋" w:hAnsi="仿宋" w:eastAsia="仿宋"/>
          <w:bCs/>
          <w:sz w:val="32"/>
          <w:szCs w:val="32"/>
          <w:lang w:val="en-US" w:eastAsia="zh-CN"/>
        </w:rPr>
        <w:t>公务员医疗补助</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8.70</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41CC2258">
      <w:pPr>
        <w:spacing w:line="600" w:lineRule="exact"/>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10.住房保障支出（类）住房改革支出（款）住房公积金（项）：</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141.96</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lang w:eastAsia="zh-CN"/>
        </w:rPr>
        <w:t>。</w:t>
      </w:r>
    </w:p>
    <w:p w14:paraId="19C2454B">
      <w:pPr>
        <w:tabs>
          <w:tab w:val="right" w:pos="8306"/>
        </w:tabs>
        <w:spacing w:line="600" w:lineRule="exact"/>
        <w:ind w:firstLine="640" w:firstLineChars="200"/>
        <w:outlineLvl w:val="1"/>
        <w:rPr>
          <w:rStyle w:val="29"/>
        </w:rPr>
      </w:pPr>
      <w:bookmarkStart w:id="43" w:name="_Toc15396608"/>
      <w:bookmarkStart w:id="44" w:name="_Toc15377214"/>
      <w:bookmarkStart w:id="45" w:name="_Toc26857"/>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9"/>
          <w:rFonts w:hint="eastAsia" w:ascii="黑体" w:hAnsi="黑体" w:eastAsia="黑体"/>
          <w:b w:val="0"/>
        </w:rPr>
        <w:t>般公共预算财政拨款基本支出决算情况说明</w:t>
      </w:r>
      <w:bookmarkEnd w:id="43"/>
      <w:bookmarkEnd w:id="44"/>
      <w:bookmarkEnd w:id="45"/>
      <w:r>
        <w:rPr>
          <w:rStyle w:val="29"/>
          <w:rFonts w:ascii="黑体" w:hAnsi="黑体" w:eastAsia="黑体"/>
          <w:b w:val="0"/>
        </w:rPr>
        <w:tab/>
      </w:r>
    </w:p>
    <w:p w14:paraId="7BA24E90">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1839.46</w:t>
      </w:r>
      <w:r>
        <w:rPr>
          <w:rFonts w:hint="eastAsia" w:ascii="仿宋" w:hAnsi="仿宋" w:eastAsia="仿宋"/>
          <w:sz w:val="32"/>
          <w:szCs w:val="32"/>
        </w:rPr>
        <w:t>万元，其中：</w:t>
      </w:r>
    </w:p>
    <w:p w14:paraId="23FC68E8">
      <w:pPr>
        <w:spacing w:line="600" w:lineRule="exact"/>
        <w:ind w:firstLine="645"/>
        <w:rPr>
          <w:rFonts w:hint="eastAsia" w:ascii="仿宋" w:hAnsi="仿宋" w:eastAsia="仿宋"/>
          <w:sz w:val="32"/>
          <w:szCs w:val="32"/>
          <w:lang w:eastAsia="zh-CN"/>
        </w:rPr>
      </w:pPr>
      <w:r>
        <w:rPr>
          <w:rFonts w:hint="eastAsia" w:ascii="仿宋" w:hAnsi="仿宋" w:eastAsia="仿宋"/>
          <w:sz w:val="32"/>
          <w:szCs w:val="32"/>
        </w:rPr>
        <w:t>人员经费</w:t>
      </w:r>
      <w:r>
        <w:rPr>
          <w:rFonts w:ascii="仿宋" w:hAnsi="仿宋" w:eastAsia="仿宋"/>
          <w:b/>
          <w:sz w:val="32"/>
          <w:szCs w:val="32"/>
        </w:rPr>
        <w:t>1778.7</w:t>
      </w:r>
      <w:r>
        <w:rPr>
          <w:rFonts w:hint="eastAsia" w:ascii="仿宋" w:hAnsi="仿宋" w:eastAsia="仿宋"/>
          <w:sz w:val="32"/>
          <w:szCs w:val="32"/>
        </w:rPr>
        <w:t>万元，主要包括：基本工资、津贴补贴、伙食补助费、绩效工资、机关事业单位基本养老保险缴费、职业年金缴费、</w:t>
      </w:r>
      <w:r>
        <w:rPr>
          <w:rFonts w:hint="eastAsia" w:ascii="仿宋" w:hAnsi="仿宋" w:eastAsia="仿宋"/>
          <w:sz w:val="32"/>
          <w:szCs w:val="32"/>
          <w:lang w:val="en-US" w:eastAsia="zh-CN"/>
        </w:rPr>
        <w:t>职工基本医疗</w:t>
      </w:r>
      <w:r>
        <w:rPr>
          <w:rFonts w:hint="eastAsia" w:ascii="仿宋" w:hAnsi="仿宋" w:eastAsia="仿宋"/>
          <w:sz w:val="32"/>
          <w:szCs w:val="32"/>
        </w:rPr>
        <w:t>保</w:t>
      </w:r>
      <w:r>
        <w:rPr>
          <w:rFonts w:hint="eastAsia" w:ascii="仿宋" w:hAnsi="仿宋" w:eastAsia="仿宋"/>
          <w:sz w:val="32"/>
          <w:szCs w:val="32"/>
          <w:lang w:val="en-US" w:eastAsia="zh-CN"/>
        </w:rPr>
        <w:t>险</w:t>
      </w:r>
      <w:r>
        <w:rPr>
          <w:rFonts w:hint="eastAsia" w:ascii="仿宋" w:hAnsi="仿宋" w:eastAsia="仿宋"/>
          <w:sz w:val="32"/>
          <w:szCs w:val="32"/>
        </w:rPr>
        <w:t>缴费、</w:t>
      </w:r>
      <w:r>
        <w:rPr>
          <w:rFonts w:hint="eastAsia" w:ascii="仿宋" w:hAnsi="仿宋" w:eastAsia="仿宋"/>
          <w:sz w:val="32"/>
          <w:szCs w:val="32"/>
          <w:lang w:val="en-US" w:eastAsia="zh-CN"/>
        </w:rPr>
        <w:t>公务员医疗补助缴费、</w:t>
      </w:r>
      <w:r>
        <w:rPr>
          <w:rFonts w:hint="eastAsia" w:ascii="仿宋" w:hAnsi="仿宋" w:eastAsia="仿宋"/>
          <w:sz w:val="32"/>
          <w:szCs w:val="32"/>
        </w:rPr>
        <w:t>其他</w:t>
      </w:r>
      <w:r>
        <w:rPr>
          <w:rFonts w:hint="eastAsia" w:ascii="仿宋" w:hAnsi="仿宋" w:eastAsia="仿宋"/>
          <w:sz w:val="32"/>
          <w:szCs w:val="32"/>
          <w:lang w:val="en-US" w:eastAsia="zh-CN"/>
        </w:rPr>
        <w:t>社会保障缴费</w:t>
      </w:r>
      <w:r>
        <w:rPr>
          <w:rFonts w:hint="eastAsia" w:ascii="仿宋" w:hAnsi="仿宋" w:eastAsia="仿宋"/>
          <w:sz w:val="32"/>
          <w:szCs w:val="32"/>
        </w:rPr>
        <w:t>、住房公积金、</w:t>
      </w:r>
      <w:r>
        <w:rPr>
          <w:rFonts w:hint="eastAsia" w:ascii="仿宋" w:hAnsi="仿宋" w:eastAsia="仿宋"/>
          <w:sz w:val="32"/>
          <w:szCs w:val="32"/>
          <w:lang w:val="en-US" w:eastAsia="zh-CN"/>
        </w:rPr>
        <w:t>其他工资福利支出、</w:t>
      </w:r>
      <w:r>
        <w:rPr>
          <w:rFonts w:hint="eastAsia" w:ascii="仿宋" w:hAnsi="仿宋" w:eastAsia="仿宋"/>
          <w:sz w:val="32"/>
          <w:szCs w:val="32"/>
        </w:rPr>
        <w:t>对个人和家庭的补助</w:t>
      </w:r>
      <w:r>
        <w:rPr>
          <w:rFonts w:hint="eastAsia" w:ascii="仿宋" w:hAnsi="仿宋" w:eastAsia="仿宋"/>
          <w:sz w:val="32"/>
          <w:szCs w:val="32"/>
          <w:lang w:eastAsia="zh-CN"/>
        </w:rPr>
        <w:t>、</w:t>
      </w:r>
      <w:r>
        <w:rPr>
          <w:rFonts w:hint="eastAsia" w:ascii="仿宋" w:hAnsi="仿宋" w:eastAsia="仿宋"/>
          <w:sz w:val="32"/>
          <w:szCs w:val="32"/>
          <w:lang w:val="en-US" w:eastAsia="zh-CN"/>
        </w:rPr>
        <w:t>生活补助</w:t>
      </w:r>
      <w:r>
        <w:rPr>
          <w:rFonts w:hint="eastAsia" w:ascii="仿宋" w:hAnsi="仿宋" w:eastAsia="仿宋"/>
          <w:sz w:val="32"/>
          <w:szCs w:val="32"/>
        </w:rPr>
        <w:t>等。</w:t>
      </w:r>
    </w:p>
    <w:p w14:paraId="52606E52">
      <w:pPr>
        <w:spacing w:line="600" w:lineRule="exact"/>
        <w:ind w:firstLine="645"/>
        <w:rPr>
          <w:rFonts w:ascii="仿宋" w:hAnsi="仿宋" w:eastAsia="仿宋"/>
          <w:sz w:val="32"/>
          <w:szCs w:val="32"/>
        </w:rPr>
      </w:pPr>
      <w:r>
        <w:rPr>
          <w:rFonts w:hint="eastAsia" w:ascii="仿宋" w:hAnsi="仿宋" w:eastAsia="仿宋"/>
          <w:sz w:val="32"/>
          <w:szCs w:val="32"/>
        </w:rPr>
        <w:t>公用经费</w:t>
      </w:r>
      <w:r>
        <w:rPr>
          <w:rFonts w:ascii="仿宋" w:hAnsi="仿宋" w:eastAsia="仿宋"/>
          <w:b/>
          <w:sz w:val="32"/>
          <w:szCs w:val="32"/>
        </w:rPr>
        <w:t>60.76</w:t>
      </w:r>
      <w:r>
        <w:rPr>
          <w:rFonts w:hint="eastAsia" w:ascii="仿宋" w:hAnsi="仿宋" w:eastAsia="仿宋"/>
          <w:sz w:val="32"/>
          <w:szCs w:val="32"/>
        </w:rPr>
        <w:t>万元，主要包括：办公费、印刷费、咨询费、维修（护）费、培训费、劳务费、工会经费、福利费、其他商品和服务支出、办公设备购置、其他资本性支出等。</w:t>
      </w:r>
    </w:p>
    <w:p w14:paraId="04B6778E">
      <w:pPr>
        <w:spacing w:line="600" w:lineRule="exact"/>
        <w:ind w:firstLine="640" w:firstLineChars="200"/>
        <w:outlineLvl w:val="1"/>
        <w:rPr>
          <w:rStyle w:val="29"/>
          <w:rFonts w:ascii="黑体" w:hAnsi="黑体" w:eastAsia="黑体"/>
          <w:b w:val="0"/>
        </w:rPr>
      </w:pPr>
      <w:bookmarkStart w:id="46" w:name="_Toc23997"/>
      <w:bookmarkStart w:id="47" w:name="_Toc15377215"/>
      <w:bookmarkStart w:id="48" w:name="_Toc15396609"/>
      <w:r>
        <w:rPr>
          <w:rFonts w:hint="eastAsia" w:ascii="黑体" w:eastAsia="黑体"/>
          <w:sz w:val="32"/>
          <w:szCs w:val="32"/>
        </w:rPr>
        <w:t>七、</w:t>
      </w:r>
      <w:r>
        <w:rPr>
          <w:rStyle w:val="29"/>
          <w:rFonts w:hint="eastAsia" w:ascii="黑体" w:hAnsi="黑体" w:eastAsia="黑体"/>
          <w:b w:val="0"/>
        </w:rPr>
        <w:t>财政拨款</w:t>
      </w:r>
      <w:r>
        <w:rPr>
          <w:rStyle w:val="29"/>
          <w:rFonts w:hint="eastAsia" w:ascii="黑体" w:hAnsi="黑体" w:eastAsia="黑体"/>
        </w:rPr>
        <w:t>“</w:t>
      </w:r>
      <w:r>
        <w:rPr>
          <w:rStyle w:val="29"/>
          <w:rFonts w:hint="eastAsia" w:ascii="黑体" w:hAnsi="黑体" w:eastAsia="黑体"/>
          <w:b w:val="0"/>
        </w:rPr>
        <w:t>三公”经费支出决算情况说明</w:t>
      </w:r>
      <w:bookmarkEnd w:id="46"/>
      <w:bookmarkEnd w:id="47"/>
      <w:bookmarkEnd w:id="48"/>
    </w:p>
    <w:p w14:paraId="16138004">
      <w:pPr>
        <w:spacing w:line="600" w:lineRule="exact"/>
        <w:ind w:firstLine="640"/>
        <w:outlineLvl w:val="2"/>
        <w:rPr>
          <w:rFonts w:ascii="仿宋" w:hAnsi="仿宋" w:eastAsia="仿宋"/>
          <w:b/>
          <w:sz w:val="32"/>
          <w:szCs w:val="32"/>
        </w:rPr>
      </w:pPr>
      <w:bookmarkStart w:id="49" w:name="_Toc15377216"/>
      <w:r>
        <w:rPr>
          <w:rFonts w:hint="eastAsia" w:ascii="仿宋" w:hAnsi="仿宋" w:eastAsia="仿宋"/>
          <w:b/>
          <w:sz w:val="32"/>
          <w:szCs w:val="32"/>
        </w:rPr>
        <w:t>（一）“三公”经费财政拨款支出决算总体情况说明</w:t>
      </w:r>
      <w:bookmarkEnd w:id="49"/>
    </w:p>
    <w:p w14:paraId="5D798CAD">
      <w:pPr>
        <w:spacing w:line="600" w:lineRule="exact"/>
        <w:ind w:firstLine="640"/>
        <w:rPr>
          <w:rFonts w:hint="eastAsia" w:ascii="仿宋" w:hAnsi="仿宋" w:eastAsia="仿宋"/>
          <w:sz w:val="32"/>
          <w:szCs w:val="32"/>
          <w:lang w:eastAsia="zh-CN"/>
        </w:rPr>
      </w:pPr>
      <w:r>
        <w:rPr>
          <w:rFonts w:hint="eastAsia" w:ascii="仿宋" w:hAnsi="仿宋" w:eastAsia="仿宋"/>
          <w:sz w:val="32"/>
          <w:szCs w:val="32"/>
        </w:rPr>
        <w:t>2023年度“三公”经费财政拨款支出决算为</w:t>
      </w:r>
      <w:r>
        <w:rPr>
          <w:rFonts w:ascii="仿宋" w:hAnsi="仿宋" w:eastAsia="仿宋"/>
          <w:b/>
          <w:sz w:val="32"/>
          <w:szCs w:val="32"/>
        </w:rPr>
        <w:t>0</w:t>
      </w:r>
      <w:r>
        <w:rPr>
          <w:rFonts w:hint="eastAsia" w:ascii="仿宋" w:hAnsi="仿宋" w:eastAsia="仿宋"/>
          <w:sz w:val="32"/>
          <w:szCs w:val="32"/>
        </w:rPr>
        <w:t>万元，完成预算</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lang w:eastAsia="zh-CN"/>
        </w:rPr>
        <w:t>。</w:t>
      </w:r>
    </w:p>
    <w:p w14:paraId="2C3EB5C4">
      <w:pPr>
        <w:spacing w:line="600" w:lineRule="exact"/>
        <w:ind w:firstLine="643" w:firstLineChars="200"/>
        <w:outlineLvl w:val="2"/>
        <w:rPr>
          <w:rFonts w:ascii="仿宋" w:hAnsi="仿宋" w:eastAsia="仿宋"/>
          <w:b/>
          <w:sz w:val="32"/>
          <w:szCs w:val="32"/>
        </w:rPr>
      </w:pPr>
      <w:bookmarkStart w:id="50" w:name="_Toc15377217"/>
      <w:r>
        <w:rPr>
          <w:rFonts w:hint="eastAsia" w:ascii="仿宋" w:hAnsi="仿宋" w:eastAsia="仿宋"/>
          <w:b/>
          <w:sz w:val="32"/>
          <w:szCs w:val="32"/>
        </w:rPr>
        <w:t>（二）“三公”经费财政拨款支出决算具体情况说明</w:t>
      </w:r>
      <w:bookmarkEnd w:id="50"/>
    </w:p>
    <w:p w14:paraId="5616C8C1">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；公务接待费支出决算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。具体情况如下：</w:t>
      </w:r>
    </w:p>
    <w:p w14:paraId="17DBD2D2">
      <w:pPr>
        <w:spacing w:line="600" w:lineRule="exact"/>
        <w:ind w:firstLine="640"/>
        <w:rPr>
          <w:rFonts w:ascii="仿宋" w:hAnsi="仿宋" w:eastAsia="仿宋"/>
          <w:sz w:val="32"/>
          <w:szCs w:val="32"/>
        </w:rPr>
      </w:pPr>
      <w:r>
        <w:rPr>
          <w:rFonts w:ascii="仿宋" w:hAnsi="仿宋" w:eastAsia="仿宋"/>
          <w:color w:val="000000"/>
          <w:sz w:val="32"/>
          <w:szCs w:val="32"/>
        </w:rPr>
        <w:drawing>
          <wp:anchor distT="0" distB="0" distL="114300" distR="114300" simplePos="0" relativeHeight="251664384" behindDoc="0" locked="0" layoutInCell="1" allowOverlap="1">
            <wp:simplePos x="0" y="0"/>
            <wp:positionH relativeFrom="column">
              <wp:posOffset>676275</wp:posOffset>
            </wp:positionH>
            <wp:positionV relativeFrom="paragraph">
              <wp:posOffset>46990</wp:posOffset>
            </wp:positionV>
            <wp:extent cx="3315335" cy="2334895"/>
            <wp:effectExtent l="4445" t="4445" r="13970" b="2286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20A7B59">
      <w:pPr>
        <w:spacing w:line="600" w:lineRule="exact"/>
        <w:ind w:firstLine="640"/>
        <w:rPr>
          <w:rFonts w:ascii="仿宋_GB2312" w:eastAsia="仿宋_GB2312"/>
          <w:b/>
          <w:sz w:val="32"/>
          <w:szCs w:val="32"/>
        </w:rPr>
      </w:pPr>
      <w:bookmarkStart w:id="51" w:name="_Toc15377218"/>
      <w:bookmarkStart w:id="52" w:name="_Toc15396610"/>
    </w:p>
    <w:p w14:paraId="3A98B376">
      <w:pPr>
        <w:spacing w:line="600" w:lineRule="exact"/>
        <w:ind w:firstLine="640"/>
        <w:rPr>
          <w:rFonts w:ascii="仿宋_GB2312" w:eastAsia="仿宋_GB2312"/>
          <w:b/>
          <w:sz w:val="32"/>
          <w:szCs w:val="32"/>
        </w:rPr>
      </w:pPr>
    </w:p>
    <w:p w14:paraId="3C7F1230">
      <w:pPr>
        <w:spacing w:line="600" w:lineRule="exact"/>
        <w:ind w:firstLine="640"/>
        <w:rPr>
          <w:rFonts w:ascii="仿宋_GB2312" w:eastAsia="仿宋_GB2312"/>
          <w:b/>
          <w:sz w:val="32"/>
          <w:szCs w:val="32"/>
        </w:rPr>
      </w:pPr>
    </w:p>
    <w:p w14:paraId="4AE145B1">
      <w:pPr>
        <w:spacing w:line="600" w:lineRule="exact"/>
        <w:ind w:firstLine="640"/>
        <w:rPr>
          <w:rFonts w:ascii="仿宋_GB2312" w:eastAsia="仿宋_GB2312"/>
          <w:b/>
          <w:sz w:val="32"/>
          <w:szCs w:val="32"/>
        </w:rPr>
      </w:pPr>
    </w:p>
    <w:p w14:paraId="5ABD83EB">
      <w:pPr>
        <w:spacing w:line="600" w:lineRule="exact"/>
        <w:ind w:firstLine="640"/>
        <w:rPr>
          <w:rFonts w:ascii="仿宋_GB2312" w:eastAsia="仿宋_GB2312"/>
          <w:b/>
          <w:sz w:val="32"/>
          <w:szCs w:val="32"/>
        </w:rPr>
      </w:pPr>
    </w:p>
    <w:p w14:paraId="28DF69BD">
      <w:pPr>
        <w:spacing w:line="600" w:lineRule="exact"/>
        <w:ind w:firstLine="640"/>
        <w:rPr>
          <w:rFonts w:ascii="仿宋_GB2312" w:eastAsia="仿宋_GB2312"/>
          <w:b/>
          <w:sz w:val="32"/>
          <w:szCs w:val="32"/>
        </w:rPr>
      </w:pPr>
    </w:p>
    <w:p w14:paraId="0AEFA0B8">
      <w:pPr>
        <w:spacing w:line="600" w:lineRule="exact"/>
        <w:ind w:firstLine="640"/>
        <w:rPr>
          <w:rFonts w:ascii="仿宋_GB2312" w:eastAsia="仿宋_GB2312"/>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w:t>
      </w:r>
    </w:p>
    <w:p w14:paraId="667677A3">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p>
    <w:p w14:paraId="1034F9E4">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w:t>
      </w:r>
    </w:p>
    <w:p w14:paraId="6B44DA83">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w:t>
      </w:r>
    </w:p>
    <w:p w14:paraId="25690C39">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ascii="仿宋" w:hAnsi="仿宋" w:eastAsia="仿宋"/>
          <w:b/>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 w:val="0"/>
          <w:bCs/>
          <w:sz w:val="32"/>
          <w:szCs w:val="32"/>
        </w:rPr>
        <w:t>0%</w:t>
      </w:r>
      <w:r>
        <w:rPr>
          <w:rStyle w:val="17"/>
          <w:rFonts w:hint="eastAsia" w:ascii="仿宋" w:hAnsi="仿宋" w:eastAsia="仿宋"/>
          <w:b w:val="0"/>
          <w:bCs/>
          <w:sz w:val="32"/>
          <w:szCs w:val="32"/>
        </w:rPr>
        <w:t>。</w:t>
      </w:r>
    </w:p>
    <w:p w14:paraId="2F876E9F">
      <w:pPr>
        <w:spacing w:line="600" w:lineRule="exact"/>
        <w:ind w:firstLine="640"/>
        <w:rPr>
          <w:rFonts w:hint="eastAsia" w:ascii="仿宋_GB2312" w:eastAsia="仿宋_GB2312"/>
          <w:sz w:val="32"/>
          <w:szCs w:val="32"/>
          <w:lang w:eastAsia="zh-CN"/>
        </w:rPr>
      </w:pPr>
      <w:r>
        <w:rPr>
          <w:rFonts w:hint="eastAsia" w:ascii="仿宋" w:hAnsi="仿宋" w:eastAsia="仿宋"/>
          <w:b/>
          <w:sz w:val="32"/>
          <w:szCs w:val="32"/>
        </w:rPr>
        <w:t>国内公务接待支出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p>
    <w:p w14:paraId="37023FB3">
      <w:pPr>
        <w:spacing w:line="600" w:lineRule="exact"/>
        <w:ind w:firstLine="643" w:firstLineChars="200"/>
        <w:rPr>
          <w:rFonts w:hint="eastAsia" w:ascii="仿宋_GB2312" w:eastAsia="仿宋_GB2312"/>
          <w:sz w:val="32"/>
          <w:szCs w:val="32"/>
          <w:lang w:eastAsia="zh-CN"/>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p>
    <w:p w14:paraId="2298335D">
      <w:pPr>
        <w:spacing w:line="600" w:lineRule="exact"/>
        <w:ind w:firstLine="640" w:firstLineChars="200"/>
        <w:outlineLvl w:val="1"/>
        <w:rPr>
          <w:rStyle w:val="29"/>
          <w:rFonts w:ascii="黑体" w:hAnsi="黑体" w:eastAsia="黑体"/>
        </w:rPr>
      </w:pPr>
      <w:bookmarkStart w:id="53" w:name="_Toc24553"/>
      <w:r>
        <w:rPr>
          <w:rFonts w:hint="eastAsia" w:ascii="黑体" w:eastAsia="黑体"/>
          <w:sz w:val="32"/>
          <w:szCs w:val="32"/>
        </w:rPr>
        <w:t>八、</w:t>
      </w:r>
      <w:r>
        <w:rPr>
          <w:rStyle w:val="29"/>
          <w:rFonts w:hint="eastAsia" w:ascii="黑体" w:hAnsi="黑体" w:eastAsia="黑体"/>
          <w:b w:val="0"/>
        </w:rPr>
        <w:t>政府性基金预算支出决算情况说明</w:t>
      </w:r>
      <w:bookmarkEnd w:id="51"/>
      <w:bookmarkEnd w:id="52"/>
      <w:bookmarkEnd w:id="53"/>
    </w:p>
    <w:p w14:paraId="5C28E5DA">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166F770A">
      <w:pPr>
        <w:numPr>
          <w:ilvl w:val="0"/>
          <w:numId w:val="2"/>
        </w:numPr>
        <w:spacing w:line="600" w:lineRule="exact"/>
        <w:ind w:firstLine="640"/>
        <w:outlineLvl w:val="1"/>
        <w:rPr>
          <w:rStyle w:val="29"/>
          <w:rFonts w:ascii="黑体" w:hAnsi="黑体" w:eastAsia="黑体"/>
          <w:b w:val="0"/>
        </w:rPr>
      </w:pPr>
      <w:bookmarkStart w:id="54" w:name="_Toc15396611"/>
      <w:bookmarkStart w:id="55" w:name="_Toc15377219"/>
      <w:bookmarkStart w:id="56" w:name="_Toc5019"/>
      <w:r>
        <w:rPr>
          <w:rStyle w:val="29"/>
          <w:rFonts w:hint="eastAsia" w:ascii="黑体" w:hAnsi="黑体" w:eastAsia="黑体"/>
          <w:b w:val="0"/>
        </w:rPr>
        <w:t>国有资本经营预算支出决算情况说明</w:t>
      </w:r>
      <w:bookmarkEnd w:id="54"/>
      <w:bookmarkEnd w:id="55"/>
      <w:bookmarkEnd w:id="56"/>
    </w:p>
    <w:p w14:paraId="2DBF0712">
      <w:pPr>
        <w:spacing w:line="600" w:lineRule="exact"/>
        <w:ind w:firstLine="640"/>
        <w:rPr>
          <w:rFonts w:ascii="方正小标宋简体" w:hAnsi="方正小标宋简体" w:eastAsia="方正小标宋简体" w:cs="方正小标宋简体"/>
          <w:sz w:val="44"/>
          <w:szCs w:val="44"/>
        </w:rPr>
      </w:pPr>
      <w:r>
        <w:rPr>
          <w:rFonts w:hint="eastAsia" w:ascii="仿宋_GB2312" w:eastAsia="仿宋_GB2312"/>
          <w:sz w:val="32"/>
          <w:szCs w:val="32"/>
        </w:rPr>
        <w:t>2023年度国有资本经营预算财政拨款支出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66A5B496">
      <w:pPr>
        <w:numPr>
          <w:ilvl w:val="0"/>
          <w:numId w:val="2"/>
        </w:numPr>
        <w:spacing w:line="600" w:lineRule="exact"/>
        <w:ind w:firstLine="640"/>
        <w:outlineLvl w:val="1"/>
        <w:rPr>
          <w:rStyle w:val="29"/>
          <w:rFonts w:ascii="黑体" w:hAnsi="黑体" w:eastAsia="黑体"/>
          <w:b w:val="0"/>
        </w:rPr>
      </w:pPr>
      <w:bookmarkStart w:id="57" w:name="_Toc15396612"/>
      <w:bookmarkStart w:id="58" w:name="_Toc15377221"/>
      <w:bookmarkStart w:id="59" w:name="_Toc30041"/>
      <w:r>
        <w:rPr>
          <w:rStyle w:val="29"/>
          <w:rFonts w:hint="eastAsia" w:ascii="黑体" w:hAnsi="黑体" w:eastAsia="黑体"/>
          <w:b w:val="0"/>
        </w:rPr>
        <w:t>其他重要事项的情况说明</w:t>
      </w:r>
      <w:bookmarkEnd w:id="57"/>
      <w:bookmarkEnd w:id="58"/>
      <w:bookmarkEnd w:id="59"/>
    </w:p>
    <w:p w14:paraId="554D9BFF">
      <w:pPr>
        <w:spacing w:line="600" w:lineRule="exact"/>
        <w:ind w:firstLine="643" w:firstLineChars="200"/>
        <w:outlineLvl w:val="2"/>
        <w:rPr>
          <w:rFonts w:ascii="仿宋" w:hAnsi="仿宋" w:eastAsia="仿宋"/>
          <w:sz w:val="32"/>
          <w:szCs w:val="32"/>
        </w:rPr>
      </w:pPr>
      <w:bookmarkStart w:id="60" w:name="_Toc15377222"/>
      <w:r>
        <w:rPr>
          <w:rFonts w:hint="eastAsia" w:ascii="仿宋" w:hAnsi="仿宋" w:eastAsia="仿宋"/>
          <w:b/>
          <w:sz w:val="32"/>
          <w:szCs w:val="32"/>
        </w:rPr>
        <w:t>（一）机关运行经费支出情况</w:t>
      </w:r>
      <w:bookmarkEnd w:id="60"/>
    </w:p>
    <w:p w14:paraId="7DC7B94D">
      <w:pPr>
        <w:spacing w:line="600" w:lineRule="exact"/>
        <w:ind w:firstLine="640" w:firstLineChars="200"/>
        <w:rPr>
          <w:rFonts w:hint="eastAsia" w:ascii="仿宋" w:hAnsi="仿宋" w:eastAsia="仿宋_GB2312"/>
          <w:b/>
          <w:sz w:val="32"/>
          <w:szCs w:val="32"/>
          <w:lang w:eastAsia="zh-CN"/>
        </w:rPr>
      </w:pPr>
      <w:r>
        <w:rPr>
          <w:rFonts w:hint="eastAsia" w:ascii="仿宋_GB2312" w:eastAsia="仿宋_GB2312"/>
          <w:sz w:val="32"/>
          <w:szCs w:val="32"/>
        </w:rPr>
        <w:t>2023年度，</w:t>
      </w:r>
      <w:r>
        <w:rPr>
          <w:rFonts w:ascii="仿宋_GB2312" w:eastAsia="仿宋_GB2312"/>
          <w:b/>
          <w:sz w:val="32"/>
          <w:szCs w:val="32"/>
        </w:rPr>
        <w:t>四川省峨边民族中学</w:t>
      </w:r>
      <w:r>
        <w:rPr>
          <w:rFonts w:hint="eastAsia" w:ascii="仿宋_GB2312" w:eastAsia="仿宋_GB2312"/>
          <w:sz w:val="32"/>
          <w:szCs w:val="32"/>
        </w:rPr>
        <w:t>机关运行经费支出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p>
    <w:p w14:paraId="2135F506">
      <w:pPr>
        <w:autoSpaceDE w:val="0"/>
        <w:autoSpaceDN w:val="0"/>
        <w:adjustRightInd w:val="0"/>
        <w:spacing w:line="600" w:lineRule="exact"/>
        <w:ind w:firstLine="643" w:firstLineChars="200"/>
        <w:jc w:val="left"/>
        <w:outlineLvl w:val="2"/>
        <w:rPr>
          <w:rFonts w:ascii="仿宋" w:hAnsi="仿宋" w:eastAsia="仿宋"/>
          <w:b/>
          <w:sz w:val="32"/>
          <w:szCs w:val="32"/>
        </w:rPr>
      </w:pPr>
      <w:bookmarkStart w:id="61" w:name="_Toc15377223"/>
      <w:r>
        <w:rPr>
          <w:rFonts w:hint="eastAsia" w:ascii="仿宋" w:hAnsi="仿宋" w:eastAsia="仿宋"/>
          <w:b/>
          <w:sz w:val="32"/>
          <w:szCs w:val="32"/>
        </w:rPr>
        <w:t>（二）政府采购支出情况</w:t>
      </w:r>
      <w:bookmarkEnd w:id="61"/>
    </w:p>
    <w:p w14:paraId="39ACFF39">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四川省峨边民族中学</w:t>
      </w:r>
      <w:r>
        <w:rPr>
          <w:rFonts w:hint="eastAsia" w:ascii="仿宋_GB2312" w:eastAsia="仿宋_GB2312"/>
          <w:sz w:val="32"/>
          <w:szCs w:val="32"/>
        </w:rPr>
        <w:t>政府采购支出总额</w:t>
      </w:r>
      <w:r>
        <w:rPr>
          <w:rFonts w:ascii="仿宋" w:hAnsi="仿宋" w:eastAsia="仿宋"/>
          <w:b/>
          <w:sz w:val="32"/>
          <w:szCs w:val="32"/>
        </w:rPr>
        <w:t>0</w:t>
      </w:r>
      <w:r>
        <w:rPr>
          <w:rFonts w:hint="eastAsia" w:ascii="仿宋_GB2312" w:eastAsia="仿宋_GB2312"/>
          <w:sz w:val="32"/>
          <w:szCs w:val="32"/>
        </w:rPr>
        <w:t>万元，其中：政府采购货物支出</w:t>
      </w:r>
      <w:r>
        <w:rPr>
          <w:rFonts w:ascii="仿宋" w:hAnsi="仿宋" w:eastAsia="仿宋"/>
          <w:b/>
          <w:sz w:val="32"/>
          <w:szCs w:val="32"/>
        </w:rPr>
        <w:t>0</w:t>
      </w:r>
      <w:r>
        <w:rPr>
          <w:rFonts w:hint="eastAsia" w:ascii="仿宋_GB2312" w:eastAsia="仿宋_GB2312"/>
          <w:sz w:val="32"/>
          <w:szCs w:val="32"/>
        </w:rPr>
        <w:t>万元、政府采购工程支出</w:t>
      </w:r>
      <w:r>
        <w:rPr>
          <w:rFonts w:ascii="仿宋" w:hAnsi="仿宋" w:eastAsia="仿宋"/>
          <w:b/>
          <w:sz w:val="32"/>
          <w:szCs w:val="32"/>
        </w:rPr>
        <w:t>0</w:t>
      </w:r>
      <w:r>
        <w:rPr>
          <w:rFonts w:hint="eastAsia" w:ascii="仿宋_GB2312" w:eastAsia="仿宋_GB2312"/>
          <w:sz w:val="32"/>
          <w:szCs w:val="32"/>
        </w:rPr>
        <w:t>万元、政府采购服务支出</w:t>
      </w:r>
      <w:r>
        <w:rPr>
          <w:rFonts w:ascii="仿宋" w:hAnsi="仿宋" w:eastAsia="仿宋"/>
          <w:b/>
          <w:sz w:val="32"/>
          <w:szCs w:val="32"/>
        </w:rPr>
        <w:t>0</w:t>
      </w:r>
      <w:r>
        <w:rPr>
          <w:rFonts w:hint="eastAsia" w:ascii="仿宋_GB2312" w:eastAsia="仿宋_GB2312"/>
          <w:sz w:val="32"/>
          <w:szCs w:val="32"/>
        </w:rPr>
        <w:t>万元。授予中小企业合同金额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，其中：授予小微企业合同金额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b/>
          <w:sz w:val="32"/>
          <w:szCs w:val="32"/>
        </w:rPr>
        <w:t>0</w:t>
      </w:r>
      <w:r>
        <w:rPr>
          <w:rFonts w:ascii="仿宋_GB2312" w:eastAsia="仿宋_GB2312"/>
          <w:sz w:val="32"/>
          <w:szCs w:val="32"/>
        </w:rPr>
        <w:t>%</w:t>
      </w:r>
      <w:r>
        <w:rPr>
          <w:rFonts w:hint="eastAsia" w:ascii="仿宋_GB2312" w:eastAsia="仿宋_GB2312"/>
          <w:sz w:val="32"/>
          <w:szCs w:val="32"/>
        </w:rPr>
        <w:t>。</w:t>
      </w:r>
    </w:p>
    <w:p w14:paraId="47DB35F8">
      <w:pPr>
        <w:spacing w:line="600" w:lineRule="exact"/>
        <w:ind w:firstLine="643" w:firstLineChars="200"/>
        <w:rPr>
          <w:rFonts w:ascii="仿宋" w:hAnsi="仿宋" w:eastAsia="仿宋"/>
          <w:b/>
          <w:sz w:val="32"/>
          <w:szCs w:val="32"/>
        </w:rPr>
      </w:pPr>
    </w:p>
    <w:p w14:paraId="6A13C30B">
      <w:pPr>
        <w:autoSpaceDE w:val="0"/>
        <w:autoSpaceDN w:val="0"/>
        <w:adjustRightInd w:val="0"/>
        <w:spacing w:line="600" w:lineRule="exact"/>
        <w:ind w:firstLine="643" w:firstLineChars="200"/>
        <w:jc w:val="left"/>
        <w:outlineLvl w:val="2"/>
        <w:rPr>
          <w:rFonts w:ascii="仿宋" w:hAnsi="仿宋" w:eastAsia="仿宋"/>
          <w:b/>
          <w:sz w:val="32"/>
          <w:szCs w:val="32"/>
        </w:rPr>
      </w:pPr>
      <w:bookmarkStart w:id="62" w:name="_Toc15377224"/>
      <w:r>
        <w:rPr>
          <w:rFonts w:hint="eastAsia" w:ascii="仿宋" w:hAnsi="仿宋" w:eastAsia="仿宋"/>
          <w:b/>
          <w:sz w:val="32"/>
          <w:szCs w:val="32"/>
        </w:rPr>
        <w:t>（三）国有资产占有使用情况</w:t>
      </w:r>
      <w:bookmarkEnd w:id="62"/>
    </w:p>
    <w:p w14:paraId="767F7F63">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ascii="仿宋_GB2312" w:eastAsia="仿宋_GB2312"/>
          <w:b/>
          <w:sz w:val="32"/>
          <w:szCs w:val="32"/>
        </w:rPr>
        <w:t>四川省峨边民族中学</w:t>
      </w:r>
      <w:r>
        <w:rPr>
          <w:rFonts w:hint="eastAsia" w:ascii="仿宋_GB2312" w:eastAsia="仿宋_GB2312"/>
          <w:sz w:val="32"/>
          <w:szCs w:val="32"/>
        </w:rPr>
        <w:t>共有车辆</w:t>
      </w:r>
      <w:r>
        <w:rPr>
          <w:rFonts w:hint="eastAsia" w:ascii="仿宋_GB2312" w:eastAsia="仿宋_GB2312"/>
          <w:b/>
          <w:sz w:val="32"/>
          <w:szCs w:val="32"/>
        </w:rPr>
        <w:t>0</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万元以上设备（不含车辆）</w:t>
      </w:r>
      <w:r>
        <w:rPr>
          <w:rFonts w:ascii="仿宋_GB2312" w:eastAsia="仿宋_GB2312"/>
          <w:b/>
          <w:sz w:val="32"/>
          <w:szCs w:val="32"/>
        </w:rPr>
        <w:t>0</w:t>
      </w:r>
      <w:r>
        <w:rPr>
          <w:rFonts w:hint="eastAsia" w:ascii="仿宋_GB2312" w:eastAsia="仿宋_GB2312"/>
          <w:sz w:val="32"/>
          <w:szCs w:val="32"/>
        </w:rPr>
        <w:t>台（套）。</w:t>
      </w:r>
    </w:p>
    <w:p w14:paraId="52EAFE97">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2B413C0C">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w:t>
      </w:r>
      <w:r>
        <w:rPr>
          <w:rFonts w:hint="eastAsia" w:ascii="仿宋_GB2312" w:eastAsia="仿宋_GB2312"/>
          <w:sz w:val="32"/>
          <w:szCs w:val="32"/>
          <w:lang w:val="en-US" w:eastAsia="zh-CN"/>
        </w:rPr>
        <w:t>义务教育</w:t>
      </w:r>
      <w:r>
        <w:rPr>
          <w:rFonts w:hint="eastAsia" w:ascii="仿宋_GB2312" w:hAnsi="仿宋_GB2312" w:eastAsia="仿宋_GB2312" w:cs="仿宋_GB2312"/>
          <w:sz w:val="32"/>
          <w:szCs w:val="32"/>
        </w:rPr>
        <w:t>营养</w:t>
      </w:r>
      <w:r>
        <w:rPr>
          <w:rFonts w:hint="eastAsia" w:ascii="仿宋_GB2312" w:hAnsi="仿宋_GB2312" w:eastAsia="仿宋_GB2312" w:cs="仿宋_GB2312"/>
          <w:sz w:val="32"/>
          <w:szCs w:val="32"/>
          <w:lang w:val="en-US" w:eastAsia="zh-CN"/>
        </w:rPr>
        <w:t>改善计划</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义务教育公用经费</w:t>
      </w:r>
      <w:r>
        <w:rPr>
          <w:rFonts w:hint="eastAsia" w:ascii="仿宋_GB2312" w:eastAsia="仿宋_GB2312"/>
          <w:sz w:val="32"/>
          <w:szCs w:val="32"/>
        </w:rPr>
        <w:t>等</w:t>
      </w:r>
      <w:r>
        <w:rPr>
          <w:rFonts w:hint="eastAsia" w:ascii="仿宋_GB2312" w:eastAsia="仿宋_GB2312"/>
          <w:sz w:val="32"/>
          <w:szCs w:val="32"/>
          <w:lang w:val="en-US" w:eastAsia="zh-CN"/>
        </w:rPr>
        <w:t>7</w:t>
      </w:r>
      <w:r>
        <w:rPr>
          <w:rFonts w:hint="eastAsia" w:ascii="仿宋_GB2312" w:eastAsia="仿宋_GB2312"/>
          <w:sz w:val="32"/>
          <w:szCs w:val="32"/>
        </w:rPr>
        <w:t>个项目开展了预算事前绩效评估，对</w:t>
      </w:r>
      <w:r>
        <w:rPr>
          <w:rFonts w:hint="eastAsia" w:ascii="仿宋_GB2312" w:eastAsia="仿宋_GB2312"/>
          <w:sz w:val="32"/>
          <w:szCs w:val="32"/>
          <w:lang w:val="en-US" w:eastAsia="zh-CN"/>
        </w:rPr>
        <w:t>7</w:t>
      </w:r>
      <w:r>
        <w:rPr>
          <w:rFonts w:hint="eastAsia" w:ascii="仿宋_GB2312" w:eastAsia="仿宋_GB2312"/>
          <w:sz w:val="32"/>
          <w:szCs w:val="32"/>
        </w:rPr>
        <w:t>个项目编制了绩效目标，预算执行过程中，选取</w:t>
      </w:r>
      <w:r>
        <w:rPr>
          <w:rFonts w:hint="eastAsia" w:ascii="仿宋_GB2312" w:eastAsia="仿宋_GB2312"/>
          <w:sz w:val="32"/>
          <w:szCs w:val="32"/>
          <w:lang w:val="en-US" w:eastAsia="zh-CN"/>
        </w:rPr>
        <w:t>7</w:t>
      </w:r>
      <w:r>
        <w:rPr>
          <w:rFonts w:hint="eastAsia" w:ascii="仿宋_GB2312" w:eastAsia="仿宋_GB2312"/>
          <w:sz w:val="32"/>
          <w:szCs w:val="32"/>
        </w:rPr>
        <w:t>个项目开展绩效监控，组织对</w:t>
      </w:r>
      <w:r>
        <w:rPr>
          <w:rFonts w:hint="eastAsia" w:ascii="仿宋_GB2312" w:eastAsia="仿宋_GB2312"/>
          <w:sz w:val="32"/>
          <w:szCs w:val="32"/>
          <w:lang w:val="en-US" w:eastAsia="zh-CN"/>
        </w:rPr>
        <w:t>7</w:t>
      </w:r>
      <w:r>
        <w:rPr>
          <w:rFonts w:hint="eastAsia" w:ascii="仿宋_GB2312" w:eastAsia="仿宋_GB2312"/>
          <w:sz w:val="32"/>
          <w:szCs w:val="32"/>
        </w:rPr>
        <w:t>个项目开展绩效自评，绩效自评表详见第四部分附件。</w:t>
      </w:r>
    </w:p>
    <w:p w14:paraId="627C5DAC">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1C9CA175">
      <w:pPr>
        <w:numPr>
          <w:ilvl w:val="0"/>
          <w:numId w:val="3"/>
        </w:numPr>
        <w:spacing w:line="600" w:lineRule="exact"/>
        <w:ind w:firstLine="660" w:firstLineChars="150"/>
        <w:jc w:val="center"/>
        <w:outlineLvl w:val="0"/>
        <w:rPr>
          <w:rStyle w:val="28"/>
          <w:rFonts w:ascii="黑体" w:hAnsi="黑体" w:eastAsia="黑体"/>
          <w:b w:val="0"/>
        </w:rPr>
      </w:pPr>
      <w:bookmarkStart w:id="63" w:name="_Toc15377225"/>
      <w:bookmarkStart w:id="64" w:name="_Toc5972"/>
      <w:bookmarkStart w:id="65" w:name="_Toc15396613"/>
      <w:r>
        <w:rPr>
          <w:rFonts w:hint="eastAsia" w:ascii="黑体" w:hAnsi="黑体" w:eastAsia="黑体"/>
          <w:sz w:val="44"/>
          <w:szCs w:val="44"/>
        </w:rPr>
        <w:t>名</w:t>
      </w:r>
      <w:r>
        <w:rPr>
          <w:rStyle w:val="28"/>
          <w:rFonts w:hint="eastAsia" w:ascii="黑体" w:hAnsi="黑体" w:eastAsia="黑体"/>
          <w:b w:val="0"/>
        </w:rPr>
        <w:t>词解释</w:t>
      </w:r>
      <w:bookmarkEnd w:id="63"/>
      <w:bookmarkEnd w:id="64"/>
      <w:bookmarkEnd w:id="65"/>
    </w:p>
    <w:p w14:paraId="338C1A00">
      <w:pPr>
        <w:spacing w:line="600" w:lineRule="exact"/>
        <w:jc w:val="left"/>
        <w:rPr>
          <w:rFonts w:ascii="宋体"/>
          <w:b/>
          <w:sz w:val="44"/>
          <w:szCs w:val="44"/>
        </w:rPr>
      </w:pPr>
    </w:p>
    <w:p w14:paraId="7813BEF2">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14:paraId="3A6CF2C1">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w:t>
      </w:r>
    </w:p>
    <w:p w14:paraId="5175626A">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w:t>
      </w:r>
    </w:p>
    <w:p w14:paraId="129C428C">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其他收入：指单位取得的除上述收入以外的各项收入。</w:t>
      </w:r>
    </w:p>
    <w:p w14:paraId="7D93D620">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仿宋_GB2312" w:eastAsia="仿宋_GB2312"/>
          <w:color w:val="auto"/>
          <w:sz w:val="32"/>
          <w:szCs w:val="32"/>
        </w:rPr>
      </w:pPr>
      <w:r>
        <w:rPr>
          <w:rFonts w:ascii="仿宋_GB2312" w:eastAsia="仿宋_GB2312"/>
          <w:color w:val="auto"/>
          <w:sz w:val="32"/>
          <w:szCs w:val="32"/>
        </w:rPr>
        <w:t>5.</w:t>
      </w: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：指事业单位使用以前年度积累的非财政拨款结余弥补当年收支差额的金额。</w:t>
      </w:r>
      <w:r>
        <w:rPr>
          <w:rFonts w:ascii="仿宋_GB2312" w:eastAsia="仿宋_GB2312"/>
          <w:color w:val="auto"/>
          <w:sz w:val="32"/>
          <w:szCs w:val="32"/>
        </w:rPr>
        <w:t xml:space="preserve"> </w:t>
      </w:r>
    </w:p>
    <w:p w14:paraId="046367F5">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14:paraId="67B29DEC">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14:paraId="0163F62A">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rPr>
        <w:t>.年末结转和结余：指单位按有关规定结转到下年或以后年度继续使用的资金。</w:t>
      </w:r>
    </w:p>
    <w:p w14:paraId="620D5563">
      <w:pPr>
        <w:keepNext w:val="0"/>
        <w:keepLines w:val="0"/>
        <w:pageBreakBefore w:val="0"/>
        <w:widowControl w:val="0"/>
        <w:kinsoku/>
        <w:wordWrap/>
        <w:overflowPunct/>
        <w:topLinePunct w:val="0"/>
        <w:bidi w:val="0"/>
        <w:snapToGrid/>
        <w:ind w:firstLine="640" w:firstLineChars="200"/>
        <w:textAlignment w:val="auto"/>
        <w:outlineLvl w:val="9"/>
        <w:rPr>
          <w:rFonts w:ascii="仿宋_GB2312" w:eastAsia="仿宋_GB2312"/>
          <w:sz w:val="32"/>
          <w:szCs w:val="32"/>
        </w:rPr>
      </w:pPr>
      <w:r>
        <w:rPr>
          <w:rFonts w:hint="eastAsia" w:ascii="仿宋_GB2312" w:eastAsia="仿宋_GB2312"/>
          <w:sz w:val="32"/>
          <w:szCs w:val="32"/>
          <w:lang w:val="en-US" w:eastAsia="zh-CN"/>
        </w:rPr>
        <w:t>9</w:t>
      </w:r>
      <w:r>
        <w:rPr>
          <w:rFonts w:ascii="仿宋_GB2312" w:eastAsia="仿宋_GB2312"/>
          <w:sz w:val="32"/>
          <w:szCs w:val="32"/>
        </w:rPr>
        <w:t>.</w:t>
      </w:r>
      <w:r>
        <w:rPr>
          <w:rFonts w:hint="eastAsia" w:ascii="仿宋_GB2312" w:eastAsia="仿宋_GB2312"/>
          <w:sz w:val="32"/>
          <w:szCs w:val="32"/>
        </w:rPr>
        <w:t>教育（类）</w:t>
      </w:r>
      <w:r>
        <w:rPr>
          <w:rFonts w:hint="eastAsia" w:ascii="仿宋_GB2312" w:eastAsia="仿宋_GB2312"/>
          <w:sz w:val="32"/>
          <w:szCs w:val="32"/>
          <w:lang w:val="en-US" w:eastAsia="zh-CN"/>
        </w:rPr>
        <w:t>普通教育</w:t>
      </w:r>
      <w:r>
        <w:rPr>
          <w:rFonts w:hint="eastAsia" w:ascii="仿宋_GB2312" w:eastAsia="仿宋_GB2312"/>
          <w:sz w:val="32"/>
          <w:szCs w:val="32"/>
        </w:rPr>
        <w:t>（款）</w:t>
      </w:r>
      <w:r>
        <w:rPr>
          <w:rFonts w:hint="eastAsia" w:ascii="仿宋_GB2312" w:eastAsia="仿宋_GB2312"/>
          <w:sz w:val="32"/>
          <w:szCs w:val="32"/>
          <w:lang w:val="en-US" w:eastAsia="zh-CN"/>
        </w:rPr>
        <w:t>初中教育</w:t>
      </w:r>
      <w:r>
        <w:rPr>
          <w:rFonts w:hint="eastAsia" w:ascii="仿宋_GB2312" w:eastAsia="仿宋_GB2312"/>
          <w:sz w:val="32"/>
          <w:szCs w:val="32"/>
        </w:rPr>
        <w:t>（项）：指</w:t>
      </w:r>
      <w:r>
        <w:rPr>
          <w:rFonts w:hint="eastAsia" w:ascii="仿宋" w:hAnsi="仿宋" w:eastAsia="仿宋"/>
          <w:color w:val="000000"/>
          <w:sz w:val="32"/>
          <w:szCs w:val="32"/>
        </w:rPr>
        <w:t>反映各部门举办的</w:t>
      </w:r>
      <w:r>
        <w:rPr>
          <w:rFonts w:hint="eastAsia" w:ascii="仿宋" w:hAnsi="仿宋" w:eastAsia="仿宋"/>
          <w:color w:val="000000"/>
          <w:sz w:val="32"/>
          <w:szCs w:val="32"/>
          <w:lang w:val="en-US" w:eastAsia="zh-CN"/>
        </w:rPr>
        <w:t>初中</w:t>
      </w:r>
      <w:r>
        <w:rPr>
          <w:rFonts w:hint="eastAsia" w:ascii="仿宋" w:hAnsi="仿宋" w:eastAsia="仿宋"/>
          <w:color w:val="000000"/>
          <w:sz w:val="32"/>
          <w:szCs w:val="32"/>
        </w:rPr>
        <w:t>教育支出</w:t>
      </w:r>
      <w:r>
        <w:rPr>
          <w:rFonts w:hint="eastAsia" w:ascii="仿宋_GB2312" w:eastAsia="仿宋_GB2312"/>
          <w:sz w:val="32"/>
          <w:szCs w:val="32"/>
        </w:rPr>
        <w:t>。</w:t>
      </w:r>
    </w:p>
    <w:p w14:paraId="44E126F8">
      <w:pPr>
        <w:keepNext w:val="0"/>
        <w:keepLines w:val="0"/>
        <w:pageBreakBefore w:val="0"/>
        <w:widowControl w:val="0"/>
        <w:kinsoku/>
        <w:wordWrap/>
        <w:overflowPunct/>
        <w:topLinePunct w:val="0"/>
        <w:bidi w:val="0"/>
        <w:snapToGrid/>
        <w:spacing w:line="600" w:lineRule="exact"/>
        <w:ind w:firstLine="640" w:firstLineChars="200"/>
        <w:textAlignment w:val="auto"/>
        <w:outlineLvl w:val="9"/>
        <w:rPr>
          <w:rFonts w:hint="eastAsia" w:ascii="仿宋" w:hAnsi="仿宋" w:eastAsia="仿宋"/>
          <w:color w:val="000000"/>
          <w:sz w:val="32"/>
          <w:szCs w:val="32"/>
        </w:rPr>
      </w:pPr>
      <w:r>
        <w:rPr>
          <w:rFonts w:hint="eastAsia" w:ascii="仿宋" w:hAnsi="仿宋" w:eastAsia="仿宋"/>
          <w:color w:val="000000"/>
          <w:sz w:val="32"/>
          <w:szCs w:val="32"/>
          <w:lang w:val="en-US" w:eastAsia="zh-CN"/>
        </w:rPr>
        <w:t>10</w:t>
      </w:r>
      <w:r>
        <w:rPr>
          <w:rFonts w:hint="eastAsia" w:ascii="仿宋" w:hAnsi="仿宋" w:eastAsia="仿宋"/>
          <w:color w:val="000000"/>
          <w:sz w:val="32"/>
          <w:szCs w:val="32"/>
        </w:rPr>
        <w:t>.</w:t>
      </w:r>
      <w:r>
        <w:rPr>
          <w:rFonts w:ascii="仿宋" w:hAnsi="仿宋" w:eastAsia="仿宋"/>
          <w:color w:val="000000"/>
          <w:sz w:val="32"/>
          <w:szCs w:val="32"/>
        </w:rPr>
        <w:t>教育（类）</w:t>
      </w:r>
      <w:r>
        <w:rPr>
          <w:rFonts w:hint="eastAsia" w:ascii="仿宋" w:hAnsi="仿宋" w:eastAsia="仿宋"/>
          <w:color w:val="000000"/>
          <w:sz w:val="32"/>
          <w:szCs w:val="32"/>
        </w:rPr>
        <w:t>普通教育（款）其他普通教育支出（项）：指反映除上述项目以外其他用于普通教育方面的支出。</w:t>
      </w:r>
    </w:p>
    <w:p w14:paraId="3AC0CCF8">
      <w:pPr>
        <w:keepNext w:val="0"/>
        <w:keepLines w:val="0"/>
        <w:pageBreakBefore w:val="0"/>
        <w:widowControl w:val="0"/>
        <w:kinsoku/>
        <w:wordWrap/>
        <w:overflowPunct/>
        <w:topLinePunct w:val="0"/>
        <w:bidi w:val="0"/>
        <w:snapToGrid/>
        <w:spacing w:line="600" w:lineRule="exact"/>
        <w:ind w:firstLine="640" w:firstLineChars="200"/>
        <w:textAlignment w:val="auto"/>
        <w:outlineLvl w:val="9"/>
        <w:rPr>
          <w:rFonts w:ascii="仿宋" w:hAnsi="仿宋" w:eastAsia="仿宋"/>
          <w:sz w:val="32"/>
          <w:szCs w:val="32"/>
        </w:rPr>
      </w:pPr>
      <w:r>
        <w:rPr>
          <w:rFonts w:hint="eastAsia" w:ascii="仿宋" w:hAnsi="仿宋" w:eastAsia="仿宋"/>
          <w:sz w:val="32"/>
          <w:szCs w:val="32"/>
          <w:lang w:val="en-US" w:eastAsia="zh-CN"/>
        </w:rPr>
        <w:t>11.</w:t>
      </w:r>
      <w:r>
        <w:rPr>
          <w:rFonts w:ascii="仿宋" w:hAnsi="仿宋" w:eastAsia="仿宋"/>
          <w:sz w:val="32"/>
          <w:szCs w:val="32"/>
        </w:rPr>
        <w:t>教育（类）</w:t>
      </w:r>
      <w:r>
        <w:rPr>
          <w:rFonts w:hint="eastAsia" w:ascii="仿宋" w:hAnsi="仿宋" w:eastAsia="仿宋"/>
          <w:sz w:val="32"/>
          <w:szCs w:val="32"/>
        </w:rPr>
        <w:t>教育费附加安排的支出（款）其他教育费附加安排的支出（项）：指反映除上述项目以外教育附加支出。</w:t>
      </w:r>
    </w:p>
    <w:p w14:paraId="2FB19FED">
      <w:pPr>
        <w:keepNext w:val="0"/>
        <w:keepLines w:val="0"/>
        <w:pageBreakBefore w:val="0"/>
        <w:widowControl w:val="0"/>
        <w:kinsoku/>
        <w:wordWrap/>
        <w:overflowPunct/>
        <w:topLinePunct w:val="0"/>
        <w:bidi w:val="0"/>
        <w:snapToGrid/>
        <w:ind w:firstLine="640" w:firstLineChars="200"/>
        <w:textAlignment w:val="auto"/>
        <w:outlineLvl w:val="9"/>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z w:val="32"/>
          <w:szCs w:val="32"/>
        </w:rPr>
        <w:t>社会保障和就业（类）</w:t>
      </w:r>
      <w:r>
        <w:rPr>
          <w:rFonts w:hint="eastAsia" w:ascii="仿宋" w:hAnsi="仿宋" w:eastAsia="仿宋" w:cs="宋体"/>
          <w:kern w:val="0"/>
          <w:sz w:val="32"/>
          <w:szCs w:val="32"/>
        </w:rPr>
        <w:t>行政事业单位</w:t>
      </w:r>
      <w:r>
        <w:rPr>
          <w:rFonts w:hint="eastAsia" w:ascii="仿宋" w:hAnsi="仿宋" w:eastAsia="仿宋" w:cs="宋体"/>
          <w:kern w:val="0"/>
          <w:sz w:val="32"/>
          <w:szCs w:val="32"/>
          <w:lang w:val="en-US" w:eastAsia="zh-CN"/>
        </w:rPr>
        <w:t>养老支出</w:t>
      </w:r>
      <w:r>
        <w:rPr>
          <w:rFonts w:hint="eastAsia" w:ascii="仿宋_GB2312" w:eastAsia="仿宋_GB2312"/>
          <w:sz w:val="32"/>
          <w:szCs w:val="32"/>
        </w:rPr>
        <w:t>（款）</w:t>
      </w:r>
      <w:r>
        <w:rPr>
          <w:rFonts w:hint="eastAsia" w:ascii="仿宋" w:hAnsi="仿宋" w:eastAsia="仿宋"/>
          <w:color w:val="000000"/>
          <w:sz w:val="32"/>
          <w:szCs w:val="32"/>
        </w:rPr>
        <w:t>机关事业单位基本养老保险缴费支出</w:t>
      </w:r>
      <w:r>
        <w:rPr>
          <w:rFonts w:hint="eastAsia" w:ascii="仿宋_GB2312" w:eastAsia="仿宋_GB2312"/>
          <w:sz w:val="32"/>
          <w:szCs w:val="32"/>
        </w:rPr>
        <w:t>（项）：指</w:t>
      </w:r>
      <w:r>
        <w:rPr>
          <w:rFonts w:hint="eastAsia" w:ascii="仿宋" w:hAnsi="仿宋" w:eastAsia="仿宋"/>
          <w:color w:val="000000"/>
          <w:sz w:val="32"/>
          <w:szCs w:val="32"/>
        </w:rPr>
        <w:t>反映机关事业单位实施养老保险制度由单位缴纳的基本养老保险支出</w:t>
      </w:r>
      <w:r>
        <w:rPr>
          <w:rFonts w:hint="eastAsia" w:ascii="仿宋_GB2312" w:eastAsia="仿宋_GB2312"/>
          <w:sz w:val="32"/>
          <w:szCs w:val="32"/>
        </w:rPr>
        <w:t>。</w:t>
      </w:r>
    </w:p>
    <w:p w14:paraId="3E5E8888">
      <w:pPr>
        <w:keepNext w:val="0"/>
        <w:keepLines w:val="0"/>
        <w:pageBreakBefore w:val="0"/>
        <w:widowControl w:val="0"/>
        <w:kinsoku/>
        <w:wordWrap/>
        <w:overflowPunct/>
        <w:topLinePunct w:val="0"/>
        <w:bidi w:val="0"/>
        <w:snapToGrid/>
        <w:ind w:firstLine="640"/>
        <w:textAlignment w:val="auto"/>
        <w:outlineLvl w:val="9"/>
        <w:rPr>
          <w:rFonts w:ascii="仿宋" w:hAnsi="仿宋" w:eastAsia="仿宋"/>
          <w:color w:val="000000"/>
          <w:sz w:val="32"/>
          <w:szCs w:val="32"/>
        </w:rPr>
      </w:pPr>
      <w:r>
        <w:rPr>
          <w:rFonts w:hint="eastAsia" w:ascii="仿宋" w:hAnsi="仿宋" w:eastAsia="仿宋"/>
          <w:color w:val="000000"/>
          <w:sz w:val="32"/>
          <w:szCs w:val="32"/>
          <w:lang w:val="en-US" w:eastAsia="zh-CN"/>
        </w:rPr>
        <w:t>13.</w:t>
      </w:r>
      <w:r>
        <w:rPr>
          <w:rFonts w:hint="eastAsia" w:ascii="仿宋" w:hAnsi="仿宋" w:eastAsia="仿宋"/>
          <w:color w:val="000000"/>
          <w:sz w:val="32"/>
          <w:szCs w:val="32"/>
        </w:rPr>
        <w:t>社会保障和就业（类）</w:t>
      </w:r>
      <w:r>
        <w:rPr>
          <w:rFonts w:hint="eastAsia" w:ascii="仿宋" w:hAnsi="仿宋" w:eastAsia="仿宋" w:cs="宋体"/>
          <w:kern w:val="0"/>
          <w:sz w:val="32"/>
          <w:szCs w:val="32"/>
        </w:rPr>
        <w:t>行政事业单位</w:t>
      </w:r>
      <w:r>
        <w:rPr>
          <w:rFonts w:hint="eastAsia" w:ascii="仿宋" w:hAnsi="仿宋" w:eastAsia="仿宋" w:cs="宋体"/>
          <w:kern w:val="0"/>
          <w:sz w:val="32"/>
          <w:szCs w:val="32"/>
          <w:lang w:val="en-US" w:eastAsia="zh-CN"/>
        </w:rPr>
        <w:t>养老支出</w:t>
      </w:r>
      <w:r>
        <w:rPr>
          <w:rFonts w:hint="eastAsia" w:ascii="仿宋" w:hAnsi="仿宋" w:eastAsia="仿宋"/>
          <w:color w:val="000000"/>
          <w:sz w:val="32"/>
          <w:szCs w:val="32"/>
        </w:rPr>
        <w:t>（款）机关事业单位职业年金缴费支出（项）：反映机关事业单位实施养老保险制度由单位缴纳的职业年金支出。</w:t>
      </w:r>
    </w:p>
    <w:p w14:paraId="5D9FA9A6">
      <w:pPr>
        <w:keepNext w:val="0"/>
        <w:keepLines w:val="0"/>
        <w:pageBreakBefore w:val="0"/>
        <w:widowControl w:val="0"/>
        <w:kinsoku/>
        <w:wordWrap/>
        <w:overflowPunct/>
        <w:topLinePunct w:val="0"/>
        <w:bidi w:val="0"/>
        <w:snapToGrid/>
        <w:ind w:firstLine="640"/>
        <w:textAlignment w:val="auto"/>
        <w:outlineLvl w:val="9"/>
        <w:rPr>
          <w:rFonts w:ascii="仿宋" w:hAnsi="仿宋" w:eastAsia="仿宋"/>
          <w:color w:val="000000"/>
          <w:sz w:val="32"/>
          <w:szCs w:val="32"/>
        </w:rPr>
      </w:pPr>
      <w:bookmarkStart w:id="66" w:name="_Toc13482"/>
      <w:bookmarkStart w:id="67" w:name="_Toc30172"/>
      <w:bookmarkStart w:id="68" w:name="_Toc12690"/>
      <w:r>
        <w:rPr>
          <w:rFonts w:hint="eastAsia" w:ascii="仿宋" w:hAnsi="仿宋" w:eastAsia="仿宋"/>
          <w:color w:val="000000"/>
          <w:sz w:val="32"/>
          <w:szCs w:val="32"/>
          <w:lang w:val="en-US" w:eastAsia="zh-CN"/>
        </w:rPr>
        <w:t>14</w:t>
      </w:r>
      <w:r>
        <w:rPr>
          <w:rFonts w:hint="eastAsia" w:ascii="仿宋" w:hAnsi="仿宋" w:eastAsia="仿宋"/>
          <w:color w:val="000000"/>
          <w:sz w:val="32"/>
          <w:szCs w:val="32"/>
        </w:rPr>
        <w:t>.社会保障和就业（类）其他社会保障和就业（款）</w:t>
      </w:r>
      <w:bookmarkEnd w:id="66"/>
      <w:bookmarkEnd w:id="67"/>
      <w:bookmarkEnd w:id="68"/>
    </w:p>
    <w:p w14:paraId="4E62E2C4">
      <w:pPr>
        <w:pStyle w:val="5"/>
        <w:keepNext w:val="0"/>
        <w:keepLines w:val="0"/>
        <w:pageBreakBefore w:val="0"/>
        <w:widowControl w:val="0"/>
        <w:kinsoku/>
        <w:wordWrap/>
        <w:overflowPunct/>
        <w:topLinePunct w:val="0"/>
        <w:bidi w:val="0"/>
        <w:snapToGrid/>
        <w:spacing w:before="93"/>
        <w:textAlignment w:val="auto"/>
        <w:outlineLvl w:val="9"/>
        <w:rPr>
          <w:rFonts w:ascii="仿宋" w:hAnsi="仿宋" w:eastAsia="仿宋"/>
          <w:color w:val="000000"/>
          <w:sz w:val="32"/>
          <w:szCs w:val="32"/>
        </w:rPr>
      </w:pPr>
      <w:r>
        <w:rPr>
          <w:rFonts w:hint="eastAsia" w:ascii="仿宋" w:hAnsi="仿宋" w:eastAsia="仿宋"/>
          <w:color w:val="000000"/>
          <w:sz w:val="32"/>
          <w:szCs w:val="32"/>
        </w:rPr>
        <w:t>其他社会保障和就业支出（项）：反映除上述项目以外其他用于行政事业单位养老方面的支出。</w:t>
      </w:r>
    </w:p>
    <w:p w14:paraId="295BC01D">
      <w:pPr>
        <w:keepNext w:val="0"/>
        <w:keepLines w:val="0"/>
        <w:pageBreakBefore w:val="0"/>
        <w:widowControl w:val="0"/>
        <w:kinsoku/>
        <w:wordWrap/>
        <w:overflowPunct/>
        <w:topLinePunct w:val="0"/>
        <w:bidi w:val="0"/>
        <w:snapToGrid/>
        <w:spacing w:line="600" w:lineRule="exact"/>
        <w:ind w:firstLine="643" w:firstLineChars="200"/>
        <w:textAlignment w:val="auto"/>
        <w:outlineLvl w:val="9"/>
        <w:rPr>
          <w:rStyle w:val="17"/>
          <w:rFonts w:ascii="仿宋" w:hAnsi="仿宋" w:eastAsia="仿宋"/>
          <w:b w:val="0"/>
          <w:bCs/>
          <w:color w:val="000000"/>
          <w:sz w:val="32"/>
          <w:szCs w:val="32"/>
        </w:rPr>
      </w:pPr>
      <w:r>
        <w:rPr>
          <w:rStyle w:val="17"/>
          <w:rFonts w:hint="eastAsia" w:ascii="仿宋" w:hAnsi="仿宋" w:eastAsia="仿宋"/>
          <w:bCs/>
          <w:color w:val="000000"/>
          <w:sz w:val="32"/>
          <w:szCs w:val="32"/>
        </w:rPr>
        <w:t>1</w:t>
      </w:r>
      <w:r>
        <w:rPr>
          <w:rStyle w:val="17"/>
          <w:rFonts w:hint="eastAsia" w:ascii="仿宋" w:hAnsi="仿宋" w:eastAsia="仿宋"/>
          <w:bCs/>
          <w:color w:val="000000"/>
          <w:sz w:val="32"/>
          <w:szCs w:val="32"/>
          <w:lang w:val="en-US" w:eastAsia="zh-CN"/>
        </w:rPr>
        <w:t>5</w:t>
      </w:r>
      <w:r>
        <w:rPr>
          <w:rStyle w:val="17"/>
          <w:rFonts w:ascii="仿宋" w:hAnsi="仿宋" w:eastAsia="仿宋"/>
          <w:bCs/>
          <w:color w:val="000000"/>
          <w:sz w:val="32"/>
          <w:szCs w:val="32"/>
        </w:rPr>
        <w:t>.</w:t>
      </w:r>
      <w:r>
        <w:rPr>
          <w:rFonts w:hint="eastAsia" w:ascii="仿宋" w:hAnsi="仿宋" w:eastAsia="仿宋" w:cs="宋体"/>
          <w:color w:val="000000"/>
          <w:kern w:val="0"/>
          <w:sz w:val="32"/>
          <w:szCs w:val="32"/>
        </w:rPr>
        <w:t xml:space="preserve"> </w:t>
      </w:r>
      <w:r>
        <w:rPr>
          <w:rFonts w:hint="eastAsia" w:ascii="仿宋" w:hAnsi="仿宋" w:eastAsia="仿宋" w:cs="宋体"/>
          <w:color w:val="000000"/>
          <w:kern w:val="0"/>
          <w:sz w:val="32"/>
          <w:szCs w:val="32"/>
          <w:lang w:val="en-US" w:eastAsia="zh-CN"/>
        </w:rPr>
        <w:t>卫生健康</w:t>
      </w:r>
      <w:r>
        <w:rPr>
          <w:rFonts w:hint="eastAsia" w:ascii="仿宋" w:hAnsi="仿宋" w:eastAsia="仿宋" w:cs="宋体"/>
          <w:color w:val="000000"/>
          <w:kern w:val="0"/>
          <w:sz w:val="32"/>
          <w:szCs w:val="32"/>
        </w:rPr>
        <w:t>（类）行政事业单位医疗（款）事业单位医疗（项）：反映财政部门安排的事业单位基本医疗保险缴费经费，未参加医疗保险的事业单位的公费医疗经费，按国家规定享受离休人员待遇的医疗经费。</w:t>
      </w:r>
    </w:p>
    <w:p w14:paraId="2360605E">
      <w:pPr>
        <w:pStyle w:val="5"/>
        <w:keepNext w:val="0"/>
        <w:keepLines w:val="0"/>
        <w:pageBreakBefore w:val="0"/>
        <w:widowControl w:val="0"/>
        <w:kinsoku/>
        <w:wordWrap/>
        <w:overflowPunct/>
        <w:topLinePunct w:val="0"/>
        <w:bidi w:val="0"/>
        <w:snapToGrid/>
        <w:spacing w:before="93"/>
        <w:ind w:firstLine="643" w:firstLineChars="200"/>
        <w:textAlignment w:val="auto"/>
        <w:outlineLvl w:val="9"/>
      </w:pPr>
      <w:r>
        <w:rPr>
          <w:rStyle w:val="17"/>
          <w:rFonts w:hint="eastAsia" w:ascii="仿宋" w:hAnsi="仿宋" w:eastAsia="仿宋"/>
          <w:bCs/>
          <w:color w:val="000000"/>
          <w:sz w:val="32"/>
          <w:szCs w:val="32"/>
          <w:lang w:val="en-US" w:eastAsia="zh-CN"/>
        </w:rPr>
        <w:t>16</w:t>
      </w:r>
      <w:r>
        <w:rPr>
          <w:rStyle w:val="17"/>
          <w:rFonts w:ascii="仿宋" w:hAnsi="仿宋" w:eastAsia="仿宋"/>
          <w:bCs/>
          <w:color w:val="000000"/>
          <w:sz w:val="32"/>
          <w:szCs w:val="32"/>
        </w:rPr>
        <w:t>.</w:t>
      </w:r>
      <w:r>
        <w:rPr>
          <w:rFonts w:hint="eastAsia" w:ascii="仿宋" w:hAnsi="仿宋" w:eastAsia="仿宋" w:cs="宋体"/>
          <w:color w:val="000000"/>
          <w:kern w:val="0"/>
          <w:sz w:val="32"/>
          <w:szCs w:val="32"/>
        </w:rPr>
        <w:t xml:space="preserve"> </w:t>
      </w:r>
      <w:r>
        <w:rPr>
          <w:rFonts w:hint="eastAsia" w:hAnsi="宋体" w:cs="宋体"/>
          <w:color w:val="000000"/>
          <w:sz w:val="32"/>
        </w:rPr>
        <w:t>卫生健康（类）行政事业单位医疗（款）公务员医疗补助（项）：反映财政部门安排的公务员医疗补助经费。</w:t>
      </w:r>
    </w:p>
    <w:p w14:paraId="567A33DD">
      <w:pPr>
        <w:keepNext w:val="0"/>
        <w:keepLines w:val="0"/>
        <w:pageBreakBefore w:val="0"/>
        <w:widowControl w:val="0"/>
        <w:kinsoku/>
        <w:wordWrap/>
        <w:overflowPunct/>
        <w:topLinePunct w:val="0"/>
        <w:bidi w:val="0"/>
        <w:snapToGrid/>
        <w:ind w:firstLine="640" w:firstLineChars="200"/>
        <w:textAlignment w:val="auto"/>
        <w:outlineLvl w:val="9"/>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17</w:t>
      </w:r>
      <w:r>
        <w:rPr>
          <w:rFonts w:hint="eastAsia" w:ascii="仿宋" w:hAnsi="仿宋" w:eastAsia="仿宋"/>
          <w:color w:val="000000"/>
          <w:sz w:val="32"/>
          <w:szCs w:val="32"/>
        </w:rPr>
        <w:t>.住房保障</w:t>
      </w:r>
      <w:r>
        <w:rPr>
          <w:rFonts w:hint="eastAsia" w:ascii="仿宋" w:hAnsi="仿宋" w:eastAsia="仿宋"/>
          <w:color w:val="000000"/>
          <w:sz w:val="32"/>
          <w:szCs w:val="32"/>
          <w:lang w:val="en-US" w:eastAsia="zh-CN"/>
        </w:rPr>
        <w:t>支出</w:t>
      </w:r>
      <w:r>
        <w:rPr>
          <w:rFonts w:hint="eastAsia" w:ascii="仿宋" w:hAnsi="仿宋" w:eastAsia="仿宋"/>
          <w:color w:val="000000"/>
          <w:sz w:val="32"/>
          <w:szCs w:val="32"/>
        </w:rPr>
        <w:t>（类）住房改革支出（款）住房公积金（项）：指反映行政事业单位按人</w:t>
      </w:r>
      <w:r>
        <w:rPr>
          <w:rFonts w:hint="eastAsia" w:ascii="仿宋" w:hAnsi="仿宋" w:eastAsia="仿宋"/>
          <w:color w:val="000000"/>
          <w:sz w:val="32"/>
          <w:szCs w:val="32"/>
          <w:lang w:val="en-US" w:eastAsia="zh-CN"/>
        </w:rPr>
        <w:t>力</w:t>
      </w:r>
      <w:r>
        <w:rPr>
          <w:rFonts w:hint="eastAsia" w:ascii="仿宋" w:hAnsi="仿宋" w:eastAsia="仿宋"/>
          <w:color w:val="000000"/>
          <w:sz w:val="32"/>
          <w:szCs w:val="32"/>
        </w:rPr>
        <w:t>资源和社会保障部、财政部规定的基本工资和津贴补贴以及规定比例为职工缴纳的住房公积金</w:t>
      </w:r>
      <w:r>
        <w:rPr>
          <w:rFonts w:hint="eastAsia" w:ascii="仿宋" w:hAnsi="仿宋" w:eastAsia="仿宋"/>
          <w:color w:val="000000"/>
          <w:sz w:val="32"/>
          <w:szCs w:val="32"/>
          <w:lang w:eastAsia="zh-CN"/>
        </w:rPr>
        <w:t>。</w:t>
      </w:r>
    </w:p>
    <w:p w14:paraId="75038711">
      <w:pPr>
        <w:keepNext w:val="0"/>
        <w:keepLines w:val="0"/>
        <w:pageBreakBefore w:val="0"/>
        <w:widowControl w:val="0"/>
        <w:kinsoku/>
        <w:wordWrap/>
        <w:overflowPunct/>
        <w:topLinePunct w:val="0"/>
        <w:bidi w:val="0"/>
        <w:snapToGrid/>
        <w:ind w:firstLine="640" w:firstLineChars="200"/>
        <w:textAlignment w:val="auto"/>
        <w:outlineLvl w:val="9"/>
        <w:rPr>
          <w:rFonts w:ascii="仿宋_GB2312" w:eastAsia="仿宋_GB2312"/>
          <w:sz w:val="32"/>
          <w:szCs w:val="32"/>
        </w:rPr>
      </w:pPr>
      <w:r>
        <w:rPr>
          <w:rFonts w:hint="eastAsia" w:ascii="仿宋_GB2312" w:eastAsia="仿宋_GB2312"/>
          <w:sz w:val="32"/>
          <w:szCs w:val="32"/>
          <w:lang w:val="en-US" w:eastAsia="zh-CN"/>
        </w:rPr>
        <w:t>18.</w:t>
      </w:r>
      <w:r>
        <w:rPr>
          <w:rFonts w:hint="eastAsia" w:ascii="仿宋_GB2312" w:eastAsia="仿宋_GB2312"/>
          <w:sz w:val="32"/>
          <w:szCs w:val="32"/>
        </w:rPr>
        <w:t>基本支出：指为保障机构正常运转、完成日常工作任务而发生的人员支出和公用支出。</w:t>
      </w:r>
    </w:p>
    <w:p w14:paraId="47CA4945">
      <w:pPr>
        <w:keepNext w:val="0"/>
        <w:keepLines w:val="0"/>
        <w:pageBreakBefore w:val="0"/>
        <w:widowControl w:val="0"/>
        <w:kinsoku/>
        <w:wordWrap/>
        <w:overflowPunct/>
        <w:topLinePunct w:val="0"/>
        <w:bidi w:val="0"/>
        <w:snapToGrid/>
        <w:ind w:firstLine="640" w:firstLineChars="200"/>
        <w:textAlignment w:val="auto"/>
        <w:outlineLvl w:val="9"/>
        <w:rPr>
          <w:rFonts w:ascii="仿宋_GB2312" w:eastAsia="仿宋_GB2312"/>
          <w:sz w:val="32"/>
          <w:szCs w:val="32"/>
        </w:rPr>
      </w:pPr>
      <w:r>
        <w:rPr>
          <w:rFonts w:hint="eastAsia" w:ascii="仿宋_GB2312" w:eastAsia="仿宋_GB2312"/>
          <w:sz w:val="32"/>
          <w:szCs w:val="32"/>
          <w:lang w:val="en-US" w:eastAsia="zh-CN"/>
        </w:rPr>
        <w:t>19</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p>
    <w:p w14:paraId="1E20F6C1">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仿宋_GB2312" w:eastAsia="仿宋_GB2312"/>
          <w:color w:val="auto"/>
          <w:sz w:val="32"/>
          <w:szCs w:val="32"/>
        </w:rPr>
      </w:pPr>
      <w:r>
        <w:rPr>
          <w:rFonts w:hint="eastAsia" w:ascii="仿宋_GB2312" w:eastAsia="仿宋_GB2312"/>
          <w:color w:val="auto"/>
          <w:sz w:val="32"/>
          <w:szCs w:val="32"/>
          <w:lang w:val="en-US" w:eastAsia="zh-CN"/>
        </w:rPr>
        <w:t>20</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0928846D">
      <w:pPr>
        <w:pStyle w:val="26"/>
        <w:keepNext w:val="0"/>
        <w:keepLines w:val="0"/>
        <w:pageBreakBefore w:val="0"/>
        <w:widowControl w:val="0"/>
        <w:kinsoku/>
        <w:wordWrap/>
        <w:overflowPunct/>
        <w:topLinePunct w:val="0"/>
        <w:bidi w:val="0"/>
        <w:snapToGrid/>
        <w:spacing w:line="560" w:lineRule="exact"/>
        <w:ind w:firstLine="640" w:firstLineChars="200"/>
        <w:textAlignment w:val="auto"/>
        <w:outlineLvl w:val="9"/>
        <w:rPr>
          <w:rFonts w:ascii="黑体" w:hAnsi="黑体" w:eastAsia="黑体"/>
          <w:sz w:val="44"/>
          <w:szCs w:val="44"/>
        </w:rPr>
      </w:pPr>
      <w:r>
        <w:rPr>
          <w:rFonts w:hint="eastAsia" w:ascii="仿宋_GB2312" w:eastAsia="仿宋_GB2312"/>
          <w:color w:val="auto"/>
          <w:sz w:val="32"/>
          <w:szCs w:val="32"/>
          <w:lang w:val="en-US" w:eastAsia="zh-CN"/>
        </w:rPr>
        <w:t>21</w:t>
      </w:r>
      <w:r>
        <w:rPr>
          <w:rFonts w:ascii="仿宋_GB2312" w:eastAsia="仿宋_GB2312"/>
          <w:color w:val="auto"/>
          <w:sz w:val="32"/>
          <w:szCs w:val="32"/>
        </w:rPr>
        <w:t>.</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5D919F0">
      <w:pPr>
        <w:ind w:firstLine="640" w:firstLineChars="200"/>
        <w:rPr>
          <w:rFonts w:ascii="仿宋_GB2312" w:eastAsia="仿宋_GB2312"/>
          <w:sz w:val="32"/>
          <w:szCs w:val="32"/>
        </w:rPr>
      </w:pPr>
    </w:p>
    <w:p w14:paraId="5130C255">
      <w:pPr>
        <w:ind w:firstLine="640" w:firstLineChars="200"/>
        <w:rPr>
          <w:rFonts w:ascii="仿宋_GB2312" w:eastAsia="仿宋_GB2312"/>
          <w:sz w:val="32"/>
          <w:szCs w:val="32"/>
        </w:rPr>
      </w:pPr>
    </w:p>
    <w:p w14:paraId="5601C734">
      <w:pPr>
        <w:ind w:firstLine="640" w:firstLineChars="200"/>
        <w:rPr>
          <w:rFonts w:ascii="仿宋_GB2312" w:eastAsia="仿宋_GB2312"/>
          <w:sz w:val="32"/>
          <w:szCs w:val="32"/>
        </w:rPr>
      </w:pPr>
    </w:p>
    <w:p w14:paraId="44B0D7E1">
      <w:pPr>
        <w:ind w:firstLine="640" w:firstLineChars="200"/>
        <w:rPr>
          <w:rFonts w:ascii="仿宋_GB2312" w:eastAsia="仿宋_GB2312"/>
          <w:sz w:val="32"/>
          <w:szCs w:val="32"/>
        </w:rPr>
      </w:pPr>
    </w:p>
    <w:p w14:paraId="3809CB1D">
      <w:pPr>
        <w:ind w:firstLine="643" w:firstLineChars="200"/>
        <w:rPr>
          <w:rFonts w:ascii="仿宋" w:hAnsi="仿宋" w:eastAsia="仿宋"/>
          <w:b/>
          <w:sz w:val="32"/>
          <w:szCs w:val="32"/>
        </w:rPr>
      </w:pPr>
    </w:p>
    <w:p w14:paraId="5011980F">
      <w:pPr>
        <w:spacing w:line="600" w:lineRule="exact"/>
        <w:jc w:val="center"/>
        <w:outlineLvl w:val="0"/>
        <w:rPr>
          <w:rStyle w:val="28"/>
          <w:rFonts w:ascii="黑体" w:hAnsi="黑体" w:eastAsia="黑体"/>
          <w:b w:val="0"/>
        </w:rPr>
      </w:pPr>
      <w:bookmarkStart w:id="69" w:name="_Toc15377226"/>
      <w:r>
        <w:rPr>
          <w:rFonts w:ascii="宋体"/>
          <w:b/>
          <w:sz w:val="44"/>
          <w:szCs w:val="44"/>
        </w:rPr>
        <w:br w:type="page"/>
      </w:r>
      <w:bookmarkStart w:id="70" w:name="_Toc15396614"/>
      <w:bookmarkStart w:id="71" w:name="_Toc25267"/>
      <w:r>
        <w:rPr>
          <w:rFonts w:hint="eastAsia" w:ascii="黑体" w:hAnsi="黑体" w:eastAsia="黑体"/>
          <w:sz w:val="44"/>
          <w:szCs w:val="44"/>
        </w:rPr>
        <w:t>第</w:t>
      </w:r>
      <w:r>
        <w:rPr>
          <w:rStyle w:val="28"/>
          <w:rFonts w:hint="eastAsia" w:ascii="黑体" w:hAnsi="黑体" w:eastAsia="黑体"/>
          <w:b w:val="0"/>
        </w:rPr>
        <w:t>四部分 附件</w:t>
      </w:r>
      <w:bookmarkEnd w:id="70"/>
      <w:bookmarkEnd w:id="71"/>
    </w:p>
    <w:p w14:paraId="67FA8E15">
      <w:pPr>
        <w:spacing w:line="600" w:lineRule="exact"/>
        <w:ind w:firstLine="960" w:firstLineChars="300"/>
        <w:jc w:val="both"/>
        <w:outlineLvl w:val="1"/>
        <w:rPr>
          <w:rFonts w:ascii="黑体" w:hAnsi="黑体" w:eastAsia="黑体"/>
          <w:color w:val="FF0000"/>
          <w:sz w:val="44"/>
          <w:szCs w:val="44"/>
        </w:rPr>
      </w:pPr>
      <w:bookmarkStart w:id="72" w:name="_Toc6097"/>
      <w:bookmarkStart w:id="73" w:name="_Toc15396618"/>
      <w:r>
        <w:rPr>
          <w:rFonts w:hint="eastAsia"/>
          <w:sz w:val="32"/>
          <w:szCs w:val="32"/>
        </w:rPr>
        <w:t>部门预算项目支出绩效自评表（2023年度）</w:t>
      </w:r>
      <w:bookmarkEnd w:id="72"/>
    </w:p>
    <w:p w14:paraId="01776ACB">
      <w:pPr>
        <w:keepNext w:val="0"/>
        <w:keepLines w:val="0"/>
        <w:widowControl/>
        <w:suppressLineNumbers w:val="0"/>
        <w:jc w:val="left"/>
      </w:pPr>
    </w:p>
    <w:p w14:paraId="3584370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8755" cy="3886835"/>
            <wp:effectExtent l="0" t="0" r="17145" b="1841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3"/>
                    <a:stretch>
                      <a:fillRect/>
                    </a:stretch>
                  </pic:blipFill>
                  <pic:spPr>
                    <a:xfrm>
                      <a:off x="0" y="0"/>
                      <a:ext cx="5278755" cy="3886835"/>
                    </a:xfrm>
                    <a:prstGeom prst="rect">
                      <a:avLst/>
                    </a:prstGeom>
                    <a:noFill/>
                    <a:ln w="9525">
                      <a:noFill/>
                    </a:ln>
                  </pic:spPr>
                </pic:pic>
              </a:graphicData>
            </a:graphic>
          </wp:inline>
        </w:drawing>
      </w:r>
    </w:p>
    <w:p w14:paraId="23B28A71">
      <w:pPr>
        <w:keepNext w:val="0"/>
        <w:keepLines w:val="0"/>
        <w:widowControl/>
        <w:suppressLineNumbers w:val="0"/>
        <w:jc w:val="left"/>
      </w:pPr>
    </w:p>
    <w:p w14:paraId="369BAD4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0340" cy="4068445"/>
            <wp:effectExtent l="0" t="0" r="16510" b="8255"/>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14"/>
                    <a:stretch>
                      <a:fillRect/>
                    </a:stretch>
                  </pic:blipFill>
                  <pic:spPr>
                    <a:xfrm>
                      <a:off x="0" y="0"/>
                      <a:ext cx="5260340" cy="4068445"/>
                    </a:xfrm>
                    <a:prstGeom prst="rect">
                      <a:avLst/>
                    </a:prstGeom>
                    <a:noFill/>
                    <a:ln w="9525">
                      <a:noFill/>
                    </a:ln>
                  </pic:spPr>
                </pic:pic>
              </a:graphicData>
            </a:graphic>
          </wp:inline>
        </w:drawing>
      </w:r>
    </w:p>
    <w:p w14:paraId="2720B228">
      <w:pPr>
        <w:keepNext w:val="0"/>
        <w:keepLines w:val="0"/>
        <w:widowControl/>
        <w:suppressLineNumbers w:val="0"/>
        <w:jc w:val="left"/>
      </w:pPr>
    </w:p>
    <w:p w14:paraId="62428C6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7800" cy="3738880"/>
            <wp:effectExtent l="0" t="0" r="0" b="1397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15"/>
                    <a:stretch>
                      <a:fillRect/>
                    </a:stretch>
                  </pic:blipFill>
                  <pic:spPr>
                    <a:xfrm>
                      <a:off x="0" y="0"/>
                      <a:ext cx="5257800" cy="3738880"/>
                    </a:xfrm>
                    <a:prstGeom prst="rect">
                      <a:avLst/>
                    </a:prstGeom>
                    <a:noFill/>
                    <a:ln w="9525">
                      <a:noFill/>
                    </a:ln>
                  </pic:spPr>
                </pic:pic>
              </a:graphicData>
            </a:graphic>
          </wp:inline>
        </w:drawing>
      </w:r>
    </w:p>
    <w:p w14:paraId="560D3068">
      <w:pPr>
        <w:keepNext w:val="0"/>
        <w:keepLines w:val="0"/>
        <w:widowControl/>
        <w:suppressLineNumbers w:val="0"/>
        <w:jc w:val="left"/>
      </w:pPr>
    </w:p>
    <w:p w14:paraId="2AF60623">
      <w:pPr>
        <w:keepNext w:val="0"/>
        <w:keepLines w:val="0"/>
        <w:widowControl/>
        <w:suppressLineNumbers w:val="0"/>
        <w:jc w:val="left"/>
      </w:pPr>
    </w:p>
    <w:p w14:paraId="391853CC">
      <w:pPr>
        <w:keepNext w:val="0"/>
        <w:keepLines w:val="0"/>
        <w:widowControl/>
        <w:suppressLineNumbers w:val="0"/>
        <w:jc w:val="left"/>
      </w:pPr>
    </w:p>
    <w:p w14:paraId="3FEE4CE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48910" cy="3729990"/>
            <wp:effectExtent l="0" t="0" r="8890" b="3810"/>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6"/>
                    <pic:cNvPicPr>
                      <a:picLocks noChangeAspect="1"/>
                    </pic:cNvPicPr>
                  </pic:nvPicPr>
                  <pic:blipFill>
                    <a:blip r:embed="rId16"/>
                    <a:stretch>
                      <a:fillRect/>
                    </a:stretch>
                  </pic:blipFill>
                  <pic:spPr>
                    <a:xfrm>
                      <a:off x="0" y="0"/>
                      <a:ext cx="5248910" cy="3729990"/>
                    </a:xfrm>
                    <a:prstGeom prst="rect">
                      <a:avLst/>
                    </a:prstGeom>
                    <a:noFill/>
                    <a:ln w="9525">
                      <a:noFill/>
                    </a:ln>
                  </pic:spPr>
                </pic:pic>
              </a:graphicData>
            </a:graphic>
          </wp:inline>
        </w:drawing>
      </w:r>
    </w:p>
    <w:p w14:paraId="62E2943A">
      <w:pPr>
        <w:keepNext w:val="0"/>
        <w:keepLines w:val="0"/>
        <w:widowControl/>
        <w:suppressLineNumbers w:val="0"/>
        <w:jc w:val="left"/>
      </w:pPr>
    </w:p>
    <w:p w14:paraId="2A930A4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7485" cy="3176905"/>
            <wp:effectExtent l="0" t="0" r="18415" b="4445"/>
            <wp:docPr id="2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56"/>
                    <pic:cNvPicPr>
                      <a:picLocks noChangeAspect="1"/>
                    </pic:cNvPicPr>
                  </pic:nvPicPr>
                  <pic:blipFill>
                    <a:blip r:embed="rId17"/>
                    <a:stretch>
                      <a:fillRect/>
                    </a:stretch>
                  </pic:blipFill>
                  <pic:spPr>
                    <a:xfrm>
                      <a:off x="0" y="0"/>
                      <a:ext cx="5277485" cy="3176905"/>
                    </a:xfrm>
                    <a:prstGeom prst="rect">
                      <a:avLst/>
                    </a:prstGeom>
                    <a:noFill/>
                    <a:ln w="9525">
                      <a:noFill/>
                    </a:ln>
                  </pic:spPr>
                </pic:pic>
              </a:graphicData>
            </a:graphic>
          </wp:inline>
        </w:drawing>
      </w:r>
    </w:p>
    <w:p w14:paraId="25AC3A2E">
      <w:pPr>
        <w:keepNext w:val="0"/>
        <w:keepLines w:val="0"/>
        <w:widowControl/>
        <w:suppressLineNumbers w:val="0"/>
        <w:jc w:val="left"/>
      </w:pPr>
    </w:p>
    <w:p w14:paraId="7F72488D">
      <w:pPr>
        <w:keepNext w:val="0"/>
        <w:keepLines w:val="0"/>
        <w:widowControl/>
        <w:suppressLineNumbers w:val="0"/>
        <w:jc w:val="left"/>
      </w:pPr>
    </w:p>
    <w:p w14:paraId="512646E7">
      <w:pPr>
        <w:keepNext w:val="0"/>
        <w:keepLines w:val="0"/>
        <w:widowControl/>
        <w:suppressLineNumbers w:val="0"/>
        <w:jc w:val="left"/>
      </w:pPr>
    </w:p>
    <w:p w14:paraId="38763701">
      <w:pPr>
        <w:keepNext w:val="0"/>
        <w:keepLines w:val="0"/>
        <w:widowControl/>
        <w:suppressLineNumbers w:val="0"/>
        <w:jc w:val="left"/>
      </w:pPr>
    </w:p>
    <w:p w14:paraId="191C849B">
      <w:pPr>
        <w:keepNext w:val="0"/>
        <w:keepLines w:val="0"/>
        <w:widowControl/>
        <w:suppressLineNumbers w:val="0"/>
        <w:jc w:val="left"/>
      </w:pPr>
    </w:p>
    <w:p w14:paraId="2EE93DB2">
      <w:pPr>
        <w:keepNext w:val="0"/>
        <w:keepLines w:val="0"/>
        <w:widowControl/>
        <w:suppressLineNumbers w:val="0"/>
        <w:jc w:val="left"/>
      </w:pPr>
    </w:p>
    <w:p w14:paraId="7B9E1737">
      <w:pPr>
        <w:keepNext w:val="0"/>
        <w:keepLines w:val="0"/>
        <w:widowControl/>
        <w:suppressLineNumbers w:val="0"/>
        <w:jc w:val="left"/>
      </w:pPr>
    </w:p>
    <w:p w14:paraId="0607F0C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9390" cy="3807460"/>
            <wp:effectExtent l="0" t="0" r="16510" b="2540"/>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18"/>
                    <a:stretch>
                      <a:fillRect/>
                    </a:stretch>
                  </pic:blipFill>
                  <pic:spPr>
                    <a:xfrm>
                      <a:off x="0" y="0"/>
                      <a:ext cx="5279390" cy="3807460"/>
                    </a:xfrm>
                    <a:prstGeom prst="rect">
                      <a:avLst/>
                    </a:prstGeom>
                    <a:noFill/>
                    <a:ln w="9525">
                      <a:noFill/>
                    </a:ln>
                  </pic:spPr>
                </pic:pic>
              </a:graphicData>
            </a:graphic>
          </wp:inline>
        </w:drawing>
      </w:r>
    </w:p>
    <w:p w14:paraId="1590C36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92725" cy="3961765"/>
            <wp:effectExtent l="0" t="0" r="3175" b="635"/>
            <wp:docPr id="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56"/>
                    <pic:cNvPicPr>
                      <a:picLocks noChangeAspect="1"/>
                    </pic:cNvPicPr>
                  </pic:nvPicPr>
                  <pic:blipFill>
                    <a:blip r:embed="rId19"/>
                    <a:stretch>
                      <a:fillRect/>
                    </a:stretch>
                  </pic:blipFill>
                  <pic:spPr>
                    <a:xfrm>
                      <a:off x="0" y="0"/>
                      <a:ext cx="5292725" cy="3961765"/>
                    </a:xfrm>
                    <a:prstGeom prst="rect">
                      <a:avLst/>
                    </a:prstGeom>
                    <a:noFill/>
                    <a:ln w="9525">
                      <a:noFill/>
                    </a:ln>
                  </pic:spPr>
                </pic:pic>
              </a:graphicData>
            </a:graphic>
          </wp:inline>
        </w:drawing>
      </w:r>
    </w:p>
    <w:p w14:paraId="76FD859F">
      <w:pPr>
        <w:pStyle w:val="14"/>
        <w:spacing w:line="560" w:lineRule="exact"/>
        <w:ind w:left="0" w:leftChars="0" w:firstLine="640"/>
        <w:rPr>
          <w:sz w:val="32"/>
        </w:rPr>
      </w:pPr>
    </w:p>
    <w:p w14:paraId="0DAEB5D9">
      <w:pPr>
        <w:pStyle w:val="14"/>
        <w:spacing w:line="240" w:lineRule="auto"/>
        <w:ind w:left="0" w:leftChars="0" w:firstLine="0" w:firstLineChars="0"/>
        <w:rPr>
          <w:rFonts w:hint="eastAsia" w:hAnsi="Calibri" w:eastAsia="仿宋_GB2312" w:cs="仿宋"/>
          <w:sz w:val="32"/>
          <w:lang w:val="en-US" w:eastAsia="zh-CN"/>
        </w:rPr>
      </w:pPr>
      <w:bookmarkStart w:id="100" w:name="_GoBack"/>
      <w:bookmarkEnd w:id="100"/>
    </w:p>
    <w:p w14:paraId="7B919702">
      <w:pPr>
        <w:keepNext w:val="0"/>
        <w:keepLines w:val="0"/>
        <w:widowControl/>
        <w:suppressLineNumbers w:val="0"/>
        <w:jc w:val="left"/>
      </w:pPr>
    </w:p>
    <w:p w14:paraId="3F5410D6">
      <w:pPr>
        <w:pStyle w:val="14"/>
        <w:spacing w:line="560" w:lineRule="exact"/>
        <w:ind w:left="0" w:leftChars="0" w:firstLine="2640" w:firstLineChars="600"/>
        <w:outlineLvl w:val="0"/>
        <w:rPr>
          <w:rStyle w:val="28"/>
          <w:rFonts w:hint="eastAsia" w:ascii="黑体" w:hAnsi="黑体" w:eastAsia="黑体"/>
          <w:b w:val="0"/>
        </w:rPr>
      </w:pPr>
      <w:bookmarkStart w:id="74" w:name="_Toc28976"/>
      <w:r>
        <w:rPr>
          <w:rFonts w:hint="eastAsia" w:ascii="黑体" w:hAnsi="黑体" w:eastAsia="黑体"/>
          <w:sz w:val="44"/>
          <w:szCs w:val="44"/>
        </w:rPr>
        <w:t>第</w:t>
      </w:r>
      <w:r>
        <w:rPr>
          <w:rStyle w:val="28"/>
          <w:rFonts w:hint="eastAsia" w:ascii="黑体" w:hAnsi="黑体" w:eastAsia="黑体"/>
          <w:b w:val="0"/>
        </w:rPr>
        <w:t>五部分 附表</w:t>
      </w:r>
      <w:bookmarkEnd w:id="69"/>
      <w:bookmarkEnd w:id="73"/>
      <w:bookmarkEnd w:id="74"/>
      <w:bookmarkStart w:id="75" w:name="_Toc15396619"/>
    </w:p>
    <w:p w14:paraId="404F22A2">
      <w:pPr>
        <w:pStyle w:val="14"/>
        <w:pageBreakBefore w:val="0"/>
        <w:kinsoku/>
        <w:wordWrap/>
        <w:overflowPunct/>
        <w:topLinePunct w:val="0"/>
        <w:autoSpaceDE/>
        <w:autoSpaceDN/>
        <w:bidi w:val="0"/>
        <w:adjustRightInd/>
        <w:snapToGrid/>
        <w:spacing w:line="600" w:lineRule="exact"/>
        <w:ind w:left="0" w:leftChars="0" w:firstLine="640" w:firstLineChars="200"/>
        <w:textAlignment w:val="auto"/>
        <w:rPr>
          <w:rStyle w:val="29"/>
          <w:rFonts w:hint="eastAsia" w:ascii="仿宋" w:hAnsi="仿宋" w:eastAsia="仿宋"/>
          <w:b w:val="0"/>
          <w:bCs w:val="0"/>
        </w:rPr>
      </w:pPr>
      <w:bookmarkStart w:id="76" w:name="_Toc32663"/>
      <w:r>
        <w:rPr>
          <w:rStyle w:val="29"/>
          <w:rFonts w:hint="eastAsia" w:ascii="仿宋" w:hAnsi="仿宋" w:eastAsia="仿宋"/>
          <w:b w:val="0"/>
          <w:bCs w:val="0"/>
          <w:lang w:val="en-US" w:eastAsia="zh-CN"/>
        </w:rPr>
        <w:t>一、收</w:t>
      </w:r>
      <w:r>
        <w:rPr>
          <w:rStyle w:val="29"/>
          <w:rFonts w:hint="eastAsia" w:ascii="仿宋" w:hAnsi="仿宋" w:eastAsia="仿宋"/>
          <w:b w:val="0"/>
          <w:bCs w:val="0"/>
        </w:rPr>
        <w:t>入支出决算总表</w:t>
      </w:r>
    </w:p>
    <w:bookmarkEnd w:id="76"/>
    <w:p w14:paraId="444CC6A4">
      <w:pPr>
        <w:pStyle w:val="3"/>
        <w:pageBreakBefore w:val="0"/>
        <w:kinsoku/>
        <w:wordWrap/>
        <w:overflowPunct/>
        <w:topLinePunct w:val="0"/>
        <w:autoSpaceDE/>
        <w:autoSpaceDN/>
        <w:bidi w:val="0"/>
        <w:adjustRightInd/>
        <w:snapToGrid/>
        <w:spacing w:line="600" w:lineRule="exact"/>
        <w:ind w:firstLine="640" w:firstLineChars="200"/>
        <w:textAlignment w:val="auto"/>
        <w:rPr>
          <w:rStyle w:val="29"/>
          <w:rFonts w:hint="eastAsia" w:ascii="仿宋" w:hAnsi="仿宋" w:eastAsia="仿宋"/>
          <w:b w:val="0"/>
          <w:bCs w:val="0"/>
        </w:rPr>
      </w:pPr>
      <w:bookmarkStart w:id="77" w:name="_Toc14024"/>
      <w:r>
        <w:rPr>
          <w:rFonts w:hint="eastAsia" w:ascii="仿宋" w:hAnsi="仿宋" w:eastAsia="仿宋"/>
          <w:b w:val="0"/>
        </w:rPr>
        <w:t>二、收</w:t>
      </w:r>
      <w:r>
        <w:rPr>
          <w:rStyle w:val="29"/>
          <w:rFonts w:hint="eastAsia" w:ascii="仿宋" w:hAnsi="仿宋" w:eastAsia="仿宋"/>
          <w:b w:val="0"/>
          <w:bCs w:val="0"/>
        </w:rPr>
        <w:t>入决算表</w:t>
      </w:r>
      <w:bookmarkEnd w:id="77"/>
      <w:bookmarkStart w:id="78" w:name="_Toc15396621"/>
    </w:p>
    <w:p w14:paraId="39793F20">
      <w:pPr>
        <w:pStyle w:val="3"/>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b w:val="0"/>
        </w:rPr>
      </w:pPr>
      <w:bookmarkStart w:id="79" w:name="_Toc5176"/>
      <w:r>
        <w:rPr>
          <w:rFonts w:hint="eastAsia" w:ascii="仿宋" w:hAnsi="仿宋" w:eastAsia="仿宋"/>
          <w:b w:val="0"/>
          <w:lang w:val="en-US" w:eastAsia="zh-CN"/>
        </w:rPr>
        <w:t>三、支</w:t>
      </w:r>
      <w:r>
        <w:rPr>
          <w:rFonts w:hint="eastAsia" w:ascii="仿宋" w:hAnsi="仿宋" w:eastAsia="仿宋"/>
          <w:b w:val="0"/>
        </w:rPr>
        <w:t>出决算表</w:t>
      </w:r>
      <w:bookmarkEnd w:id="78"/>
      <w:bookmarkEnd w:id="79"/>
    </w:p>
    <w:bookmarkEnd w:id="75"/>
    <w:p w14:paraId="460D4B17">
      <w:pPr>
        <w:pStyle w:val="3"/>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b w:val="0"/>
        </w:rPr>
      </w:pPr>
      <w:bookmarkStart w:id="80" w:name="_Toc13393"/>
      <w:bookmarkStart w:id="81" w:name="_Toc15396622"/>
      <w:r>
        <w:rPr>
          <w:rStyle w:val="29"/>
          <w:rFonts w:hint="eastAsia" w:ascii="仿宋" w:hAnsi="仿宋" w:eastAsia="仿宋"/>
          <w:b w:val="0"/>
          <w:bCs w:val="0"/>
        </w:rPr>
        <w:t>四、</w:t>
      </w:r>
      <w:r>
        <w:rPr>
          <w:rFonts w:hint="eastAsia" w:ascii="仿宋" w:hAnsi="仿宋" w:eastAsia="仿宋"/>
          <w:b w:val="0"/>
        </w:rPr>
        <w:t>财</w:t>
      </w:r>
      <w:r>
        <w:rPr>
          <w:rStyle w:val="29"/>
          <w:rFonts w:hint="eastAsia" w:ascii="仿宋" w:hAnsi="仿宋" w:eastAsia="仿宋"/>
          <w:b w:val="0"/>
          <w:bCs w:val="0"/>
        </w:rPr>
        <w:t>政拨款收入支出决算总表</w:t>
      </w:r>
      <w:bookmarkEnd w:id="80"/>
      <w:bookmarkEnd w:id="81"/>
    </w:p>
    <w:p w14:paraId="142D01EA">
      <w:pPr>
        <w:pStyle w:val="3"/>
        <w:pageBreakBefore w:val="0"/>
        <w:kinsoku/>
        <w:wordWrap/>
        <w:overflowPunct/>
        <w:topLinePunct w:val="0"/>
        <w:autoSpaceDE/>
        <w:autoSpaceDN/>
        <w:bidi w:val="0"/>
        <w:adjustRightInd/>
        <w:snapToGrid/>
        <w:spacing w:line="600" w:lineRule="exact"/>
        <w:ind w:firstLine="640" w:firstLineChars="200"/>
        <w:textAlignment w:val="auto"/>
        <w:rPr>
          <w:rStyle w:val="29"/>
          <w:rFonts w:hint="eastAsia" w:ascii="仿宋" w:hAnsi="仿宋" w:eastAsia="仿宋"/>
          <w:b w:val="0"/>
          <w:bCs w:val="0"/>
        </w:rPr>
      </w:pPr>
      <w:bookmarkStart w:id="82" w:name="_Toc15396623"/>
      <w:bookmarkStart w:id="83" w:name="_Toc9846"/>
      <w:r>
        <w:rPr>
          <w:rStyle w:val="29"/>
          <w:rFonts w:hint="eastAsia" w:ascii="仿宋" w:hAnsi="仿宋" w:eastAsia="仿宋"/>
          <w:b w:val="0"/>
          <w:bCs w:val="0"/>
        </w:rPr>
        <w:t>五、</w:t>
      </w:r>
      <w:r>
        <w:rPr>
          <w:rFonts w:hint="eastAsia" w:ascii="仿宋" w:hAnsi="仿宋" w:eastAsia="仿宋"/>
          <w:b w:val="0"/>
        </w:rPr>
        <w:t>财</w:t>
      </w:r>
      <w:r>
        <w:rPr>
          <w:rStyle w:val="29"/>
          <w:rFonts w:hint="eastAsia" w:ascii="仿宋" w:hAnsi="仿宋" w:eastAsia="仿宋"/>
          <w:b w:val="0"/>
          <w:bCs w:val="0"/>
        </w:rPr>
        <w:t>政拨款支出决算明细表</w:t>
      </w:r>
      <w:bookmarkEnd w:id="82"/>
      <w:bookmarkEnd w:id="83"/>
      <w:bookmarkStart w:id="84" w:name="_Toc15396624"/>
    </w:p>
    <w:p w14:paraId="22FB9309">
      <w:pPr>
        <w:pStyle w:val="3"/>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85" w:name="_Toc9643"/>
      <w:r>
        <w:rPr>
          <w:rStyle w:val="29"/>
          <w:rFonts w:hint="eastAsia" w:ascii="仿宋" w:hAnsi="仿宋" w:eastAsia="仿宋"/>
          <w:b w:val="0"/>
          <w:bCs w:val="0"/>
        </w:rPr>
        <w:t>六、</w:t>
      </w:r>
      <w:r>
        <w:rPr>
          <w:rFonts w:hint="eastAsia" w:ascii="仿宋" w:hAnsi="仿宋" w:eastAsia="仿宋"/>
          <w:b w:val="0"/>
        </w:rPr>
        <w:t>一</w:t>
      </w:r>
      <w:r>
        <w:rPr>
          <w:rStyle w:val="29"/>
          <w:rFonts w:hint="eastAsia" w:ascii="仿宋" w:hAnsi="仿宋" w:eastAsia="仿宋"/>
          <w:b w:val="0"/>
          <w:bCs w:val="0"/>
        </w:rPr>
        <w:t>般公共预算财政拨款支出决算表</w:t>
      </w:r>
      <w:bookmarkEnd w:id="84"/>
      <w:bookmarkEnd w:id="85"/>
    </w:p>
    <w:p w14:paraId="4018E9FF">
      <w:pPr>
        <w:pStyle w:val="5"/>
        <w:pageBreakBefore w:val="0"/>
        <w:numPr>
          <w:ilvl w:val="0"/>
          <w:numId w:val="0"/>
        </w:numPr>
        <w:kinsoku/>
        <w:wordWrap/>
        <w:overflowPunct/>
        <w:topLinePunct w:val="0"/>
        <w:autoSpaceDE/>
        <w:autoSpaceDN/>
        <w:bidi w:val="0"/>
        <w:adjustRightInd/>
        <w:snapToGrid/>
        <w:spacing w:line="600" w:lineRule="exact"/>
        <w:ind w:firstLine="600" w:firstLineChars="200"/>
        <w:textAlignment w:val="auto"/>
        <w:rPr>
          <w:rStyle w:val="29"/>
          <w:rFonts w:hint="eastAsia" w:ascii="仿宋" w:hAnsi="仿宋" w:eastAsia="仿宋"/>
          <w:b w:val="0"/>
          <w:bCs w:val="0"/>
        </w:rPr>
      </w:pPr>
      <w:bookmarkStart w:id="86" w:name="_Toc15396625"/>
      <w:r>
        <w:rPr>
          <w:rFonts w:hint="eastAsia" w:ascii="仿宋" w:hAnsi="仿宋" w:eastAsia="仿宋"/>
          <w:b w:val="0"/>
          <w:lang w:val="en-US" w:eastAsia="zh-CN"/>
        </w:rPr>
        <w:t>七、</w:t>
      </w:r>
      <w:r>
        <w:rPr>
          <w:rFonts w:hint="eastAsia" w:ascii="仿宋" w:hAnsi="仿宋" w:eastAsia="仿宋"/>
          <w:b w:val="0"/>
        </w:rPr>
        <w:t>一</w:t>
      </w:r>
      <w:r>
        <w:rPr>
          <w:rStyle w:val="29"/>
          <w:rFonts w:hint="eastAsia" w:ascii="仿宋" w:hAnsi="仿宋" w:eastAsia="仿宋"/>
          <w:b w:val="0"/>
          <w:bCs w:val="0"/>
        </w:rPr>
        <w:t>般公共预算财政拨款支出决算明细表</w:t>
      </w:r>
      <w:bookmarkEnd w:id="86"/>
    </w:p>
    <w:p w14:paraId="5BC4A241">
      <w:pPr>
        <w:pStyle w:val="3"/>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87" w:name="_Toc78"/>
      <w:bookmarkStart w:id="88" w:name="_Toc15396626"/>
      <w:r>
        <w:rPr>
          <w:rStyle w:val="29"/>
          <w:rFonts w:hint="eastAsia" w:ascii="仿宋" w:hAnsi="仿宋" w:eastAsia="仿宋"/>
          <w:b w:val="0"/>
          <w:bCs w:val="0"/>
        </w:rPr>
        <w:t>八、</w:t>
      </w:r>
      <w:r>
        <w:rPr>
          <w:rFonts w:hint="eastAsia" w:ascii="仿宋" w:hAnsi="仿宋" w:eastAsia="仿宋"/>
          <w:b w:val="0"/>
        </w:rPr>
        <w:t>一</w:t>
      </w:r>
      <w:r>
        <w:rPr>
          <w:rStyle w:val="29"/>
          <w:rFonts w:hint="eastAsia" w:ascii="仿宋" w:hAnsi="仿宋" w:eastAsia="仿宋"/>
          <w:b w:val="0"/>
          <w:bCs w:val="0"/>
        </w:rPr>
        <w:t>般公共预算财政拨款基本支出决算表</w:t>
      </w:r>
      <w:bookmarkEnd w:id="87"/>
      <w:bookmarkEnd w:id="88"/>
    </w:p>
    <w:p w14:paraId="76FC6328">
      <w:pPr>
        <w:pStyle w:val="3"/>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89" w:name="_Toc15396627"/>
      <w:bookmarkStart w:id="90" w:name="_Toc7182"/>
      <w:r>
        <w:rPr>
          <w:rStyle w:val="29"/>
          <w:rFonts w:hint="eastAsia" w:ascii="仿宋" w:hAnsi="仿宋" w:eastAsia="仿宋"/>
          <w:b w:val="0"/>
          <w:bCs w:val="0"/>
        </w:rPr>
        <w:t>九、</w:t>
      </w:r>
      <w:r>
        <w:rPr>
          <w:rFonts w:hint="eastAsia" w:ascii="仿宋" w:hAnsi="仿宋" w:eastAsia="仿宋"/>
          <w:b w:val="0"/>
        </w:rPr>
        <w:t>一</w:t>
      </w:r>
      <w:r>
        <w:rPr>
          <w:rStyle w:val="29"/>
          <w:rFonts w:hint="eastAsia" w:ascii="仿宋" w:hAnsi="仿宋" w:eastAsia="仿宋"/>
          <w:b w:val="0"/>
          <w:bCs w:val="0"/>
        </w:rPr>
        <w:t>般公共预算财政拨款项目支出决算表</w:t>
      </w:r>
      <w:bookmarkEnd w:id="89"/>
      <w:bookmarkEnd w:id="90"/>
    </w:p>
    <w:p w14:paraId="1FC2F94A">
      <w:pPr>
        <w:pStyle w:val="3"/>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91" w:name="_Toc15396628"/>
      <w:bookmarkStart w:id="92" w:name="_Toc26756"/>
      <w:r>
        <w:rPr>
          <w:rStyle w:val="29"/>
          <w:rFonts w:hint="eastAsia" w:ascii="仿宋" w:hAnsi="仿宋" w:eastAsia="仿宋"/>
          <w:b w:val="0"/>
          <w:bCs w:val="0"/>
        </w:rPr>
        <w:t>十、</w:t>
      </w:r>
      <w:bookmarkEnd w:id="91"/>
      <w:r>
        <w:rPr>
          <w:rFonts w:hint="eastAsia" w:ascii="仿宋" w:hAnsi="仿宋" w:eastAsia="仿宋"/>
          <w:b w:val="0"/>
        </w:rPr>
        <w:t>政</w:t>
      </w:r>
      <w:r>
        <w:rPr>
          <w:rStyle w:val="29"/>
          <w:rFonts w:hint="eastAsia" w:ascii="仿宋" w:hAnsi="仿宋" w:eastAsia="仿宋"/>
          <w:b w:val="0"/>
          <w:bCs w:val="0"/>
        </w:rPr>
        <w:t>府性基金预算财政拨款收入支出决算表</w:t>
      </w:r>
      <w:bookmarkEnd w:id="92"/>
    </w:p>
    <w:p w14:paraId="6BA800F3">
      <w:pPr>
        <w:pStyle w:val="3"/>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b w:val="0"/>
        </w:rPr>
      </w:pPr>
      <w:bookmarkStart w:id="93" w:name="_Toc15396629"/>
      <w:bookmarkStart w:id="94" w:name="_Toc31729"/>
      <w:bookmarkStart w:id="95" w:name="_Toc15396620"/>
      <w:r>
        <w:rPr>
          <w:rStyle w:val="29"/>
          <w:rFonts w:hint="eastAsia" w:ascii="仿宋" w:hAnsi="仿宋" w:eastAsia="仿宋"/>
          <w:b w:val="0"/>
          <w:bCs w:val="0"/>
        </w:rPr>
        <w:t>十一、</w:t>
      </w:r>
      <w:bookmarkEnd w:id="93"/>
      <w:r>
        <w:rPr>
          <w:rFonts w:hint="eastAsia" w:ascii="仿宋" w:hAnsi="仿宋" w:eastAsia="仿宋"/>
          <w:b w:val="0"/>
        </w:rPr>
        <w:t>国</w:t>
      </w:r>
      <w:r>
        <w:rPr>
          <w:rStyle w:val="29"/>
          <w:rFonts w:hint="eastAsia" w:ascii="仿宋" w:hAnsi="仿宋" w:eastAsia="仿宋"/>
          <w:b w:val="0"/>
          <w:bCs w:val="0"/>
        </w:rPr>
        <w:t>有资本经营预算财政拨款收入支出决算表</w:t>
      </w:r>
      <w:bookmarkEnd w:id="94"/>
    </w:p>
    <w:p w14:paraId="50FA98A6">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rPr>
          <w:rStyle w:val="29"/>
          <w:rFonts w:hint="eastAsia" w:ascii="仿宋" w:hAnsi="仿宋" w:eastAsia="仿宋"/>
          <w:b w:val="0"/>
          <w:bCs w:val="0"/>
        </w:rPr>
      </w:pPr>
      <w:bookmarkStart w:id="96" w:name="_Toc15396630"/>
      <w:bookmarkStart w:id="97" w:name="_Toc3946"/>
      <w:r>
        <w:rPr>
          <w:rStyle w:val="29"/>
          <w:rFonts w:hint="eastAsia" w:ascii="仿宋" w:hAnsi="仿宋" w:eastAsia="仿宋"/>
          <w:b w:val="0"/>
          <w:bCs w:val="0"/>
        </w:rPr>
        <w:t>十二、</w:t>
      </w:r>
      <w:bookmarkEnd w:id="96"/>
      <w:r>
        <w:rPr>
          <w:rStyle w:val="29"/>
          <w:rFonts w:hint="eastAsia" w:ascii="仿宋" w:hAnsi="仿宋" w:eastAsia="仿宋"/>
          <w:b w:val="0"/>
          <w:bCs w:val="0"/>
        </w:rPr>
        <w:t>国有资本经营预算财政拨款支出决算表</w:t>
      </w:r>
    </w:p>
    <w:bookmarkEnd w:id="97"/>
    <w:p w14:paraId="4C1E7B26">
      <w:pPr>
        <w:pStyle w:val="3"/>
        <w:pageBreakBefore w:val="0"/>
        <w:kinsoku/>
        <w:wordWrap/>
        <w:overflowPunct/>
        <w:topLinePunct w:val="0"/>
        <w:autoSpaceDE/>
        <w:autoSpaceDN/>
        <w:bidi w:val="0"/>
        <w:adjustRightInd/>
        <w:snapToGrid/>
        <w:spacing w:line="600" w:lineRule="exact"/>
        <w:ind w:firstLine="640" w:firstLineChars="200"/>
        <w:textAlignment w:val="auto"/>
        <w:rPr>
          <w:rFonts w:eastAsia="仿宋"/>
        </w:rPr>
      </w:pPr>
      <w:bookmarkStart w:id="98" w:name="_Toc15396631"/>
      <w:bookmarkStart w:id="99" w:name="_Toc818"/>
      <w:r>
        <w:rPr>
          <w:rStyle w:val="29"/>
          <w:rFonts w:hint="eastAsia" w:ascii="仿宋" w:hAnsi="仿宋" w:eastAsia="仿宋"/>
          <w:b w:val="0"/>
          <w:bCs w:val="0"/>
        </w:rPr>
        <w:t>十三、</w:t>
      </w:r>
      <w:bookmarkEnd w:id="98"/>
      <w:r>
        <w:rPr>
          <w:rStyle w:val="29"/>
          <w:rFonts w:hint="eastAsia" w:ascii="仿宋" w:hAnsi="仿宋" w:eastAsia="仿宋"/>
          <w:b w:val="0"/>
          <w:bCs w:val="0"/>
        </w:rPr>
        <w:t>财政拨款“三公”经费支出决算表</w:t>
      </w:r>
      <w:bookmarkEnd w:id="99"/>
    </w:p>
    <w:p w14:paraId="72274874">
      <w:pPr>
        <w:keepNext w:val="0"/>
        <w:keepLines w:val="0"/>
        <w:widowControl/>
        <w:suppressLineNumbers w:val="0"/>
        <w:jc w:val="left"/>
      </w:pPr>
    </w:p>
    <w:bookmarkEnd w:id="95"/>
    <w:p w14:paraId="0821AD4F">
      <w:pPr>
        <w:pStyle w:val="3"/>
        <w:outlineLvl w:val="9"/>
        <w:rPr>
          <w:rFonts w:ascii="仿宋" w:hAnsi="仿宋" w:eastAsia="仿宋"/>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C9D75A8-CA83-48A0-8ADC-DB3C3DE1397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85EA0AF9-60AF-48AC-997A-D658558B156E}"/>
  </w:font>
  <w:font w:name="仿宋">
    <w:panose1 w:val="02010609060101010101"/>
    <w:charset w:val="86"/>
    <w:family w:val="modern"/>
    <w:pitch w:val="default"/>
    <w:sig w:usb0="800002BF" w:usb1="38CF7CFA" w:usb2="00000016" w:usb3="00000000" w:csb0="00040001" w:csb1="00000000"/>
    <w:embedRegular r:id="rId3" w:fontKey="{EAA82732-45F8-40B4-B9A9-9F6463782495}"/>
  </w:font>
  <w:font w:name="Cambria">
    <w:panose1 w:val="02040503050406030204"/>
    <w:charset w:val="00"/>
    <w:family w:val="roman"/>
    <w:pitch w:val="default"/>
    <w:sig w:usb0="E00002FF" w:usb1="400004FF" w:usb2="00000000" w:usb3="00000000" w:csb0="2000019F" w:csb1="00000000"/>
    <w:embedRegular r:id="rId4" w:fontKey="{3E18BF54-5F3B-4624-B700-78EFCFB9F7C5}"/>
  </w:font>
  <w:font w:name="仿宋_GB2312">
    <w:panose1 w:val="02010609030101010101"/>
    <w:charset w:val="86"/>
    <w:family w:val="auto"/>
    <w:pitch w:val="default"/>
    <w:sig w:usb0="00000001" w:usb1="080E0000" w:usb2="00000000" w:usb3="00000000" w:csb0="00040000" w:csb1="00000000"/>
    <w:embedRegular r:id="rId5" w:fontKey="{535A84C6-CF01-4D24-9AFC-8BD6119DC961}"/>
  </w:font>
  <w:font w:name="方正小标宋简体">
    <w:panose1 w:val="02000000000000000000"/>
    <w:charset w:val="86"/>
    <w:family w:val="script"/>
    <w:pitch w:val="default"/>
    <w:sig w:usb0="00000001" w:usb1="080E0000" w:usb2="00000000" w:usb3="00000000" w:csb0="00040000" w:csb1="00000000"/>
    <w:embedRegular r:id="rId6" w:fontKey="{CEB229B0-A974-462B-8EFD-71333834DDE3}"/>
  </w:font>
  <w:font w:name="华文中宋">
    <w:altName w:val="宋体"/>
    <w:panose1 w:val="02010600040101010101"/>
    <w:charset w:val="86"/>
    <w:family w:val="auto"/>
    <w:pitch w:val="default"/>
    <w:sig w:usb0="00000000" w:usb1="00000000" w:usb2="00000000" w:usb3="00000000" w:csb0="0004009F" w:csb1="DFD70000"/>
    <w:embedRegular r:id="rId7" w:fontKey="{04D84D61-F25A-438F-A5CB-D284E5B39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6968FB86">
        <w:pPr>
          <w:pStyle w:val="9"/>
          <w:jc w:val="center"/>
        </w:pPr>
        <w:r>
          <w:fldChar w:fldCharType="begin"/>
        </w:r>
        <w:r>
          <w:instrText xml:space="preserve">PAGE   \* MERGEFORMAT</w:instrText>
        </w:r>
        <w:r>
          <w:fldChar w:fldCharType="separate"/>
        </w:r>
        <w:r>
          <w:rPr>
            <w:lang w:val="zh-CN"/>
          </w:rPr>
          <w:t>15</w:t>
        </w:r>
        <w:r>
          <w:fldChar w:fldCharType="end"/>
        </w:r>
      </w:p>
    </w:sdtContent>
  </w:sdt>
  <w:p w14:paraId="50B78E0F">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CFB8F">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65DCF"/>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DA3CC1"/>
    <w:rsid w:val="038D16A3"/>
    <w:rsid w:val="03DC2831"/>
    <w:rsid w:val="07F174A3"/>
    <w:rsid w:val="081B5E94"/>
    <w:rsid w:val="0A2032A3"/>
    <w:rsid w:val="0B8A37D8"/>
    <w:rsid w:val="0D314DD5"/>
    <w:rsid w:val="0DEE519D"/>
    <w:rsid w:val="0F5FFB2F"/>
    <w:rsid w:val="0FA77DFE"/>
    <w:rsid w:val="0FFFCF60"/>
    <w:rsid w:val="10907E40"/>
    <w:rsid w:val="10C055FF"/>
    <w:rsid w:val="115671AB"/>
    <w:rsid w:val="118107EC"/>
    <w:rsid w:val="11DD6519"/>
    <w:rsid w:val="11E953E2"/>
    <w:rsid w:val="12894F8D"/>
    <w:rsid w:val="12F54578"/>
    <w:rsid w:val="1403423A"/>
    <w:rsid w:val="14153FA6"/>
    <w:rsid w:val="14C05076"/>
    <w:rsid w:val="15A31F48"/>
    <w:rsid w:val="15AA3B33"/>
    <w:rsid w:val="15C97ADE"/>
    <w:rsid w:val="169C657A"/>
    <w:rsid w:val="16BB723D"/>
    <w:rsid w:val="18015F3F"/>
    <w:rsid w:val="19CF670E"/>
    <w:rsid w:val="1A00171A"/>
    <w:rsid w:val="1BE8440E"/>
    <w:rsid w:val="1D155CEE"/>
    <w:rsid w:val="1E031851"/>
    <w:rsid w:val="1EC0330C"/>
    <w:rsid w:val="1F401110"/>
    <w:rsid w:val="1FDBBF84"/>
    <w:rsid w:val="20F57F95"/>
    <w:rsid w:val="21E05FCE"/>
    <w:rsid w:val="240371BF"/>
    <w:rsid w:val="25711CC6"/>
    <w:rsid w:val="25C741E6"/>
    <w:rsid w:val="276F80C0"/>
    <w:rsid w:val="27842671"/>
    <w:rsid w:val="28586A48"/>
    <w:rsid w:val="290731C6"/>
    <w:rsid w:val="29FD04D3"/>
    <w:rsid w:val="2A6D0D7B"/>
    <w:rsid w:val="2ABE7A3E"/>
    <w:rsid w:val="2AFF09B6"/>
    <w:rsid w:val="2CA234A8"/>
    <w:rsid w:val="2EFA178C"/>
    <w:rsid w:val="2EFDF86C"/>
    <w:rsid w:val="2F9D17E1"/>
    <w:rsid w:val="30B46D73"/>
    <w:rsid w:val="30F51E20"/>
    <w:rsid w:val="319F7F4E"/>
    <w:rsid w:val="34B14942"/>
    <w:rsid w:val="356A28F1"/>
    <w:rsid w:val="357C035A"/>
    <w:rsid w:val="35881EE7"/>
    <w:rsid w:val="363C382B"/>
    <w:rsid w:val="368E000D"/>
    <w:rsid w:val="37A10F74"/>
    <w:rsid w:val="37A6781E"/>
    <w:rsid w:val="383D272C"/>
    <w:rsid w:val="39AE70AB"/>
    <w:rsid w:val="3A4DCE41"/>
    <w:rsid w:val="3AB049D8"/>
    <w:rsid w:val="3BCB56FA"/>
    <w:rsid w:val="3C0C0783"/>
    <w:rsid w:val="3D6337C1"/>
    <w:rsid w:val="3EE7C2F4"/>
    <w:rsid w:val="3F371B56"/>
    <w:rsid w:val="3F494972"/>
    <w:rsid w:val="3F792ED8"/>
    <w:rsid w:val="3F9F3A96"/>
    <w:rsid w:val="3FECA4B2"/>
    <w:rsid w:val="3FF58C48"/>
    <w:rsid w:val="401622C7"/>
    <w:rsid w:val="401D266D"/>
    <w:rsid w:val="402976EF"/>
    <w:rsid w:val="425B5E3D"/>
    <w:rsid w:val="42794DCD"/>
    <w:rsid w:val="42FF6694"/>
    <w:rsid w:val="447A127C"/>
    <w:rsid w:val="45AE0D7E"/>
    <w:rsid w:val="46CF3B32"/>
    <w:rsid w:val="4789102D"/>
    <w:rsid w:val="48900D6D"/>
    <w:rsid w:val="48BF60AB"/>
    <w:rsid w:val="48CB100F"/>
    <w:rsid w:val="493C27E9"/>
    <w:rsid w:val="496F39ED"/>
    <w:rsid w:val="49FF41D3"/>
    <w:rsid w:val="4BE068DB"/>
    <w:rsid w:val="4BF6002B"/>
    <w:rsid w:val="4BFFC6BE"/>
    <w:rsid w:val="4E9F786A"/>
    <w:rsid w:val="4ECE2238"/>
    <w:rsid w:val="50607089"/>
    <w:rsid w:val="5100569D"/>
    <w:rsid w:val="51C20383"/>
    <w:rsid w:val="51DB4B86"/>
    <w:rsid w:val="51F64DB0"/>
    <w:rsid w:val="52640D0A"/>
    <w:rsid w:val="52A35416"/>
    <w:rsid w:val="52D54D4D"/>
    <w:rsid w:val="54B754FB"/>
    <w:rsid w:val="55333C3E"/>
    <w:rsid w:val="567B287E"/>
    <w:rsid w:val="5A584925"/>
    <w:rsid w:val="5E4019B4"/>
    <w:rsid w:val="5E4C12DA"/>
    <w:rsid w:val="5F67802D"/>
    <w:rsid w:val="5F7DC4F2"/>
    <w:rsid w:val="5FB36814"/>
    <w:rsid w:val="5FBB8E56"/>
    <w:rsid w:val="5FFB5535"/>
    <w:rsid w:val="602F6C55"/>
    <w:rsid w:val="60AE1BB1"/>
    <w:rsid w:val="64CA39A1"/>
    <w:rsid w:val="67792320"/>
    <w:rsid w:val="67B47541"/>
    <w:rsid w:val="68A418DB"/>
    <w:rsid w:val="68A44926"/>
    <w:rsid w:val="69630ADE"/>
    <w:rsid w:val="69BD5F13"/>
    <w:rsid w:val="69DC3B22"/>
    <w:rsid w:val="69FB0B4B"/>
    <w:rsid w:val="6ADD5A9E"/>
    <w:rsid w:val="6B5512F9"/>
    <w:rsid w:val="6BFFE1FB"/>
    <w:rsid w:val="6C4A05C8"/>
    <w:rsid w:val="6D3B1A89"/>
    <w:rsid w:val="6DB7D8A3"/>
    <w:rsid w:val="6EC78701"/>
    <w:rsid w:val="6F7A5481"/>
    <w:rsid w:val="6FFE07A9"/>
    <w:rsid w:val="71BD06C9"/>
    <w:rsid w:val="71BF4EC2"/>
    <w:rsid w:val="72734D90"/>
    <w:rsid w:val="73BA2088"/>
    <w:rsid w:val="73E01C2A"/>
    <w:rsid w:val="73E75B71"/>
    <w:rsid w:val="7412278C"/>
    <w:rsid w:val="75DDCDA9"/>
    <w:rsid w:val="75FF44B1"/>
    <w:rsid w:val="76301B1C"/>
    <w:rsid w:val="76581461"/>
    <w:rsid w:val="77670518"/>
    <w:rsid w:val="777FA627"/>
    <w:rsid w:val="77DF1B5F"/>
    <w:rsid w:val="77EF2D9D"/>
    <w:rsid w:val="78184DEB"/>
    <w:rsid w:val="79E7B28D"/>
    <w:rsid w:val="7ACFF0C2"/>
    <w:rsid w:val="7AFB9108"/>
    <w:rsid w:val="7B656EB9"/>
    <w:rsid w:val="7BD5340C"/>
    <w:rsid w:val="7BFB19D2"/>
    <w:rsid w:val="7BFD1750"/>
    <w:rsid w:val="7BFDAA1B"/>
    <w:rsid w:val="7CDF9A82"/>
    <w:rsid w:val="7CFFA1BD"/>
    <w:rsid w:val="7D2E3F7A"/>
    <w:rsid w:val="7DED9490"/>
    <w:rsid w:val="7DFF4872"/>
    <w:rsid w:val="7E7487E6"/>
    <w:rsid w:val="7E7C2A54"/>
    <w:rsid w:val="7E9B37CC"/>
    <w:rsid w:val="7EEEFD72"/>
    <w:rsid w:val="7F1D517C"/>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autoRedefine/>
    <w:qFormat/>
    <w:uiPriority w:val="99"/>
    <w:pPr>
      <w:spacing w:beforeLines="30"/>
    </w:pPr>
    <w:rPr>
      <w:rFonts w:ascii="仿宋_GB2312" w:eastAsia="仿宋_GB2312"/>
      <w:kern w:val="0"/>
      <w:sz w:val="30"/>
    </w:rPr>
  </w:style>
  <w:style w:type="paragraph" w:styleId="6">
    <w:name w:val="Body Text Indent"/>
    <w:basedOn w:val="1"/>
    <w:autoRedefine/>
    <w:qFormat/>
    <w:uiPriority w:val="0"/>
    <w:pPr>
      <w:spacing w:after="120"/>
      <w:ind w:left="200" w:leftChars="200"/>
    </w:pPr>
    <w:rPr>
      <w:rFonts w:ascii="仿宋_GB2312"/>
      <w:szCs w:val="32"/>
    </w:rPr>
  </w:style>
  <w:style w:type="paragraph" w:styleId="7">
    <w:name w:val="toc 3"/>
    <w:basedOn w:val="1"/>
    <w:next w:val="1"/>
    <w:autoRedefine/>
    <w:unhideWhenUsed/>
    <w:qFormat/>
    <w:uiPriority w:val="39"/>
    <w:pPr>
      <w:tabs>
        <w:tab w:val="right" w:leader="dot" w:pos="8296"/>
      </w:tabs>
      <w:ind w:left="840" w:leftChars="400"/>
    </w:pPr>
  </w:style>
  <w:style w:type="paragraph" w:styleId="8">
    <w:name w:val="Balloon Text"/>
    <w:basedOn w:val="1"/>
    <w:link w:val="31"/>
    <w:autoRedefine/>
    <w:semiHidden/>
    <w:unhideWhenUsed/>
    <w:qFormat/>
    <w:uiPriority w:val="99"/>
    <w:rPr>
      <w:sz w:val="18"/>
      <w:szCs w:val="18"/>
    </w:rPr>
  </w:style>
  <w:style w:type="paragraph" w:styleId="9">
    <w:name w:val="footer"/>
    <w:basedOn w:val="1"/>
    <w:link w:val="23"/>
    <w:autoRedefine/>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1"/>
    <w:autoRedefine/>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autoRedefine/>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autoRedefine/>
    <w:unhideWhenUsed/>
    <w:qFormat/>
    <w:uiPriority w:val="39"/>
    <w:pPr>
      <w:tabs>
        <w:tab w:val="right" w:leader="dot" w:pos="8296"/>
      </w:tabs>
      <w:ind w:left="420" w:leftChars="200"/>
    </w:pPr>
  </w:style>
  <w:style w:type="paragraph" w:styleId="13">
    <w:name w:val="Normal (Web)"/>
    <w:basedOn w:val="1"/>
    <w:qFormat/>
    <w:uiPriority w:val="0"/>
    <w:pPr>
      <w:jc w:val="left"/>
    </w:pPr>
    <w:rPr>
      <w:kern w:val="0"/>
      <w:sz w:val="24"/>
    </w:rPr>
  </w:style>
  <w:style w:type="paragraph" w:styleId="14">
    <w:name w:val="Body Text First Indent 2"/>
    <w:basedOn w:val="6"/>
    <w:autoRedefine/>
    <w:unhideWhenUsed/>
    <w:qFormat/>
    <w:uiPriority w:val="99"/>
    <w:pPr>
      <w:ind w:firstLine="420" w:firstLineChars="200"/>
    </w:pPr>
  </w:style>
  <w:style w:type="character" w:styleId="17">
    <w:name w:val="Strong"/>
    <w:basedOn w:val="16"/>
    <w:autoRedefine/>
    <w:qFormat/>
    <w:uiPriority w:val="99"/>
    <w:rPr>
      <w:b/>
    </w:rPr>
  </w:style>
  <w:style w:type="character" w:styleId="18">
    <w:name w:val="Hyperlink"/>
    <w:basedOn w:val="16"/>
    <w:autoRedefine/>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autoRedefine/>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autoRedefine/>
    <w:semiHidden/>
    <w:qFormat/>
    <w:uiPriority w:val="99"/>
    <w:rPr>
      <w:rFonts w:ascii="Times New Roman" w:hAnsi="Times New Roman"/>
      <w:sz w:val="18"/>
      <w:szCs w:val="18"/>
    </w:rPr>
  </w:style>
  <w:style w:type="character" w:customStyle="1" w:styleId="21">
    <w:name w:val="页眉 字符"/>
    <w:link w:val="10"/>
    <w:autoRedefine/>
    <w:semiHidden/>
    <w:qFormat/>
    <w:locked/>
    <w:uiPriority w:val="99"/>
    <w:rPr>
      <w:sz w:val="18"/>
    </w:rPr>
  </w:style>
  <w:style w:type="character" w:customStyle="1" w:styleId="22">
    <w:name w:val="Footer Char"/>
    <w:basedOn w:val="16"/>
    <w:autoRedefine/>
    <w:semiHidden/>
    <w:qFormat/>
    <w:uiPriority w:val="99"/>
    <w:rPr>
      <w:rFonts w:ascii="Times New Roman" w:hAnsi="Times New Roman"/>
      <w:sz w:val="18"/>
      <w:szCs w:val="18"/>
    </w:rPr>
  </w:style>
  <w:style w:type="character" w:customStyle="1" w:styleId="23">
    <w:name w:val="页脚 字符"/>
    <w:link w:val="9"/>
    <w:autoRedefine/>
    <w:qFormat/>
    <w:locked/>
    <w:uiPriority w:val="99"/>
    <w:rPr>
      <w:sz w:val="18"/>
    </w:rPr>
  </w:style>
  <w:style w:type="character" w:customStyle="1" w:styleId="24">
    <w:name w:val="Body Text Char"/>
    <w:basedOn w:val="16"/>
    <w:autoRedefine/>
    <w:semiHidden/>
    <w:qFormat/>
    <w:uiPriority w:val="99"/>
    <w:rPr>
      <w:rFonts w:ascii="Times New Roman" w:hAnsi="Times New Roman"/>
      <w:szCs w:val="24"/>
    </w:rPr>
  </w:style>
  <w:style w:type="character" w:customStyle="1" w:styleId="25">
    <w:name w:val="正文文本 字符"/>
    <w:link w:val="5"/>
    <w:autoRedefine/>
    <w:qFormat/>
    <w:locked/>
    <w:uiPriority w:val="99"/>
    <w:rPr>
      <w:rFonts w:ascii="仿宋_GB2312" w:hAnsi="Times New Roman" w:eastAsia="仿宋_GB2312"/>
      <w:sz w:val="24"/>
    </w:rPr>
  </w:style>
  <w:style w:type="paragraph" w:customStyle="1" w:styleId="26">
    <w:name w:val="Default"/>
    <w:autoRedefine/>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autoRedefine/>
    <w:qFormat/>
    <w:uiPriority w:val="34"/>
    <w:pPr>
      <w:ind w:firstLine="420" w:firstLineChars="200"/>
    </w:pPr>
  </w:style>
  <w:style w:type="character" w:customStyle="1" w:styleId="28">
    <w:name w:val="标题 1 字符"/>
    <w:basedOn w:val="16"/>
    <w:link w:val="2"/>
    <w:autoRedefine/>
    <w:qFormat/>
    <w:uiPriority w:val="9"/>
    <w:rPr>
      <w:rFonts w:ascii="Times New Roman" w:hAnsi="Times New Roman"/>
      <w:b/>
      <w:bCs/>
      <w:kern w:val="44"/>
      <w:sz w:val="44"/>
      <w:szCs w:val="44"/>
    </w:rPr>
  </w:style>
  <w:style w:type="character" w:customStyle="1" w:styleId="29">
    <w:name w:val="标题 2 字符"/>
    <w:basedOn w:val="16"/>
    <w:link w:val="3"/>
    <w:autoRedefine/>
    <w:qFormat/>
    <w:uiPriority w:val="9"/>
    <w:rPr>
      <w:rFonts w:asciiTheme="majorHAnsi" w:hAnsiTheme="majorHAnsi" w:eastAsiaTheme="majorEastAsia" w:cstheme="majorBidi"/>
      <w:b/>
      <w:bCs/>
      <w:kern w:val="2"/>
      <w:sz w:val="32"/>
      <w:szCs w:val="32"/>
    </w:rPr>
  </w:style>
  <w:style w:type="paragraph" w:customStyle="1" w:styleId="30">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字符"/>
    <w:basedOn w:val="16"/>
    <w:link w:val="8"/>
    <w:semiHidden/>
    <w:qFormat/>
    <w:uiPriority w:val="99"/>
    <w:rPr>
      <w:rFonts w:ascii="Times New Roman" w:hAnsi="Times New Roman"/>
      <w:kern w:val="2"/>
      <w:sz w:val="18"/>
      <w:szCs w:val="18"/>
    </w:rPr>
  </w:style>
  <w:style w:type="character" w:customStyle="1" w:styleId="32">
    <w:name w:val="标题 3 字符"/>
    <w:basedOn w:val="16"/>
    <w:link w:val="4"/>
    <w:qFormat/>
    <w:uiPriority w:val="9"/>
    <w:rPr>
      <w:rFonts w:ascii="Times New Roman" w:hAnsi="Times New Roman"/>
      <w:b/>
      <w:bCs/>
      <w:kern w:val="2"/>
      <w:sz w:val="32"/>
      <w:szCs w:val="32"/>
    </w:rPr>
  </w:style>
  <w:style w:type="paragraph" w:customStyle="1" w:styleId="33">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WPSOffice手动目录 1"/>
    <w:qFormat/>
    <w:uiPriority w:val="0"/>
    <w:pPr>
      <w:ind w:leftChars="0"/>
    </w:pPr>
    <w:rPr>
      <w:rFonts w:ascii="Times New Roman" w:hAnsi="Times New Roman" w:eastAsia="宋体" w:cs="Times New Roman"/>
      <w:sz w:val="20"/>
      <w:szCs w:val="20"/>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94878779624081"/>
          <c:y val="0.0283391436036852"/>
          <c:w val="0.882425000000001"/>
          <c:h val="0.862904496825808"/>
        </c:manualLayout>
      </c:layout>
      <c:barChart>
        <c:barDir val="col"/>
        <c:grouping val="clustered"/>
        <c:varyColors val="0"/>
        <c:ser>
          <c:idx val="2"/>
          <c:order val="0"/>
          <c:tx>
            <c:strRef>
              <c:f>Sheet1!$B$2</c:f>
              <c:strCache>
                <c:ptCount val="1"/>
                <c:pt idx="0">
                  <c:v>2022年收支总计</c:v>
                </c:pt>
              </c:strCache>
            </c:strRef>
          </c:tx>
          <c:spPr>
            <a:gradFill>
              <a:gsLst>
                <a:gs pos="0">
                  <a:srgbClr val="FBFB11"/>
                </a:gs>
                <a:gs pos="100000">
                  <a:srgbClr val="838309"/>
                </a:gs>
              </a:gsLst>
              <a:lin ang="5400000" scaled="0"/>
            </a:gradFill>
            <a:ln>
              <a:noFill/>
            </a:ln>
            <a:effectLst/>
          </c:spPr>
          <c:invertIfNegative val="0"/>
          <c:dLbls>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Sheet1!$A$3</c:f>
              <c:strCache>
                <c:ptCount val="1"/>
                <c:pt idx="0">
                  <c:v>类别 1</c:v>
                </c:pt>
              </c:strCache>
            </c:strRef>
          </c:cat>
          <c:val>
            <c:numRef>
              <c:f>Sheet1!$B$3</c:f>
              <c:numCache>
                <c:formatCode>General</c:formatCode>
                <c:ptCount val="1"/>
                <c:pt idx="0">
                  <c:v>1812.9</c:v>
                </c:pt>
              </c:numCache>
            </c:numRef>
          </c:val>
        </c:ser>
        <c:ser>
          <c:idx val="3"/>
          <c:order val="1"/>
          <c:tx>
            <c:strRef>
              <c:f>Sheet1!$C$2</c:f>
              <c:strCache>
                <c:ptCount val="1"/>
                <c:pt idx="0">
                  <c:v>2023年收支总计</c:v>
                </c:pt>
              </c:strCache>
            </c:strRef>
          </c:tx>
          <c:spPr>
            <a:solidFill>
              <a:schemeClr val="accent4"/>
            </a:solidFill>
            <a:ln>
              <a:noFill/>
            </a:ln>
            <a:effectLst/>
          </c:spPr>
          <c:invertIfNegative val="0"/>
          <c:dLbls>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Sheet1!$A$3</c:f>
              <c:strCache>
                <c:ptCount val="1"/>
                <c:pt idx="0">
                  <c:v>类别 1</c:v>
                </c:pt>
              </c:strCache>
            </c:strRef>
          </c:cat>
          <c:val>
            <c:numRef>
              <c:f>Sheet1!$C$3</c:f>
              <c:numCache>
                <c:formatCode>General</c:formatCode>
                <c:ptCount val="1"/>
                <c:pt idx="0">
                  <c:v>2543.92</c:v>
                </c:pt>
              </c:numCache>
            </c:numRef>
          </c:val>
        </c:ser>
        <c:dLbls>
          <c:showLegendKey val="0"/>
          <c:showVal val="1"/>
          <c:showCatName val="0"/>
          <c:showSerName val="0"/>
          <c:showPercent val="0"/>
          <c:showBubbleSize val="0"/>
        </c:dLbls>
        <c:gapWidth val="267"/>
        <c:overlap val="-43"/>
        <c:axId val="72749440"/>
        <c:axId val="72751744"/>
      </c:barChart>
      <c:catAx>
        <c:axId val="72749440"/>
        <c:scaling>
          <c:orientation val="minMax"/>
        </c:scaling>
        <c:delete val="1"/>
        <c:axPos val="b"/>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2751744"/>
        <c:crosses val="autoZero"/>
        <c:auto val="1"/>
        <c:lblAlgn val="ctr"/>
        <c:lblOffset val="100"/>
        <c:noMultiLvlLbl val="0"/>
      </c:catAx>
      <c:valAx>
        <c:axId val="72751744"/>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horzOverflow="overflow"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7274944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47640237324703"/>
          <c:y val="0.905924739791834"/>
        </c:manualLayout>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5c7a611-3112-429e-baf6-c258f5345b63}"/>
      </c:ext>
    </c:extLst>
  </c:chart>
  <c:spPr>
    <a:solidFill>
      <a:schemeClr val="lt1"/>
    </a:solidFill>
    <a:ln w="9525" cap="flat" cmpd="sng" algn="ctr">
      <a:solidFill>
        <a:schemeClr val="dk1">
          <a:lumMod val="15000"/>
          <a:lumOff val="8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685848229718"/>
          <c:y val="0.0756581937324948"/>
          <c:w val="0.489785801726801"/>
          <c:h val="0.799216473779704"/>
        </c:manualLayout>
      </c:layout>
      <c:pieChart>
        <c:varyColors val="1"/>
        <c:ser>
          <c:idx val="0"/>
          <c:order val="0"/>
          <c:tx>
            <c:strRef>
              <c:f>Sheet1!$B$1</c:f>
              <c:strCache>
                <c:ptCount val="1"/>
                <c:pt idx="0">
                  <c:v>销售额</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Sheet1!$A$2:$A$3</c:f>
              <c:strCache>
                <c:ptCount val="2"/>
                <c:pt idx="0">
                  <c:v>一般公共预算财政拨款收入</c:v>
                </c:pt>
                <c:pt idx="1">
                  <c:v>其他收入</c:v>
                </c:pt>
              </c:strCache>
            </c:strRef>
          </c:cat>
          <c:val>
            <c:numRef>
              <c:f>Sheet1!$B$2:$B$3</c:f>
              <c:numCache>
                <c:formatCode>0.00%</c:formatCode>
                <c:ptCount val="2"/>
                <c:pt idx="0">
                  <c:v>0.9524</c:v>
                </c:pt>
                <c:pt idx="1">
                  <c:v>0.0475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04808277541083"/>
          <c:y val="0.970203488372093"/>
          <c:w val="0.417650639074863"/>
          <c:h val="0.0113856589147287"/>
        </c:manualLayout>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zero"/>
    <c:showDLblsOverMax val="0"/>
    <c:extLst>
      <c:ext uri="{0b15fc19-7d7d-44ad-8c2d-2c3a37ce22c3}">
        <chartProps xmlns="https://web.wps.cn/et/2018/main" chartId="{83c142fa-241e-4910-b252-28894cbae75d}"/>
      </c:ext>
    </c:extLst>
  </c:chart>
  <c:spPr>
    <a:solidFill>
      <a:sysClr val="window" lastClr="FFFFFF"/>
    </a:solidFill>
    <a:ln w="9525" cap="flat" cmpd="sng" algn="ctr">
      <a:solidFill>
        <a:sysClr val="windowText" lastClr="000000">
          <a:lumMod val="15000"/>
          <a:lumOff val="85000"/>
        </a:sys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685848229718"/>
          <c:y val="0.0756581937324948"/>
          <c:w val="0.489785801726801"/>
          <c:h val="0.799216473779704"/>
        </c:manualLayout>
      </c:layout>
      <c:pieChart>
        <c:varyColors val="1"/>
        <c:ser>
          <c:idx val="0"/>
          <c:order val="0"/>
          <c:tx>
            <c:strRef>
              <c:f>Sheet1!$B$1</c:f>
              <c:strCache>
                <c:ptCount val="1"/>
                <c:pt idx="0">
                  <c:v>销售额</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0.00%</c:formatCode>
                <c:ptCount val="2"/>
                <c:pt idx="0">
                  <c:v>0.7356</c:v>
                </c:pt>
                <c:pt idx="1">
                  <c:v>0.2643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96287279367011"/>
          <c:y val="0.899710034192838"/>
          <c:w val="0.417650639074863"/>
          <c:h val="0.0113856589147287"/>
        </c:manualLayout>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zero"/>
    <c:showDLblsOverMax val="0"/>
    <c:extLst>
      <c:ext uri="{0b15fc19-7d7d-44ad-8c2d-2c3a37ce22c3}">
        <chartProps xmlns="https://web.wps.cn/et/2018/main" chartId="{7b6270ac-632c-4854-b481-ade7e2fad5a5}"/>
      </c:ext>
    </c:extLst>
  </c:chart>
  <c:spPr>
    <a:solidFill>
      <a:sysClr val="window" lastClr="FFFFFF"/>
    </a:solidFill>
    <a:ln w="9525" cap="flat" cmpd="sng" algn="ctr">
      <a:solidFill>
        <a:sysClr val="windowText" lastClr="000000">
          <a:lumMod val="15000"/>
          <a:lumOff val="85000"/>
        </a:sys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t>收入支出</a:t>
            </a:r>
          </a:p>
        </c:rich>
      </c:tx>
      <c:layout/>
      <c:overlay val="0"/>
    </c:title>
    <c:autoTitleDeleted val="0"/>
    <c:plotArea>
      <c:layout>
        <c:manualLayout>
          <c:layoutTarget val="inner"/>
          <c:xMode val="edge"/>
          <c:yMode val="edge"/>
          <c:x val="0.0984030947062276"/>
          <c:y val="0.176042797938112"/>
          <c:w val="0.747242198505587"/>
          <c:h val="0.713729065600547"/>
        </c:manualLayout>
      </c:layout>
      <c:barChart>
        <c:barDir val="col"/>
        <c:grouping val="clustered"/>
        <c:varyColors val="0"/>
        <c:ser>
          <c:idx val="0"/>
          <c:order val="0"/>
          <c:tx>
            <c:strRef>
              <c:f>Sheet1!$B$1</c:f>
              <c:strCache>
                <c:ptCount val="1"/>
                <c:pt idx="0">
                  <c:v>收入支出（万元）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2022年</c:v>
                </c:pt>
                <c:pt idx="1">
                  <c:v>2023年</c:v>
                </c:pt>
              </c:strCache>
            </c:strRef>
          </c:cat>
          <c:val>
            <c:numRef>
              <c:f>Sheet1!$B$2:$B$3</c:f>
              <c:numCache>
                <c:formatCode>General</c:formatCode>
                <c:ptCount val="2"/>
                <c:pt idx="0">
                  <c:v>2031.77</c:v>
                </c:pt>
                <c:pt idx="1">
                  <c:v>2425.01</c:v>
                </c:pt>
              </c:numCache>
            </c:numRef>
          </c:val>
        </c:ser>
        <c:dLbls>
          <c:showLegendKey val="0"/>
          <c:showVal val="1"/>
          <c:showCatName val="0"/>
          <c:showSerName val="0"/>
          <c:showPercent val="0"/>
          <c:showBubbleSize val="0"/>
        </c:dLbls>
        <c:gapWidth val="40"/>
        <c:axId val="77557760"/>
        <c:axId val="77560448"/>
      </c:barChart>
      <c:catAx>
        <c:axId val="7755776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560448"/>
        <c:crosses val="autoZero"/>
        <c:auto val="1"/>
        <c:lblAlgn val="ctr"/>
        <c:lblOffset val="100"/>
        <c:noMultiLvlLbl val="0"/>
      </c:catAx>
      <c:valAx>
        <c:axId val="775604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557760"/>
        <c:crosses val="autoZero"/>
        <c:crossBetween val="between"/>
      </c:valAx>
    </c:plotArea>
    <c:legend>
      <c:legendPos val="r"/>
      <c:layout>
        <c:manualLayout>
          <c:xMode val="edge"/>
          <c:yMode val="edge"/>
          <c:x val="0.860825338111202"/>
          <c:y val="0.332539391718578"/>
          <c:w val="0.135706854698879"/>
          <c:h val="0.088677171124954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300e0ec-02a1-4876-a6fc-f7209478434d}"/>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t>财政拨款支出</a:t>
            </a:r>
          </a:p>
        </c:rich>
      </c:tx>
      <c:layout/>
      <c:overlay val="0"/>
    </c:title>
    <c:autoTitleDeleted val="0"/>
    <c:plotArea>
      <c:layout>
        <c:manualLayout>
          <c:layoutTarget val="inner"/>
          <c:xMode val="edge"/>
          <c:yMode val="edge"/>
          <c:x val="0.0984030947062276"/>
          <c:y val="0.176042797938112"/>
          <c:w val="0.747242198505587"/>
          <c:h val="0.713729065600547"/>
        </c:manualLayout>
      </c:layout>
      <c:barChart>
        <c:barDir val="col"/>
        <c:grouping val="clustered"/>
        <c:varyColors val="0"/>
        <c:ser>
          <c:idx val="0"/>
          <c:order val="0"/>
          <c:tx>
            <c:strRef>
              <c:f>Sheet1!$B$1</c:f>
              <c:strCache>
                <c:ptCount val="1"/>
                <c:pt idx="0">
                  <c:v>支出总计（万元）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2022年</c:v>
                </c:pt>
                <c:pt idx="1">
                  <c:v>2023年</c:v>
                </c:pt>
              </c:strCache>
            </c:strRef>
          </c:cat>
          <c:val>
            <c:numRef>
              <c:f>Sheet1!$B$2:$B$3</c:f>
              <c:numCache>
                <c:formatCode>General</c:formatCode>
                <c:ptCount val="2"/>
                <c:pt idx="0">
                  <c:v>2013.75</c:v>
                </c:pt>
                <c:pt idx="1">
                  <c:v>2381.5</c:v>
                </c:pt>
              </c:numCache>
            </c:numRef>
          </c:val>
        </c:ser>
        <c:dLbls>
          <c:showLegendKey val="0"/>
          <c:showVal val="1"/>
          <c:showCatName val="0"/>
          <c:showSerName val="0"/>
          <c:showPercent val="0"/>
          <c:showBubbleSize val="0"/>
        </c:dLbls>
        <c:gapWidth val="40"/>
        <c:axId val="77557760"/>
        <c:axId val="77560448"/>
      </c:barChart>
      <c:catAx>
        <c:axId val="7755776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560448"/>
        <c:crosses val="autoZero"/>
        <c:auto val="1"/>
        <c:lblAlgn val="ctr"/>
        <c:lblOffset val="100"/>
        <c:noMultiLvlLbl val="0"/>
      </c:catAx>
      <c:valAx>
        <c:axId val="775604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557760"/>
        <c:crosses val="autoZero"/>
        <c:crossBetween val="between"/>
      </c:valAx>
    </c:plotArea>
    <c:legend>
      <c:legendPos val="r"/>
      <c:layout>
        <c:manualLayout>
          <c:xMode val="edge"/>
          <c:yMode val="edge"/>
          <c:x val="0.860825338111202"/>
          <c:y val="0.332539391718578"/>
          <c:w val="0.135706854698879"/>
          <c:h val="0.088677171124954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b0e9ffd-4621-42c2-a2cb-7b069af64c72}"/>
      </c:ext>
    </c:extLst>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c:v>
                </c:pt>
              </c:strCache>
            </c:strRef>
          </c:tx>
          <c:explosion val="0"/>
          <c:dPt>
            <c:idx val="0"/>
            <c:bubble3D val="0"/>
          </c:dPt>
          <c:dPt>
            <c:idx val="1"/>
            <c:bubble3D val="0"/>
          </c:dPt>
          <c:dPt>
            <c:idx val="2"/>
            <c:bubble3D val="0"/>
          </c:dPt>
          <c:dPt>
            <c:idx val="3"/>
            <c:bubble3D val="0"/>
          </c:dPt>
          <c:dLbls>
            <c:dLbl>
              <c:idx val="0"/>
              <c:layout>
                <c:manualLayout>
                  <c:x val="0.13954505206133"/>
                  <c:y val="-0.042885001224079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3683288428597"/>
                  <c:y val="0.060753751734113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05249326428954"/>
                  <c:y val="0.042885001224079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33070851224818"/>
                  <c:y val="-0.060753751734113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Sheet1!$A$2:$A$5</c:f>
              <c:strCache>
                <c:ptCount val="4"/>
                <c:pt idx="0">
                  <c:v>教育支出类</c:v>
                </c:pt>
                <c:pt idx="1">
                  <c:v>社会保障和就业类</c:v>
                </c:pt>
                <c:pt idx="2">
                  <c:v>卫生健康支出</c:v>
                </c:pt>
                <c:pt idx="3">
                  <c:v>住房保障支出</c:v>
                </c:pt>
              </c:strCache>
            </c:strRef>
          </c:cat>
          <c:val>
            <c:numRef>
              <c:f>Sheet1!$B$2:$B$5</c:f>
              <c:numCache>
                <c:formatCode>0.00%</c:formatCode>
                <c:ptCount val="4"/>
                <c:pt idx="0">
                  <c:v>0.8426</c:v>
                </c:pt>
                <c:pt idx="1">
                  <c:v>0.119</c:v>
                </c:pt>
                <c:pt idx="2">
                  <c:v>0.0286</c:v>
                </c:pt>
                <c:pt idx="3">
                  <c:v>0.0596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3889d7a2-cdbf-46f1-96df-08e69f6d056f}"/>
      </c:ext>
    </c:extLst>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85860306643952"/>
          <c:y val="0.137063778580024"/>
          <c:w val="0.578534923339012"/>
          <c:h val="0.817328519855596"/>
        </c:manualLayout>
      </c:layout>
      <c:pieChart>
        <c:varyColors val="1"/>
        <c:ser>
          <c:idx val="0"/>
          <c:order val="0"/>
          <c:tx>
            <c:strRef>
              <c:f>Sheet1!$B$1</c:f>
              <c:strCache>
                <c:ptCount val="1"/>
                <c:pt idx="0">
                  <c:v>列1</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883960279315258"/>
                  <c:y val="0.023630920549410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8576350210888"/>
                  <c:y val="-0.1309764042790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0127391052161585"/>
                  <c:y val="0.055302931436135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因公出国费</c:v>
                </c:pt>
                <c:pt idx="1">
                  <c:v>公务用车购置及运行维护费</c:v>
                </c:pt>
                <c:pt idx="2">
                  <c:v>公务接待费</c:v>
                </c:pt>
              </c:strCache>
            </c:strRef>
          </c:cat>
          <c:val>
            <c:numRef>
              <c:f>Sheet1!$B$2:$B$4</c:f>
              <c:numCache>
                <c:formatCode>General</c:formatCode>
                <c:ptCount val="3"/>
                <c:pt idx="0">
                  <c:v>0</c:v>
                </c:pt>
                <c:pt idx="1">
                  <c:v>0</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2133690863819"/>
          <c:y val="0.33260810443296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eea31e40-b2c7-44b7-9d51-5cbeedc51ebb}"/>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Company>四川省财政厅</Company>
  <Pages>20</Pages>
  <Words>4797</Words>
  <Characters>5211</Characters>
  <Lines>54</Lines>
  <Paragraphs>15</Paragraphs>
  <TotalTime>7</TotalTime>
  <ScaleCrop>false</ScaleCrop>
  <LinksUpToDate>false</LinksUpToDate>
  <CharactersWithSpaces>5327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碧云天</cp:lastModifiedBy>
  <cp:lastPrinted>2023-08-03T02:35:00Z</cp:lastPrinted>
  <dcterms:modified xsi:type="dcterms:W3CDTF">2024-11-01T00:58:09Z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7E6DDF7BCC384D9FA141853C7D2C4CFD_12</vt:lpwstr>
  </property>
</Properties>
</file>