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052AF">
      <w:pPr>
        <w:spacing w:line="600" w:lineRule="exact"/>
        <w:jc w:val="left"/>
        <w:outlineLvl w:val="9"/>
        <w:rPr>
          <w:rFonts w:ascii="方正小标宋简体" w:hAnsi="宋体" w:eastAsia="方正小标宋简体"/>
          <w:szCs w:val="21"/>
        </w:rPr>
      </w:pPr>
      <w:bookmarkStart w:id="0" w:name="_Toc15306267"/>
    </w:p>
    <w:p w14:paraId="468A9E71">
      <w:pPr>
        <w:pStyle w:val="2"/>
        <w:spacing w:before="93"/>
      </w:pPr>
    </w:p>
    <w:p w14:paraId="35377DAA">
      <w:pPr>
        <w:spacing w:line="600" w:lineRule="exact"/>
        <w:jc w:val="center"/>
        <w:outlineLvl w:val="9"/>
        <w:rPr>
          <w:rFonts w:ascii="方正小标宋简体" w:hAnsi="宋体" w:eastAsia="方正小标宋简体"/>
          <w:sz w:val="72"/>
          <w:szCs w:val="72"/>
        </w:rPr>
      </w:pPr>
    </w:p>
    <w:p w14:paraId="25B992DD">
      <w:pPr>
        <w:spacing w:line="600" w:lineRule="exact"/>
        <w:jc w:val="center"/>
        <w:outlineLvl w:val="9"/>
        <w:rPr>
          <w:rFonts w:ascii="方正小标宋简体" w:hAnsi="宋体" w:eastAsia="方正小标宋简体"/>
          <w:sz w:val="72"/>
          <w:szCs w:val="72"/>
        </w:rPr>
      </w:pPr>
    </w:p>
    <w:p w14:paraId="72DB74AC">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3768"/>
      <w:bookmarkStart w:id="3" w:name="_Toc15396597"/>
      <w:bookmarkStart w:id="4" w:name="_Toc15377193"/>
      <w:bookmarkStart w:id="5" w:name="_Toc15377425"/>
      <w:bookmarkStart w:id="6"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30CFBE9F">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96476"/>
      <w:bookmarkStart w:id="8" w:name="_Toc15377194"/>
      <w:bookmarkStart w:id="9" w:name="_Toc15396598"/>
      <w:bookmarkStart w:id="10" w:name="_Toc15377426"/>
      <w:bookmarkStart w:id="11" w:name="_Toc15378442"/>
      <w:bookmarkStart w:id="12" w:name="_Toc28036"/>
      <w:bookmarkStart w:id="13" w:name="_Toc15306268"/>
      <w:r>
        <w:rPr>
          <w:rFonts w:hint="eastAsia" w:ascii="方正小标宋简体" w:hAnsi="方正小标宋简体" w:eastAsia="方正小标宋简体" w:cs="方正小标宋简体"/>
          <w:sz w:val="72"/>
          <w:szCs w:val="72"/>
        </w:rPr>
        <w:t>峨边彝族自治县毛坪镇中心卫生院单位决算</w:t>
      </w:r>
      <w:bookmarkEnd w:id="7"/>
      <w:bookmarkEnd w:id="8"/>
      <w:bookmarkEnd w:id="9"/>
      <w:bookmarkEnd w:id="10"/>
      <w:bookmarkEnd w:id="11"/>
      <w:bookmarkEnd w:id="12"/>
      <w:bookmarkEnd w:id="13"/>
    </w:p>
    <w:p w14:paraId="17B3D7F1">
      <w:pPr>
        <w:adjustRightInd w:val="0"/>
        <w:snapToGrid w:val="0"/>
        <w:spacing w:line="360" w:lineRule="auto"/>
        <w:jc w:val="center"/>
        <w:outlineLvl w:val="9"/>
        <w:rPr>
          <w:rFonts w:ascii="方正小标宋简体" w:hAnsi="宋体" w:eastAsia="方正小标宋简体"/>
          <w:sz w:val="52"/>
          <w:szCs w:val="52"/>
        </w:rPr>
      </w:pPr>
    </w:p>
    <w:p w14:paraId="27312A95">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0B815FA">
      <w:pPr>
        <w:widowControl/>
        <w:jc w:val="center"/>
        <w:rPr>
          <w:rFonts w:ascii="黑体" w:hAnsi="黑体" w:eastAsia="黑体" w:cstheme="minorBidi"/>
          <w:sz w:val="28"/>
          <w:szCs w:val="28"/>
        </w:rPr>
      </w:pPr>
    </w:p>
    <w:p w14:paraId="51E6B064">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1BD505A1"/>
    <w:sdt>
      <w:sdtPr>
        <w:rPr>
          <w:rFonts w:ascii="宋体" w:hAnsi="宋体" w:eastAsia="宋体" w:cs="Times New Roman"/>
          <w:kern w:val="2"/>
          <w:sz w:val="21"/>
          <w:szCs w:val="24"/>
          <w:lang w:val="en-US" w:eastAsia="zh-CN" w:bidi="ar-SA"/>
        </w:rPr>
        <w:id w:val="147470002"/>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4682EDB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64AEC1B">
          <w:pPr>
            <w:pStyle w:val="33"/>
            <w:tabs>
              <w:tab w:val="right" w:leader="dot" w:pos="8306"/>
            </w:tabs>
            <w:rPr>
              <w:b/>
            </w:rPr>
          </w:pPr>
          <w:r>
            <w:rPr>
              <w:sz w:val="24"/>
            </w:rPr>
            <w:fldChar w:fldCharType="begin"/>
          </w:r>
          <w:r>
            <w:rPr>
              <w:sz w:val="24"/>
            </w:rPr>
            <w:instrText xml:space="preserve">TOC \o "1-2" \h \u </w:instrText>
          </w:r>
          <w:r>
            <w:rPr>
              <w:sz w:val="24"/>
            </w:rPr>
            <w:fldChar w:fldCharType="separate"/>
          </w:r>
        </w:p>
        <w:p w14:paraId="280E0A96">
          <w:pPr>
            <w:pStyle w:val="33"/>
            <w:tabs>
              <w:tab w:val="right" w:leader="dot" w:pos="8306"/>
            </w:tabs>
            <w:rPr>
              <w:b/>
            </w:rPr>
          </w:pPr>
          <w:r>
            <w:rPr>
              <w:b/>
            </w:rPr>
            <w:fldChar w:fldCharType="begin"/>
          </w:r>
          <w:r>
            <w:rPr>
              <w:b/>
            </w:rPr>
            <w:instrText xml:space="preserve"> HYPERLINK \l _Toc11866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_Toc11866 \h </w:instrText>
          </w:r>
          <w:r>
            <w:rPr>
              <w:b/>
            </w:rPr>
            <w:fldChar w:fldCharType="separate"/>
          </w:r>
          <w:r>
            <w:rPr>
              <w:b/>
            </w:rPr>
            <w:t>3</w:t>
          </w:r>
          <w:r>
            <w:rPr>
              <w:b/>
            </w:rPr>
            <w:fldChar w:fldCharType="end"/>
          </w:r>
          <w:r>
            <w:rPr>
              <w:b/>
            </w:rPr>
            <w:fldChar w:fldCharType="end"/>
          </w:r>
        </w:p>
        <w:p w14:paraId="4486C377">
          <w:pPr>
            <w:pStyle w:val="34"/>
            <w:tabs>
              <w:tab w:val="right" w:leader="dot" w:pos="8306"/>
            </w:tabs>
          </w:pPr>
          <w:r>
            <w:fldChar w:fldCharType="begin"/>
          </w:r>
          <w:r>
            <w:instrText xml:space="preserve"> HYPERLINK \l _Toc19494 </w:instrText>
          </w:r>
          <w:r>
            <w:fldChar w:fldCharType="separate"/>
          </w:r>
          <w:r>
            <w:rPr>
              <w:rFonts w:hint="eastAsia" w:ascii="黑体" w:hAnsi="黑体" w:eastAsia="黑体"/>
              <w:bCs w:val="0"/>
            </w:rPr>
            <w:t>一、 主要职责</w:t>
          </w:r>
          <w:r>
            <w:tab/>
          </w:r>
          <w:r>
            <w:fldChar w:fldCharType="begin"/>
          </w:r>
          <w:r>
            <w:instrText xml:space="preserve"> PAGEREF _Toc19494 \h </w:instrText>
          </w:r>
          <w:r>
            <w:fldChar w:fldCharType="separate"/>
          </w:r>
          <w:r>
            <w:t>3</w:t>
          </w:r>
          <w:r>
            <w:fldChar w:fldCharType="end"/>
          </w:r>
          <w:r>
            <w:fldChar w:fldCharType="end"/>
          </w:r>
        </w:p>
        <w:p w14:paraId="097E7847">
          <w:pPr>
            <w:pStyle w:val="34"/>
            <w:tabs>
              <w:tab w:val="right" w:leader="dot" w:pos="8306"/>
            </w:tabs>
          </w:pPr>
          <w:r>
            <w:fldChar w:fldCharType="begin"/>
          </w:r>
          <w:r>
            <w:instrText xml:space="preserve"> HYPERLINK \l _Toc18569 </w:instrText>
          </w:r>
          <w:r>
            <w:fldChar w:fldCharType="separate"/>
          </w:r>
          <w:r>
            <w:rPr>
              <w:rFonts w:hint="eastAsia" w:ascii="黑体" w:hAnsi="黑体" w:eastAsia="黑体"/>
            </w:rPr>
            <w:t>二、机构设置</w:t>
          </w:r>
          <w:r>
            <w:tab/>
          </w:r>
          <w:r>
            <w:fldChar w:fldCharType="begin"/>
          </w:r>
          <w:r>
            <w:instrText xml:space="preserve"> PAGEREF _Toc18569 \h </w:instrText>
          </w:r>
          <w:r>
            <w:fldChar w:fldCharType="separate"/>
          </w:r>
          <w:r>
            <w:t>3</w:t>
          </w:r>
          <w:r>
            <w:fldChar w:fldCharType="end"/>
          </w:r>
          <w:r>
            <w:fldChar w:fldCharType="end"/>
          </w:r>
        </w:p>
        <w:p w14:paraId="32479925">
          <w:pPr>
            <w:pStyle w:val="33"/>
            <w:tabs>
              <w:tab w:val="right" w:leader="dot" w:pos="8306"/>
            </w:tabs>
            <w:rPr>
              <w:b/>
            </w:rPr>
          </w:pPr>
          <w:r>
            <w:rPr>
              <w:b/>
            </w:rPr>
            <w:fldChar w:fldCharType="begin"/>
          </w:r>
          <w:r>
            <w:rPr>
              <w:b/>
            </w:rPr>
            <w:instrText xml:space="preserve"> HYPERLINK \l _Toc11774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_Toc11774 \h </w:instrText>
          </w:r>
          <w:r>
            <w:rPr>
              <w:b/>
            </w:rPr>
            <w:fldChar w:fldCharType="separate"/>
          </w:r>
          <w:r>
            <w:rPr>
              <w:b/>
            </w:rPr>
            <w:t>4</w:t>
          </w:r>
          <w:r>
            <w:rPr>
              <w:b/>
            </w:rPr>
            <w:fldChar w:fldCharType="end"/>
          </w:r>
          <w:r>
            <w:rPr>
              <w:b/>
            </w:rPr>
            <w:fldChar w:fldCharType="end"/>
          </w:r>
        </w:p>
        <w:p w14:paraId="678726E1">
          <w:pPr>
            <w:pStyle w:val="34"/>
            <w:tabs>
              <w:tab w:val="right" w:leader="dot" w:pos="8306"/>
            </w:tabs>
          </w:pPr>
          <w:r>
            <w:fldChar w:fldCharType="begin"/>
          </w:r>
          <w:r>
            <w:instrText xml:space="preserve"> HYPERLINK \l _Toc6645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_Toc6645 \h </w:instrText>
          </w:r>
          <w:r>
            <w:fldChar w:fldCharType="separate"/>
          </w:r>
          <w:r>
            <w:t>4</w:t>
          </w:r>
          <w:r>
            <w:fldChar w:fldCharType="end"/>
          </w:r>
          <w:r>
            <w:fldChar w:fldCharType="end"/>
          </w:r>
        </w:p>
        <w:p w14:paraId="711D2B3A">
          <w:pPr>
            <w:pStyle w:val="34"/>
            <w:tabs>
              <w:tab w:val="right" w:leader="dot" w:pos="8306"/>
            </w:tabs>
          </w:pPr>
          <w:r>
            <w:fldChar w:fldCharType="begin"/>
          </w:r>
          <w:r>
            <w:instrText xml:space="preserve"> HYPERLINK \l _Toc15479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_Toc15479 \h </w:instrText>
          </w:r>
          <w:r>
            <w:fldChar w:fldCharType="separate"/>
          </w:r>
          <w:r>
            <w:t>4</w:t>
          </w:r>
          <w:r>
            <w:fldChar w:fldCharType="end"/>
          </w:r>
          <w:r>
            <w:fldChar w:fldCharType="end"/>
          </w:r>
        </w:p>
        <w:p w14:paraId="6AFAA353">
          <w:pPr>
            <w:pStyle w:val="34"/>
            <w:tabs>
              <w:tab w:val="right" w:leader="dot" w:pos="8306"/>
            </w:tabs>
          </w:pPr>
          <w:r>
            <w:fldChar w:fldCharType="begin"/>
          </w:r>
          <w:r>
            <w:instrText xml:space="preserve"> HYPERLINK \l _Toc24086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_Toc24086 \h </w:instrText>
          </w:r>
          <w:r>
            <w:fldChar w:fldCharType="separate"/>
          </w:r>
          <w:r>
            <w:t>5</w:t>
          </w:r>
          <w:r>
            <w:fldChar w:fldCharType="end"/>
          </w:r>
          <w:r>
            <w:fldChar w:fldCharType="end"/>
          </w:r>
        </w:p>
        <w:p w14:paraId="44D0A131">
          <w:pPr>
            <w:pStyle w:val="34"/>
            <w:tabs>
              <w:tab w:val="right" w:leader="dot" w:pos="8306"/>
            </w:tabs>
          </w:pPr>
          <w:r>
            <w:fldChar w:fldCharType="begin"/>
          </w:r>
          <w:r>
            <w:instrText xml:space="preserve"> HYPERLINK \l _Toc19815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_Toc19815 \h </w:instrText>
          </w:r>
          <w:r>
            <w:fldChar w:fldCharType="separate"/>
          </w:r>
          <w:r>
            <w:t>6</w:t>
          </w:r>
          <w:r>
            <w:fldChar w:fldCharType="end"/>
          </w:r>
          <w:r>
            <w:fldChar w:fldCharType="end"/>
          </w:r>
        </w:p>
        <w:p w14:paraId="4C0DBB0A">
          <w:pPr>
            <w:pStyle w:val="34"/>
            <w:tabs>
              <w:tab w:val="right" w:leader="dot" w:pos="8306"/>
            </w:tabs>
          </w:pPr>
          <w:r>
            <w:fldChar w:fldCharType="begin"/>
          </w:r>
          <w:r>
            <w:instrText xml:space="preserve"> HYPERLINK \l _Toc31829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_Toc31829 \h </w:instrText>
          </w:r>
          <w:r>
            <w:fldChar w:fldCharType="separate"/>
          </w:r>
          <w:r>
            <w:t>6</w:t>
          </w:r>
          <w:r>
            <w:fldChar w:fldCharType="end"/>
          </w:r>
          <w:r>
            <w:fldChar w:fldCharType="end"/>
          </w:r>
        </w:p>
        <w:p w14:paraId="28C17215">
          <w:pPr>
            <w:pStyle w:val="34"/>
            <w:tabs>
              <w:tab w:val="right" w:leader="dot" w:pos="8306"/>
            </w:tabs>
          </w:pPr>
          <w:r>
            <w:fldChar w:fldCharType="begin"/>
          </w:r>
          <w:r>
            <w:instrText xml:space="preserve"> HYPERLINK \l _Toc989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_Toc989 \h </w:instrText>
          </w:r>
          <w:r>
            <w:fldChar w:fldCharType="separate"/>
          </w:r>
          <w:r>
            <w:t>9</w:t>
          </w:r>
          <w:r>
            <w:fldChar w:fldCharType="end"/>
          </w:r>
          <w:r>
            <w:fldChar w:fldCharType="end"/>
          </w:r>
        </w:p>
        <w:p w14:paraId="4FABCB79">
          <w:pPr>
            <w:pStyle w:val="34"/>
            <w:tabs>
              <w:tab w:val="right" w:leader="dot" w:pos="8306"/>
            </w:tabs>
          </w:pPr>
          <w:r>
            <w:fldChar w:fldCharType="begin"/>
          </w:r>
          <w:r>
            <w:instrText xml:space="preserve"> HYPERLINK \l _Toc5107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_Toc5107 \h </w:instrText>
          </w:r>
          <w:r>
            <w:fldChar w:fldCharType="separate"/>
          </w:r>
          <w:r>
            <w:t>9</w:t>
          </w:r>
          <w:r>
            <w:fldChar w:fldCharType="end"/>
          </w:r>
          <w:r>
            <w:fldChar w:fldCharType="end"/>
          </w:r>
        </w:p>
        <w:p w14:paraId="04DD457C">
          <w:pPr>
            <w:pStyle w:val="34"/>
            <w:tabs>
              <w:tab w:val="right" w:leader="dot" w:pos="8306"/>
            </w:tabs>
          </w:pPr>
          <w:r>
            <w:fldChar w:fldCharType="begin"/>
          </w:r>
          <w:r>
            <w:instrText xml:space="preserve"> HYPERLINK \l _Toc30691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_Toc30691 \h </w:instrText>
          </w:r>
          <w:r>
            <w:fldChar w:fldCharType="separate"/>
          </w:r>
          <w:r>
            <w:t>11</w:t>
          </w:r>
          <w:r>
            <w:fldChar w:fldCharType="end"/>
          </w:r>
          <w:r>
            <w:fldChar w:fldCharType="end"/>
          </w:r>
        </w:p>
        <w:p w14:paraId="6DD65EEB">
          <w:pPr>
            <w:pStyle w:val="34"/>
            <w:tabs>
              <w:tab w:val="right" w:leader="dot" w:pos="8306"/>
            </w:tabs>
          </w:pPr>
          <w:r>
            <w:fldChar w:fldCharType="begin"/>
          </w:r>
          <w:r>
            <w:instrText xml:space="preserve"> HYPERLINK \l _Toc27755 </w:instrText>
          </w:r>
          <w:r>
            <w:fldChar w:fldCharType="separate"/>
          </w:r>
          <w:r>
            <w:rPr>
              <w:rFonts w:hint="eastAsia" w:ascii="黑体" w:hAnsi="黑体" w:eastAsia="黑体"/>
            </w:rPr>
            <w:t>九、 国有资本经营预算支出决算情况说明</w:t>
          </w:r>
          <w:r>
            <w:tab/>
          </w:r>
          <w:r>
            <w:fldChar w:fldCharType="begin"/>
          </w:r>
          <w:r>
            <w:instrText xml:space="preserve"> PAGEREF _Toc27755 \h </w:instrText>
          </w:r>
          <w:r>
            <w:fldChar w:fldCharType="separate"/>
          </w:r>
          <w:r>
            <w:t>11</w:t>
          </w:r>
          <w:r>
            <w:fldChar w:fldCharType="end"/>
          </w:r>
          <w:r>
            <w:fldChar w:fldCharType="end"/>
          </w:r>
        </w:p>
        <w:p w14:paraId="303FE7D6">
          <w:pPr>
            <w:pStyle w:val="34"/>
            <w:tabs>
              <w:tab w:val="right" w:leader="dot" w:pos="8306"/>
            </w:tabs>
          </w:pPr>
          <w:r>
            <w:fldChar w:fldCharType="begin"/>
          </w:r>
          <w:r>
            <w:instrText xml:space="preserve"> HYPERLINK \l _Toc22266 </w:instrText>
          </w:r>
          <w:r>
            <w:fldChar w:fldCharType="separate"/>
          </w:r>
          <w:r>
            <w:rPr>
              <w:rFonts w:hint="eastAsia" w:ascii="黑体" w:hAnsi="黑体" w:eastAsia="黑体"/>
            </w:rPr>
            <w:t>十、 其他重要事项的情况说明</w:t>
          </w:r>
          <w:r>
            <w:tab/>
          </w:r>
          <w:r>
            <w:fldChar w:fldCharType="begin"/>
          </w:r>
          <w:r>
            <w:instrText xml:space="preserve"> PAGEREF _Toc22266 \h </w:instrText>
          </w:r>
          <w:r>
            <w:fldChar w:fldCharType="separate"/>
          </w:r>
          <w:r>
            <w:t>11</w:t>
          </w:r>
          <w:r>
            <w:fldChar w:fldCharType="end"/>
          </w:r>
          <w:r>
            <w:fldChar w:fldCharType="end"/>
          </w:r>
        </w:p>
        <w:p w14:paraId="409403A3">
          <w:pPr>
            <w:pStyle w:val="33"/>
            <w:tabs>
              <w:tab w:val="right" w:leader="dot" w:pos="8306"/>
            </w:tabs>
          </w:pPr>
          <w:r>
            <w:rPr>
              <w:b/>
            </w:rPr>
            <w:fldChar w:fldCharType="begin"/>
          </w:r>
          <w:r>
            <w:rPr>
              <w:b/>
            </w:rPr>
            <w:instrText xml:space="preserve"> HYPERLINK \l _Toc842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_Toc842 \h </w:instrText>
          </w:r>
          <w:r>
            <w:rPr>
              <w:b/>
            </w:rPr>
            <w:fldChar w:fldCharType="separate"/>
          </w:r>
          <w:r>
            <w:rPr>
              <w:b/>
            </w:rPr>
            <w:t>13</w:t>
          </w:r>
          <w:r>
            <w:rPr>
              <w:b/>
            </w:rPr>
            <w:fldChar w:fldCharType="end"/>
          </w:r>
          <w:r>
            <w:rPr>
              <w:b/>
            </w:rPr>
            <w:fldChar w:fldCharType="end"/>
          </w:r>
        </w:p>
        <w:p w14:paraId="0555A0EE">
          <w:pPr>
            <w:pStyle w:val="33"/>
            <w:tabs>
              <w:tab w:val="right" w:leader="dot" w:pos="8306"/>
            </w:tabs>
          </w:pPr>
          <w:r>
            <w:rPr>
              <w:b/>
            </w:rPr>
            <w:fldChar w:fldCharType="begin"/>
          </w:r>
          <w:r>
            <w:rPr>
              <w:b/>
            </w:rPr>
            <w:instrText xml:space="preserve"> HYPERLINK \l _Toc2936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_Toc2936 \h </w:instrText>
          </w:r>
          <w:r>
            <w:rPr>
              <w:b/>
            </w:rPr>
            <w:fldChar w:fldCharType="separate"/>
          </w:r>
          <w:r>
            <w:rPr>
              <w:b/>
            </w:rPr>
            <w:t>16</w:t>
          </w:r>
          <w:r>
            <w:rPr>
              <w:b/>
            </w:rPr>
            <w:fldChar w:fldCharType="end"/>
          </w:r>
          <w:r>
            <w:rPr>
              <w:b/>
            </w:rPr>
            <w:fldChar w:fldCharType="end"/>
          </w:r>
        </w:p>
        <w:p w14:paraId="469A0C83">
          <w:pPr>
            <w:pStyle w:val="33"/>
            <w:tabs>
              <w:tab w:val="right" w:leader="dot" w:pos="8306"/>
            </w:tabs>
            <w:rPr>
              <w:b/>
            </w:rPr>
          </w:pPr>
          <w:r>
            <w:rPr>
              <w:b/>
            </w:rPr>
            <w:fldChar w:fldCharType="begin"/>
          </w:r>
          <w:r>
            <w:rPr>
              <w:b/>
            </w:rPr>
            <w:instrText xml:space="preserve"> HYPERLINK \l _Toc8403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_Toc8403 \h </w:instrText>
          </w:r>
          <w:r>
            <w:rPr>
              <w:b/>
            </w:rPr>
            <w:fldChar w:fldCharType="separate"/>
          </w:r>
          <w:r>
            <w:rPr>
              <w:b/>
            </w:rPr>
            <w:t>17</w:t>
          </w:r>
          <w:r>
            <w:rPr>
              <w:b/>
            </w:rPr>
            <w:fldChar w:fldCharType="end"/>
          </w:r>
          <w:r>
            <w:rPr>
              <w:b/>
            </w:rPr>
            <w:fldChar w:fldCharType="end"/>
          </w:r>
        </w:p>
        <w:p w14:paraId="5FD19AD8">
          <w:pPr>
            <w:pStyle w:val="34"/>
            <w:tabs>
              <w:tab w:val="right" w:leader="dot" w:pos="8306"/>
            </w:tabs>
          </w:pPr>
          <w:r>
            <w:fldChar w:fldCharType="begin"/>
          </w:r>
          <w:r>
            <w:instrText xml:space="preserve"> HYPERLINK \l _Toc23875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_Toc23875 \h </w:instrText>
          </w:r>
          <w:r>
            <w:fldChar w:fldCharType="separate"/>
          </w:r>
          <w:r>
            <w:t>17</w:t>
          </w:r>
          <w:r>
            <w:fldChar w:fldCharType="end"/>
          </w:r>
          <w:r>
            <w:fldChar w:fldCharType="end"/>
          </w:r>
        </w:p>
        <w:p w14:paraId="02B5AA0A">
          <w:pPr>
            <w:pStyle w:val="34"/>
            <w:tabs>
              <w:tab w:val="right" w:leader="dot" w:pos="8306"/>
            </w:tabs>
          </w:pPr>
          <w:r>
            <w:fldChar w:fldCharType="begin"/>
          </w:r>
          <w:r>
            <w:instrText xml:space="preserve"> HYPERLINK \l _Toc15565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_Toc15565 \h </w:instrText>
          </w:r>
          <w:r>
            <w:fldChar w:fldCharType="separate"/>
          </w:r>
          <w:r>
            <w:t>17</w:t>
          </w:r>
          <w:r>
            <w:fldChar w:fldCharType="end"/>
          </w:r>
          <w:r>
            <w:fldChar w:fldCharType="end"/>
          </w:r>
        </w:p>
        <w:p w14:paraId="130B59FA">
          <w:pPr>
            <w:pStyle w:val="34"/>
            <w:tabs>
              <w:tab w:val="right" w:leader="dot" w:pos="8306"/>
            </w:tabs>
          </w:pPr>
          <w:r>
            <w:fldChar w:fldCharType="begin"/>
          </w:r>
          <w:r>
            <w:instrText xml:space="preserve"> HYPERLINK \l _Toc30410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_Toc30410 \h </w:instrText>
          </w:r>
          <w:r>
            <w:fldChar w:fldCharType="separate"/>
          </w:r>
          <w:r>
            <w:t>17</w:t>
          </w:r>
          <w:r>
            <w:fldChar w:fldCharType="end"/>
          </w:r>
          <w:r>
            <w:fldChar w:fldCharType="end"/>
          </w:r>
        </w:p>
        <w:p w14:paraId="561DA2AD">
          <w:pPr>
            <w:pStyle w:val="34"/>
            <w:tabs>
              <w:tab w:val="right" w:leader="dot" w:pos="8306"/>
            </w:tabs>
          </w:pPr>
          <w:r>
            <w:fldChar w:fldCharType="begin"/>
          </w:r>
          <w:r>
            <w:instrText xml:space="preserve"> HYPERLINK \l _Toc14704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_Toc14704 \h </w:instrText>
          </w:r>
          <w:r>
            <w:fldChar w:fldCharType="separate"/>
          </w:r>
          <w:r>
            <w:t>17</w:t>
          </w:r>
          <w:r>
            <w:fldChar w:fldCharType="end"/>
          </w:r>
          <w:r>
            <w:fldChar w:fldCharType="end"/>
          </w:r>
        </w:p>
        <w:p w14:paraId="204925D9">
          <w:pPr>
            <w:pStyle w:val="34"/>
            <w:tabs>
              <w:tab w:val="right" w:leader="dot" w:pos="8306"/>
            </w:tabs>
          </w:pPr>
          <w:r>
            <w:fldChar w:fldCharType="begin"/>
          </w:r>
          <w:r>
            <w:instrText xml:space="preserve"> HYPERLINK \l _Toc28761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_Toc28761 \h </w:instrText>
          </w:r>
          <w:r>
            <w:fldChar w:fldCharType="separate"/>
          </w:r>
          <w:r>
            <w:t>17</w:t>
          </w:r>
          <w:r>
            <w:fldChar w:fldCharType="end"/>
          </w:r>
          <w:r>
            <w:fldChar w:fldCharType="end"/>
          </w:r>
        </w:p>
        <w:p w14:paraId="7217C5B7">
          <w:pPr>
            <w:pStyle w:val="34"/>
            <w:tabs>
              <w:tab w:val="right" w:leader="dot" w:pos="8306"/>
            </w:tabs>
          </w:pPr>
          <w:r>
            <w:fldChar w:fldCharType="begin"/>
          </w:r>
          <w:r>
            <w:instrText xml:space="preserve"> HYPERLINK \l _Toc7423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_Toc7423 \h </w:instrText>
          </w:r>
          <w:r>
            <w:fldChar w:fldCharType="separate"/>
          </w:r>
          <w:r>
            <w:t>17</w:t>
          </w:r>
          <w:r>
            <w:fldChar w:fldCharType="end"/>
          </w:r>
          <w:r>
            <w:fldChar w:fldCharType="end"/>
          </w:r>
        </w:p>
        <w:p w14:paraId="6A1A4139">
          <w:pPr>
            <w:pStyle w:val="34"/>
            <w:tabs>
              <w:tab w:val="right" w:leader="dot" w:pos="8306"/>
            </w:tabs>
          </w:pPr>
          <w:r>
            <w:fldChar w:fldCharType="begin"/>
          </w:r>
          <w:r>
            <w:instrText xml:space="preserve"> HYPERLINK \l _Toc31004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_Toc31004 \h </w:instrText>
          </w:r>
          <w:r>
            <w:fldChar w:fldCharType="separate"/>
          </w:r>
          <w:r>
            <w:t>17</w:t>
          </w:r>
          <w:r>
            <w:fldChar w:fldCharType="end"/>
          </w:r>
          <w:r>
            <w:fldChar w:fldCharType="end"/>
          </w:r>
        </w:p>
        <w:p w14:paraId="4C1EE54B">
          <w:pPr>
            <w:pStyle w:val="34"/>
            <w:tabs>
              <w:tab w:val="right" w:leader="dot" w:pos="8306"/>
            </w:tabs>
          </w:pPr>
          <w:r>
            <w:fldChar w:fldCharType="begin"/>
          </w:r>
          <w:r>
            <w:instrText xml:space="preserve"> HYPERLINK \l _Toc31749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_Toc31749 \h </w:instrText>
          </w:r>
          <w:r>
            <w:fldChar w:fldCharType="separate"/>
          </w:r>
          <w:r>
            <w:t>17</w:t>
          </w:r>
          <w:r>
            <w:fldChar w:fldCharType="end"/>
          </w:r>
          <w:r>
            <w:fldChar w:fldCharType="end"/>
          </w:r>
        </w:p>
        <w:p w14:paraId="127A9770">
          <w:pPr>
            <w:pStyle w:val="34"/>
            <w:tabs>
              <w:tab w:val="right" w:leader="dot" w:pos="8306"/>
            </w:tabs>
          </w:pPr>
          <w:r>
            <w:fldChar w:fldCharType="begin"/>
          </w:r>
          <w:r>
            <w:instrText xml:space="preserve"> HYPERLINK \l _Toc13632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_Toc13632 \h </w:instrText>
          </w:r>
          <w:r>
            <w:fldChar w:fldCharType="separate"/>
          </w:r>
          <w:r>
            <w:t>17</w:t>
          </w:r>
          <w:r>
            <w:fldChar w:fldCharType="end"/>
          </w:r>
          <w:r>
            <w:fldChar w:fldCharType="end"/>
          </w:r>
        </w:p>
        <w:p w14:paraId="6E403AFA">
          <w:pPr>
            <w:pStyle w:val="34"/>
            <w:tabs>
              <w:tab w:val="right" w:leader="dot" w:pos="8306"/>
            </w:tabs>
          </w:pPr>
          <w:r>
            <w:fldChar w:fldCharType="begin"/>
          </w:r>
          <w:r>
            <w:instrText xml:space="preserve"> HYPERLINK \l _Toc27805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_Toc27805 \h </w:instrText>
          </w:r>
          <w:r>
            <w:fldChar w:fldCharType="separate"/>
          </w:r>
          <w:r>
            <w:t>17</w:t>
          </w:r>
          <w:r>
            <w:fldChar w:fldCharType="end"/>
          </w:r>
          <w:r>
            <w:fldChar w:fldCharType="end"/>
          </w:r>
        </w:p>
        <w:p w14:paraId="0597017A">
          <w:pPr>
            <w:pStyle w:val="34"/>
            <w:tabs>
              <w:tab w:val="right" w:leader="dot" w:pos="8306"/>
            </w:tabs>
          </w:pPr>
          <w:r>
            <w:fldChar w:fldCharType="begin"/>
          </w:r>
          <w:r>
            <w:instrText xml:space="preserve"> HYPERLINK \l _Toc25224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_Toc25224 \h </w:instrText>
          </w:r>
          <w:r>
            <w:fldChar w:fldCharType="separate"/>
          </w:r>
          <w:r>
            <w:t>17</w:t>
          </w:r>
          <w:r>
            <w:fldChar w:fldCharType="end"/>
          </w:r>
          <w:r>
            <w:fldChar w:fldCharType="end"/>
          </w:r>
        </w:p>
        <w:p w14:paraId="4A6F3932">
          <w:pPr>
            <w:pStyle w:val="34"/>
            <w:tabs>
              <w:tab w:val="right" w:leader="dot" w:pos="8306"/>
            </w:tabs>
          </w:pPr>
          <w:r>
            <w:fldChar w:fldCharType="begin"/>
          </w:r>
          <w:r>
            <w:instrText xml:space="preserve"> HYPERLINK \l _Toc7476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_Toc7476 \h </w:instrText>
          </w:r>
          <w:r>
            <w:fldChar w:fldCharType="separate"/>
          </w:r>
          <w:r>
            <w:t>17</w:t>
          </w:r>
          <w:r>
            <w:fldChar w:fldCharType="end"/>
          </w:r>
          <w:r>
            <w:fldChar w:fldCharType="end"/>
          </w:r>
        </w:p>
        <w:p w14:paraId="3CF570CD">
          <w:pPr>
            <w:pStyle w:val="34"/>
            <w:tabs>
              <w:tab w:val="right" w:leader="dot" w:pos="8306"/>
            </w:tabs>
          </w:pPr>
          <w:r>
            <w:fldChar w:fldCharType="begin"/>
          </w:r>
          <w:r>
            <w:instrText xml:space="preserve"> HYPERLINK \l _Toc1691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_Toc1691 \h </w:instrText>
          </w:r>
          <w:r>
            <w:fldChar w:fldCharType="separate"/>
          </w:r>
          <w:r>
            <w:t>17</w:t>
          </w:r>
          <w:r>
            <w:fldChar w:fldCharType="end"/>
          </w:r>
          <w:r>
            <w:fldChar w:fldCharType="end"/>
          </w:r>
        </w:p>
        <w:p w14:paraId="336C07E6">
          <w:pPr>
            <w:pStyle w:val="12"/>
            <w:adjustRightInd w:val="0"/>
            <w:snapToGrid w:val="0"/>
            <w:spacing w:line="440" w:lineRule="exact"/>
            <w:jc w:val="left"/>
            <w:rPr>
              <w:rFonts w:ascii="Times New Roman" w:hAnsi="Times New Roman" w:eastAsia="宋体" w:cs="Times New Roman"/>
              <w:b/>
              <w:kern w:val="2"/>
              <w:sz w:val="21"/>
              <w:szCs w:val="24"/>
              <w:lang w:val="en-US" w:eastAsia="zh-CN" w:bidi="ar-SA"/>
            </w:rPr>
          </w:pPr>
          <w:r>
            <w:rPr>
              <w:b/>
            </w:rPr>
            <w:fldChar w:fldCharType="end"/>
          </w:r>
        </w:p>
      </w:sdtContent>
    </w:sdt>
    <w:p w14:paraId="5139AE97"/>
    <w:p w14:paraId="45EAAF3F">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14:paraId="28850570">
      <w:pPr>
        <w:pStyle w:val="3"/>
        <w:jc w:val="center"/>
        <w:rPr>
          <w:rStyle w:val="27"/>
          <w:rFonts w:ascii="黑体" w:hAnsi="黑体" w:eastAsia="黑体"/>
          <w:b/>
          <w:bCs w:val="0"/>
        </w:rPr>
      </w:pPr>
      <w:bookmarkStart w:id="16" w:name="_Toc11866"/>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313051A4">
      <w:pPr>
        <w:widowControl/>
        <w:jc w:val="left"/>
        <w:rPr>
          <w:rFonts w:ascii="黑体" w:eastAsia="黑体"/>
          <w:sz w:val="32"/>
          <w:szCs w:val="32"/>
        </w:rPr>
      </w:pPr>
    </w:p>
    <w:p w14:paraId="2A5C0AE5">
      <w:pPr>
        <w:pStyle w:val="4"/>
        <w:numPr>
          <w:ilvl w:val="0"/>
          <w:numId w:val="1"/>
        </w:numPr>
        <w:rPr>
          <w:rStyle w:val="28"/>
          <w:rFonts w:ascii="黑体" w:hAnsi="黑体" w:eastAsia="黑体"/>
          <w:b w:val="0"/>
          <w:bCs w:val="0"/>
        </w:rPr>
      </w:pPr>
      <w:bookmarkStart w:id="17" w:name="_Toc19494"/>
      <w:bookmarkStart w:id="18" w:name="_Toc15377197"/>
      <w:bookmarkStart w:id="19" w:name="_Toc15396600"/>
      <w:r>
        <w:rPr>
          <w:rStyle w:val="28"/>
          <w:rFonts w:hint="eastAsia" w:ascii="黑体" w:hAnsi="黑体" w:eastAsia="黑体"/>
          <w:b w:val="0"/>
          <w:bCs w:val="0"/>
        </w:rPr>
        <w:t>主要职责</w:t>
      </w:r>
      <w:bookmarkEnd w:id="17"/>
    </w:p>
    <w:p w14:paraId="4E2A55B8">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14:paraId="205984B5">
      <w:pPr>
        <w:pStyle w:val="4"/>
        <w:rPr>
          <w:rFonts w:ascii="黑体" w:hAnsi="黑体" w:eastAsia="黑体"/>
          <w:b w:val="0"/>
        </w:rPr>
      </w:pPr>
      <w:bookmarkStart w:id="20" w:name="_Toc18569"/>
      <w:r>
        <w:rPr>
          <w:rFonts w:hint="eastAsia" w:ascii="黑体" w:hAnsi="黑体" w:eastAsia="黑体"/>
          <w:b w:val="0"/>
        </w:rPr>
        <w:t>二、机构设置</w:t>
      </w:r>
      <w:bookmarkEnd w:id="20"/>
    </w:p>
    <w:bookmarkEnd w:id="18"/>
    <w:bookmarkEnd w:id="19"/>
    <w:p w14:paraId="443F6732">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峨边彝族自治县毛坪镇中心卫生院是峨边卫生健康局下属二级预算单位，属于公益一类事业单位。</w:t>
      </w:r>
      <w:r>
        <w:rPr>
          <w:rFonts w:ascii="仿宋" w:hAnsi="仿宋" w:eastAsia="仿宋"/>
          <w:sz w:val="32"/>
          <w:szCs w:val="32"/>
        </w:rPr>
        <w:br w:type="page"/>
      </w:r>
    </w:p>
    <w:p w14:paraId="44980CB5">
      <w:pPr>
        <w:pStyle w:val="3"/>
        <w:ind w:right="440"/>
        <w:jc w:val="center"/>
        <w:rPr>
          <w:rStyle w:val="27"/>
          <w:rFonts w:ascii="黑体" w:hAnsi="黑体" w:eastAsia="黑体"/>
          <w:b w:val="0"/>
          <w:bCs/>
        </w:rPr>
      </w:pPr>
      <w:bookmarkStart w:id="21" w:name="_Toc11774"/>
      <w:bookmarkStart w:id="22" w:name="_Toc15377204"/>
      <w:bookmarkStart w:id="23"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3D41FDEE"/>
    <w:p w14:paraId="587E07DC">
      <w:pPr>
        <w:pStyle w:val="26"/>
        <w:numPr>
          <w:ilvl w:val="0"/>
          <w:numId w:val="2"/>
        </w:numPr>
        <w:spacing w:line="600" w:lineRule="exact"/>
        <w:ind w:firstLineChars="0"/>
        <w:outlineLvl w:val="1"/>
        <w:rPr>
          <w:rStyle w:val="28"/>
          <w:rFonts w:ascii="黑体" w:hAnsi="黑体" w:eastAsia="黑体"/>
          <w:b w:val="0"/>
        </w:rPr>
      </w:pPr>
      <w:bookmarkStart w:id="24" w:name="_Toc15377205"/>
      <w:bookmarkStart w:id="25" w:name="_Toc6645"/>
      <w:bookmarkStart w:id="26"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76F045E0">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367.38</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31.31</w:t>
      </w:r>
      <w:r>
        <w:rPr>
          <w:rFonts w:hint="eastAsia" w:ascii="仿宋" w:hAnsi="仿宋" w:eastAsia="仿宋"/>
          <w:sz w:val="32"/>
          <w:szCs w:val="32"/>
        </w:rPr>
        <w:t>万元，增长</w:t>
      </w:r>
      <w:r>
        <w:rPr>
          <w:rFonts w:hint="eastAsia" w:ascii="仿宋" w:hAnsi="仿宋" w:eastAsia="仿宋"/>
          <w:sz w:val="32"/>
          <w:szCs w:val="32"/>
          <w:lang w:val="en-US" w:eastAsia="zh-CN"/>
        </w:rPr>
        <w:t>9.32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2023年人员经费预算增加</w:t>
      </w:r>
      <w:r>
        <w:rPr>
          <w:rFonts w:hint="eastAsia" w:ascii="仿宋" w:hAnsi="仿宋" w:eastAsia="仿宋"/>
          <w:sz w:val="32"/>
          <w:szCs w:val="32"/>
        </w:rPr>
        <w:t>。</w:t>
      </w:r>
    </w:p>
    <w:p w14:paraId="48716D06">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0669DBA7">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1ACF09C4">
      <w:pPr>
        <w:spacing w:line="600" w:lineRule="exact"/>
        <w:ind w:firstLine="640" w:firstLineChars="200"/>
        <w:jc w:val="left"/>
        <w:rPr>
          <w:rFonts w:ascii="仿宋_GB2312" w:eastAsia="仿宋_GB2312"/>
          <w:sz w:val="32"/>
          <w:szCs w:val="32"/>
        </w:rPr>
      </w:pPr>
    </w:p>
    <w:p w14:paraId="6790CB7D">
      <w:pPr>
        <w:pStyle w:val="26"/>
        <w:numPr>
          <w:ilvl w:val="0"/>
          <w:numId w:val="2"/>
        </w:numPr>
        <w:spacing w:line="600" w:lineRule="exact"/>
        <w:ind w:firstLineChars="0"/>
        <w:outlineLvl w:val="1"/>
        <w:rPr>
          <w:rStyle w:val="28"/>
          <w:rFonts w:ascii="黑体" w:hAnsi="黑体" w:eastAsia="黑体"/>
          <w:b w:val="0"/>
        </w:rPr>
      </w:pPr>
      <w:bookmarkStart w:id="27" w:name="_Toc15396604"/>
      <w:bookmarkStart w:id="28" w:name="_Toc15479"/>
      <w:bookmarkStart w:id="29" w:name="_Toc15377206"/>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64296DE8">
      <w:pPr>
        <w:spacing w:line="600" w:lineRule="exact"/>
        <w:ind w:firstLine="640" w:firstLineChars="200"/>
        <w:outlineLvl w:val="1"/>
        <w:rPr>
          <w:rFonts w:hint="eastAsia" w:ascii="仿宋" w:hAnsi="仿宋" w:eastAsia="仿宋"/>
          <w:sz w:val="32"/>
          <w:szCs w:val="32"/>
          <w:lang w:eastAsia="zh-CN"/>
        </w:rPr>
      </w:pPr>
      <w:bookmarkStart w:id="30" w:name="_Toc12139"/>
      <w:r>
        <w:rPr>
          <w:rFonts w:hint="eastAsia" w:ascii="仿宋" w:hAnsi="仿宋" w:eastAsia="仿宋"/>
          <w:sz w:val="32"/>
          <w:szCs w:val="32"/>
        </w:rPr>
        <w:t>2023年度本年收入合计</w:t>
      </w:r>
      <w:r>
        <w:rPr>
          <w:rFonts w:ascii="仿宋" w:hAnsi="仿宋" w:eastAsia="仿宋"/>
          <w:b/>
          <w:sz w:val="32"/>
          <w:szCs w:val="32"/>
        </w:rPr>
        <w:t>367.38</w:t>
      </w:r>
      <w:r>
        <w:rPr>
          <w:rFonts w:hint="eastAsia" w:ascii="仿宋" w:hAnsi="仿宋" w:eastAsia="仿宋"/>
          <w:sz w:val="32"/>
          <w:szCs w:val="32"/>
        </w:rPr>
        <w:t>万元，其中：一般公共预算财政拨款收入</w:t>
      </w:r>
      <w:r>
        <w:rPr>
          <w:rFonts w:ascii="仿宋" w:hAnsi="仿宋" w:eastAsia="仿宋"/>
          <w:b/>
          <w:sz w:val="32"/>
          <w:szCs w:val="32"/>
        </w:rPr>
        <w:t>346.87</w:t>
      </w:r>
      <w:r>
        <w:rPr>
          <w:rFonts w:hint="eastAsia" w:ascii="仿宋" w:hAnsi="仿宋" w:eastAsia="仿宋"/>
          <w:sz w:val="32"/>
          <w:szCs w:val="32"/>
        </w:rPr>
        <w:t>万元，占</w:t>
      </w:r>
      <w:r>
        <w:rPr>
          <w:rFonts w:ascii="仿宋" w:hAnsi="仿宋" w:eastAsia="仿宋"/>
          <w:b/>
          <w:sz w:val="32"/>
          <w:szCs w:val="32"/>
        </w:rPr>
        <w:t>94.4</w:t>
      </w:r>
      <w:r>
        <w:rPr>
          <w:rFonts w:hint="eastAsia" w:ascii="仿宋" w:hAnsi="仿宋" w:eastAsia="仿宋"/>
          <w:b/>
          <w:sz w:val="32"/>
          <w:szCs w:val="32"/>
          <w:lang w:val="en-US" w:eastAsia="zh-CN"/>
        </w:rPr>
        <w:t>2</w:t>
      </w:r>
      <w:r>
        <w:rPr>
          <w:rFonts w:ascii="仿宋" w:hAnsi="仿宋" w:eastAsia="仿宋"/>
          <w:b/>
          <w:sz w:val="32"/>
          <w:szCs w:val="32"/>
        </w:rPr>
        <w:t>%</w:t>
      </w:r>
      <w:r>
        <w:rPr>
          <w:rFonts w:hint="eastAsia" w:ascii="仿宋" w:hAnsi="仿宋" w:eastAsia="仿宋"/>
          <w:sz w:val="32"/>
          <w:szCs w:val="32"/>
        </w:rPr>
        <w:t>；事业收入</w:t>
      </w:r>
      <w:r>
        <w:rPr>
          <w:rFonts w:ascii="仿宋" w:hAnsi="仿宋" w:eastAsia="仿宋"/>
          <w:b/>
          <w:sz w:val="32"/>
          <w:szCs w:val="32"/>
        </w:rPr>
        <w:t>20.51</w:t>
      </w:r>
      <w:r>
        <w:rPr>
          <w:rFonts w:hint="eastAsia" w:ascii="仿宋" w:hAnsi="仿宋" w:eastAsia="仿宋"/>
          <w:sz w:val="32"/>
          <w:szCs w:val="32"/>
        </w:rPr>
        <w:t>万元，占</w:t>
      </w:r>
      <w:r>
        <w:rPr>
          <w:rFonts w:ascii="仿宋" w:hAnsi="仿宋" w:eastAsia="仿宋"/>
          <w:b/>
          <w:sz w:val="32"/>
          <w:szCs w:val="32"/>
        </w:rPr>
        <w:t>5.5</w:t>
      </w:r>
      <w:r>
        <w:rPr>
          <w:rFonts w:hint="eastAsia" w:ascii="仿宋" w:hAnsi="仿宋" w:eastAsia="仿宋"/>
          <w:b/>
          <w:sz w:val="32"/>
          <w:szCs w:val="32"/>
          <w:lang w:val="en-US" w:eastAsia="zh-CN"/>
        </w:rPr>
        <w:t>8</w:t>
      </w:r>
      <w:r>
        <w:rPr>
          <w:rFonts w:ascii="仿宋" w:hAnsi="仿宋" w:eastAsia="仿宋"/>
          <w:sz w:val="32"/>
          <w:szCs w:val="32"/>
        </w:rPr>
        <w:t>%</w:t>
      </w:r>
      <w:r>
        <w:rPr>
          <w:rFonts w:hint="eastAsia" w:ascii="仿宋" w:hAnsi="仿宋" w:eastAsia="仿宋"/>
          <w:sz w:val="32"/>
          <w:szCs w:val="32"/>
          <w:lang w:eastAsia="zh-CN"/>
        </w:rPr>
        <w:t>。</w:t>
      </w:r>
      <w:bookmarkEnd w:id="30"/>
    </w:p>
    <w:p w14:paraId="1E150952">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2C1225E1">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6088254F">
      <w:pPr>
        <w:spacing w:line="600" w:lineRule="exact"/>
        <w:ind w:firstLine="640" w:firstLineChars="200"/>
        <w:rPr>
          <w:rFonts w:ascii="仿宋_GB2312" w:eastAsia="仿宋_GB2312"/>
          <w:sz w:val="32"/>
          <w:szCs w:val="32"/>
        </w:rPr>
      </w:pPr>
    </w:p>
    <w:p w14:paraId="7FAA35CB">
      <w:pPr>
        <w:pStyle w:val="26"/>
        <w:numPr>
          <w:ilvl w:val="0"/>
          <w:numId w:val="2"/>
        </w:numPr>
        <w:spacing w:line="600" w:lineRule="exact"/>
        <w:ind w:firstLineChars="0"/>
        <w:outlineLvl w:val="1"/>
        <w:rPr>
          <w:rStyle w:val="28"/>
          <w:rFonts w:ascii="黑体" w:hAnsi="黑体" w:eastAsia="黑体"/>
          <w:b w:val="0"/>
        </w:rPr>
      </w:pPr>
      <w:bookmarkStart w:id="31" w:name="_Toc24086"/>
      <w:bookmarkStart w:id="32" w:name="_Toc15377207"/>
      <w:bookmarkStart w:id="33" w:name="_Toc15396605"/>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3DFA3F49">
      <w:pPr>
        <w:spacing w:line="600" w:lineRule="exact"/>
        <w:ind w:firstLine="640" w:firstLineChars="200"/>
        <w:outlineLvl w:val="1"/>
        <w:rPr>
          <w:rFonts w:ascii="仿宋" w:hAnsi="仿宋" w:eastAsia="仿宋"/>
          <w:sz w:val="32"/>
          <w:szCs w:val="32"/>
        </w:rPr>
      </w:pPr>
      <w:bookmarkStart w:id="34" w:name="_Toc14004"/>
      <w:r>
        <w:rPr>
          <w:rFonts w:hint="eastAsia" w:ascii="仿宋" w:hAnsi="仿宋" w:eastAsia="仿宋"/>
          <w:sz w:val="32"/>
          <w:szCs w:val="32"/>
        </w:rPr>
        <w:t>2023年度本年支出合计</w:t>
      </w:r>
      <w:r>
        <w:rPr>
          <w:rFonts w:ascii="仿宋" w:hAnsi="仿宋" w:eastAsia="仿宋"/>
          <w:b/>
          <w:sz w:val="32"/>
          <w:szCs w:val="32"/>
        </w:rPr>
        <w:t>367.38</w:t>
      </w:r>
      <w:r>
        <w:rPr>
          <w:rFonts w:hint="eastAsia" w:ascii="仿宋" w:hAnsi="仿宋" w:eastAsia="仿宋"/>
          <w:sz w:val="32"/>
          <w:szCs w:val="32"/>
        </w:rPr>
        <w:t>万元，其中：基本支出</w:t>
      </w:r>
      <w:r>
        <w:rPr>
          <w:rFonts w:ascii="仿宋" w:hAnsi="仿宋" w:eastAsia="仿宋"/>
          <w:b/>
          <w:sz w:val="32"/>
          <w:szCs w:val="32"/>
        </w:rPr>
        <w:t>295.42</w:t>
      </w:r>
      <w:r>
        <w:rPr>
          <w:rFonts w:hint="eastAsia" w:ascii="仿宋" w:hAnsi="仿宋" w:eastAsia="仿宋"/>
          <w:sz w:val="32"/>
          <w:szCs w:val="32"/>
        </w:rPr>
        <w:t>万元，占</w:t>
      </w:r>
      <w:r>
        <w:rPr>
          <w:rFonts w:ascii="仿宋" w:hAnsi="仿宋" w:eastAsia="仿宋"/>
          <w:b/>
          <w:sz w:val="32"/>
          <w:szCs w:val="32"/>
        </w:rPr>
        <w:t>80.41</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71.96</w:t>
      </w:r>
      <w:r>
        <w:rPr>
          <w:rFonts w:hint="eastAsia" w:ascii="仿宋" w:hAnsi="仿宋" w:eastAsia="仿宋"/>
          <w:sz w:val="32"/>
          <w:szCs w:val="32"/>
        </w:rPr>
        <w:t>万元，占</w:t>
      </w:r>
      <w:r>
        <w:rPr>
          <w:rFonts w:ascii="仿宋" w:hAnsi="仿宋" w:eastAsia="仿宋"/>
          <w:b/>
          <w:sz w:val="32"/>
          <w:szCs w:val="32"/>
        </w:rPr>
        <w:t>19.5</w:t>
      </w:r>
      <w:r>
        <w:rPr>
          <w:rFonts w:hint="eastAsia" w:ascii="仿宋" w:hAnsi="仿宋" w:eastAsia="仿宋"/>
          <w:b/>
          <w:sz w:val="32"/>
          <w:szCs w:val="32"/>
          <w:lang w:val="en-US" w:eastAsia="zh-CN"/>
        </w:rPr>
        <w:t>9</w:t>
      </w:r>
      <w:r>
        <w:rPr>
          <w:rFonts w:ascii="仿宋" w:hAnsi="仿宋" w:eastAsia="仿宋"/>
          <w:sz w:val="32"/>
          <w:szCs w:val="32"/>
        </w:rPr>
        <w:t>%</w:t>
      </w:r>
      <w:r>
        <w:rPr>
          <w:rFonts w:hint="eastAsia" w:ascii="仿宋" w:hAnsi="仿宋" w:eastAsia="仿宋"/>
          <w:sz w:val="32"/>
          <w:szCs w:val="32"/>
        </w:rPr>
        <w:t>。</w:t>
      </w:r>
      <w:bookmarkEnd w:id="34"/>
    </w:p>
    <w:p w14:paraId="6584BE27">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5B20B62F">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07A12C86">
      <w:pPr>
        <w:spacing w:line="600" w:lineRule="exact"/>
        <w:ind w:firstLine="640" w:firstLineChars="200"/>
        <w:rPr>
          <w:rFonts w:ascii="仿宋_GB2312" w:eastAsia="仿宋_GB2312"/>
          <w:sz w:val="32"/>
          <w:szCs w:val="32"/>
        </w:rPr>
      </w:pPr>
    </w:p>
    <w:p w14:paraId="0F1D501F">
      <w:pPr>
        <w:spacing w:line="600" w:lineRule="exact"/>
        <w:ind w:firstLine="640" w:firstLineChars="200"/>
        <w:outlineLvl w:val="1"/>
        <w:rPr>
          <w:rStyle w:val="28"/>
          <w:rFonts w:ascii="黑体" w:hAnsi="黑体" w:eastAsia="黑体"/>
          <w:b w:val="0"/>
        </w:rPr>
      </w:pPr>
      <w:bookmarkStart w:id="35" w:name="_Toc19815"/>
      <w:bookmarkStart w:id="36" w:name="_Toc15377208"/>
      <w:bookmarkStart w:id="37"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3D80EFA5">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346.87</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69.26</w:t>
      </w:r>
      <w:r>
        <w:rPr>
          <w:rFonts w:hint="eastAsia" w:ascii="仿宋" w:hAnsi="仿宋" w:eastAsia="仿宋"/>
          <w:sz w:val="32"/>
          <w:szCs w:val="32"/>
        </w:rPr>
        <w:t>万元，增长</w:t>
      </w:r>
      <w:r>
        <w:rPr>
          <w:rFonts w:hint="eastAsia" w:ascii="仿宋" w:hAnsi="仿宋" w:eastAsia="仿宋"/>
          <w:sz w:val="32"/>
          <w:szCs w:val="32"/>
          <w:lang w:val="en-US" w:eastAsia="zh-CN"/>
        </w:rPr>
        <w:t>24.95</w:t>
      </w:r>
      <w:r>
        <w:rPr>
          <w:rFonts w:ascii="仿宋" w:hAnsi="仿宋" w:eastAsia="仿宋"/>
          <w:sz w:val="32"/>
          <w:szCs w:val="32"/>
        </w:rPr>
        <w:t>%</w:t>
      </w:r>
      <w:r>
        <w:rPr>
          <w:rFonts w:hint="eastAsia" w:ascii="仿宋" w:hAnsi="仿宋" w:eastAsia="仿宋"/>
          <w:sz w:val="32"/>
          <w:szCs w:val="32"/>
        </w:rPr>
        <w:t>。主要变动原因是2023年人员经费预算增加</w:t>
      </w:r>
      <w:r>
        <w:rPr>
          <w:rFonts w:hint="eastAsia" w:ascii="仿宋" w:hAnsi="仿宋" w:eastAsia="仿宋"/>
          <w:sz w:val="32"/>
          <w:szCs w:val="32"/>
          <w:lang w:eastAsia="zh-CN"/>
        </w:rPr>
        <w:t>。</w:t>
      </w:r>
    </w:p>
    <w:p w14:paraId="0FA2C334">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11A4EAB3">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51028493">
      <w:pPr>
        <w:spacing w:line="600" w:lineRule="exact"/>
        <w:ind w:firstLine="640"/>
        <w:rPr>
          <w:rFonts w:ascii="仿宋" w:hAnsi="仿宋" w:eastAsia="仿宋"/>
          <w:b/>
          <w:sz w:val="32"/>
          <w:szCs w:val="32"/>
        </w:rPr>
      </w:pPr>
    </w:p>
    <w:p w14:paraId="3CC3315F">
      <w:pPr>
        <w:spacing w:line="600" w:lineRule="exact"/>
        <w:ind w:firstLine="640" w:firstLineChars="200"/>
        <w:outlineLvl w:val="1"/>
        <w:rPr>
          <w:rStyle w:val="28"/>
          <w:rFonts w:ascii="黑体" w:hAnsi="黑体" w:eastAsia="黑体"/>
          <w:b w:val="0"/>
        </w:rPr>
      </w:pPr>
      <w:bookmarkStart w:id="38" w:name="_Toc15396607"/>
      <w:bookmarkStart w:id="39" w:name="_Toc15377209"/>
      <w:bookmarkStart w:id="40" w:name="_Toc3182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4BD16293">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0199C9AA">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346.87</w:t>
      </w:r>
      <w:r>
        <w:rPr>
          <w:rFonts w:hint="eastAsia" w:ascii="仿宋" w:hAnsi="仿宋" w:eastAsia="仿宋"/>
          <w:sz w:val="32"/>
          <w:szCs w:val="32"/>
        </w:rPr>
        <w:t>万元，占本年支出合计的</w:t>
      </w:r>
      <w:r>
        <w:rPr>
          <w:rFonts w:ascii="仿宋" w:hAnsi="仿宋" w:eastAsia="仿宋"/>
          <w:b/>
          <w:sz w:val="32"/>
          <w:szCs w:val="32"/>
        </w:rPr>
        <w:t>94.41</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69.26</w:t>
      </w:r>
      <w:r>
        <w:rPr>
          <w:rFonts w:hint="eastAsia" w:ascii="仿宋" w:hAnsi="仿宋" w:eastAsia="仿宋"/>
          <w:sz w:val="32"/>
          <w:szCs w:val="32"/>
        </w:rPr>
        <w:t>万元，增长</w:t>
      </w:r>
      <w:r>
        <w:rPr>
          <w:rFonts w:hint="eastAsia" w:ascii="仿宋" w:hAnsi="仿宋" w:eastAsia="仿宋"/>
          <w:sz w:val="32"/>
          <w:szCs w:val="32"/>
          <w:lang w:val="en-US" w:eastAsia="zh-CN"/>
        </w:rPr>
        <w:t>24.95</w:t>
      </w:r>
      <w:r>
        <w:rPr>
          <w:rFonts w:ascii="仿宋" w:hAnsi="仿宋" w:eastAsia="仿宋"/>
          <w:sz w:val="32"/>
          <w:szCs w:val="32"/>
        </w:rPr>
        <w:t>%</w:t>
      </w:r>
      <w:r>
        <w:rPr>
          <w:rFonts w:hint="eastAsia" w:ascii="仿宋" w:hAnsi="仿宋" w:eastAsia="仿宋"/>
          <w:sz w:val="32"/>
          <w:szCs w:val="32"/>
        </w:rPr>
        <w:t>。主要变动原因是2023年人员经费预算增加</w:t>
      </w:r>
      <w:r>
        <w:rPr>
          <w:rFonts w:hint="eastAsia" w:ascii="仿宋" w:hAnsi="仿宋" w:eastAsia="仿宋"/>
          <w:sz w:val="32"/>
          <w:szCs w:val="32"/>
          <w:lang w:eastAsia="zh-CN"/>
        </w:rPr>
        <w:t>。</w:t>
      </w:r>
    </w:p>
    <w:p w14:paraId="105EB382">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7609174E">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50F1E9CE">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42039A6A">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346.87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40.26</w:t>
      </w:r>
      <w:r>
        <w:rPr>
          <w:rFonts w:hint="eastAsia" w:ascii="仿宋" w:hAnsi="仿宋" w:eastAsia="仿宋"/>
          <w:sz w:val="32"/>
          <w:szCs w:val="32"/>
        </w:rPr>
        <w:t>万元，占</w:t>
      </w:r>
      <w:r>
        <w:rPr>
          <w:rFonts w:hint="eastAsia" w:ascii="仿宋" w:hAnsi="仿宋" w:eastAsia="仿宋"/>
          <w:sz w:val="32"/>
          <w:szCs w:val="32"/>
          <w:lang w:val="en-US" w:eastAsia="zh-CN"/>
        </w:rPr>
        <w:t>11.61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281.67</w:t>
      </w:r>
      <w:r>
        <w:rPr>
          <w:rFonts w:hint="eastAsia" w:ascii="仿宋" w:hAnsi="仿宋" w:eastAsia="仿宋"/>
          <w:sz w:val="32"/>
          <w:szCs w:val="32"/>
        </w:rPr>
        <w:t>万元，占</w:t>
      </w:r>
      <w:r>
        <w:rPr>
          <w:rFonts w:hint="eastAsia" w:ascii="仿宋" w:hAnsi="仿宋" w:eastAsia="仿宋"/>
          <w:sz w:val="32"/>
          <w:szCs w:val="32"/>
          <w:lang w:val="en-US" w:eastAsia="zh-CN"/>
        </w:rPr>
        <w:t>81.20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24.94</w:t>
      </w:r>
      <w:r>
        <w:rPr>
          <w:rFonts w:hint="eastAsia" w:ascii="仿宋" w:hAnsi="仿宋" w:eastAsia="仿宋"/>
          <w:sz w:val="32"/>
          <w:szCs w:val="32"/>
        </w:rPr>
        <w:t>万元，占</w:t>
      </w:r>
      <w:r>
        <w:rPr>
          <w:rFonts w:hint="eastAsia" w:ascii="仿宋" w:hAnsi="仿宋" w:eastAsia="仿宋"/>
          <w:sz w:val="32"/>
          <w:szCs w:val="32"/>
          <w:lang w:val="en-US" w:eastAsia="zh-CN"/>
        </w:rPr>
        <w:t>7.19</w:t>
      </w:r>
      <w:r>
        <w:rPr>
          <w:rFonts w:ascii="仿宋" w:hAnsi="仿宋" w:eastAsia="仿宋"/>
          <w:sz w:val="32"/>
          <w:szCs w:val="32"/>
        </w:rPr>
        <w:t>%</w:t>
      </w:r>
      <w:r>
        <w:rPr>
          <w:rFonts w:hint="eastAsia" w:ascii="仿宋" w:hAnsi="仿宋" w:eastAsia="仿宋"/>
          <w:sz w:val="32"/>
          <w:szCs w:val="32"/>
        </w:rPr>
        <w:t>。</w:t>
      </w:r>
    </w:p>
    <w:p w14:paraId="3570775D">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1F12E6EB">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1CA5A916">
      <w:pPr>
        <w:spacing w:line="600" w:lineRule="exact"/>
        <w:ind w:firstLine="640" w:firstLineChars="200"/>
        <w:rPr>
          <w:rFonts w:ascii="仿宋" w:hAnsi="仿宋" w:eastAsia="仿宋"/>
          <w:sz w:val="32"/>
          <w:szCs w:val="32"/>
        </w:rPr>
      </w:pPr>
    </w:p>
    <w:p w14:paraId="23367286">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1E58DFFE">
      <w:pPr>
        <w:spacing w:line="600" w:lineRule="exact"/>
        <w:ind w:firstLine="643" w:firstLineChars="200"/>
        <w:outlineLvl w:val="1"/>
        <w:rPr>
          <w:rFonts w:ascii="仿宋" w:hAnsi="仿宋" w:eastAsia="仿宋"/>
          <w:sz w:val="32"/>
          <w:szCs w:val="32"/>
        </w:rPr>
      </w:pPr>
      <w:bookmarkStart w:id="44" w:name="_Toc22628"/>
      <w:bookmarkStart w:id="45" w:name="_Toc15378460"/>
      <w:bookmarkStart w:id="46" w:name="_Toc15377213"/>
      <w:bookmarkStart w:id="47" w:name="_Toc15377444"/>
      <w:r>
        <w:rPr>
          <w:rFonts w:hint="eastAsia" w:ascii="仿宋" w:hAnsi="仿宋" w:eastAsia="仿宋"/>
          <w:b/>
          <w:sz w:val="32"/>
          <w:szCs w:val="32"/>
        </w:rPr>
        <w:t>2023年度一般公共预算支出决算数为</w:t>
      </w:r>
      <w:r>
        <w:rPr>
          <w:rFonts w:ascii="仿宋" w:hAnsi="仿宋" w:eastAsia="仿宋"/>
          <w:b/>
          <w:sz w:val="32"/>
          <w:szCs w:val="32"/>
        </w:rPr>
        <w:t>346.87</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7B74C0D6">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24.76</w:t>
      </w:r>
      <w:r>
        <w:rPr>
          <w:rFonts w:hint="eastAsia" w:ascii="仿宋_GB2312" w:hAnsi="仿宋_GB2312" w:eastAsia="仿宋_GB2312"/>
          <w:color w:val="000000"/>
          <w:kern w:val="2"/>
          <w:sz w:val="32"/>
          <w:szCs w:val="24"/>
          <w:lang w:val="en-US"/>
        </w:rPr>
        <w:t>万元，完成预算100%，决算数与预算数持平。</w:t>
      </w:r>
    </w:p>
    <w:p w14:paraId="22A88BC9">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12.10</w:t>
      </w:r>
      <w:r>
        <w:rPr>
          <w:rFonts w:hint="eastAsia" w:ascii="仿宋_GB2312" w:hAnsi="仿宋_GB2312" w:eastAsia="仿宋_GB2312"/>
          <w:color w:val="000000"/>
          <w:kern w:val="2"/>
          <w:sz w:val="32"/>
          <w:szCs w:val="24"/>
          <w:lang w:val="en-US"/>
        </w:rPr>
        <w:t>万元，完成预算100%，决算数与预算数持平。</w:t>
      </w:r>
    </w:p>
    <w:p w14:paraId="24B12AC0">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 xml:space="preserve">3.社会保障和就业（类）其他社会保障和就业支出（款）其他社会保障和就业支出（项）: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3.40</w:t>
      </w:r>
      <w:r>
        <w:rPr>
          <w:rFonts w:hint="eastAsia" w:ascii="仿宋_GB2312" w:hAnsi="仿宋_GB2312" w:eastAsia="仿宋_GB2312"/>
          <w:color w:val="000000"/>
          <w:kern w:val="2"/>
          <w:sz w:val="32"/>
          <w:szCs w:val="24"/>
          <w:lang w:val="en-US"/>
        </w:rPr>
        <w:t>万元，完成预算100%，决算数与预算数持平。</w:t>
      </w:r>
    </w:p>
    <w:p w14:paraId="276F8B7E">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204.25</w:t>
      </w:r>
      <w:r>
        <w:rPr>
          <w:rFonts w:hint="eastAsia" w:ascii="仿宋_GB2312" w:hAnsi="仿宋_GB2312" w:eastAsia="仿宋_GB2312"/>
          <w:color w:val="000000"/>
          <w:kern w:val="2"/>
          <w:sz w:val="32"/>
          <w:szCs w:val="24"/>
          <w:lang w:val="en-US"/>
        </w:rPr>
        <w:t>万元，完成预算100%，决算数与预算数持平。</w:t>
      </w:r>
    </w:p>
    <w:p w14:paraId="67066BEC">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7.57</w:t>
      </w:r>
      <w:r>
        <w:rPr>
          <w:rFonts w:hint="eastAsia" w:ascii="仿宋_GB2312" w:hAnsi="仿宋_GB2312" w:eastAsia="仿宋_GB2312"/>
          <w:color w:val="000000"/>
          <w:kern w:val="2"/>
          <w:sz w:val="32"/>
          <w:szCs w:val="24"/>
          <w:lang w:val="en-US"/>
        </w:rPr>
        <w:t>万元，完成预算100%，决算数与预算数持平。</w:t>
      </w:r>
    </w:p>
    <w:p w14:paraId="591FA506">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58.49</w:t>
      </w:r>
      <w:r>
        <w:rPr>
          <w:rFonts w:hint="eastAsia" w:ascii="仿宋_GB2312" w:hAnsi="仿宋_GB2312" w:eastAsia="仿宋_GB2312"/>
          <w:color w:val="000000"/>
          <w:kern w:val="2"/>
          <w:sz w:val="32"/>
          <w:szCs w:val="24"/>
          <w:lang w:val="en-US"/>
        </w:rPr>
        <w:t>万元，完成预算100%，决算数与预算数持平。</w:t>
      </w:r>
    </w:p>
    <w:p w14:paraId="6AD100CF">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7.卫生健康（类）行政事业单位医疗（款）事业单位医疗（项）: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9.99</w:t>
      </w:r>
      <w:r>
        <w:rPr>
          <w:rFonts w:hint="eastAsia" w:ascii="仿宋_GB2312" w:hAnsi="仿宋_GB2312" w:eastAsia="仿宋_GB2312"/>
          <w:color w:val="000000"/>
          <w:kern w:val="2"/>
          <w:sz w:val="32"/>
          <w:szCs w:val="24"/>
          <w:lang w:val="en-US"/>
        </w:rPr>
        <w:t>万元，完成预算100%，决算数与预算数持平。</w:t>
      </w:r>
    </w:p>
    <w:p w14:paraId="1F270ED7">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1.38</w:t>
      </w:r>
      <w:r>
        <w:rPr>
          <w:rFonts w:hint="eastAsia" w:ascii="仿宋_GB2312" w:hAnsi="仿宋_GB2312" w:eastAsia="仿宋_GB2312"/>
          <w:color w:val="000000"/>
          <w:kern w:val="2"/>
          <w:sz w:val="32"/>
          <w:szCs w:val="24"/>
          <w:lang w:val="en-US"/>
        </w:rPr>
        <w:t>万元，完成预算100%，决算数与预算数持平。</w:t>
      </w:r>
    </w:p>
    <w:p w14:paraId="3278B7B1">
      <w:pPr>
        <w:spacing w:beforeLines="0" w:afterLines="0" w:line="576" w:lineRule="exact"/>
        <w:ind w:firstLine="643"/>
        <w:jc w:val="both"/>
        <w:rPr>
          <w:rFonts w:ascii="仿宋" w:hAnsi="仿宋" w:eastAsia="仿宋"/>
          <w:b/>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24.94</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7BC48C18">
      <w:pPr>
        <w:spacing w:line="600" w:lineRule="exact"/>
        <w:ind w:firstLine="640"/>
        <w:rPr>
          <w:rFonts w:ascii="仿宋" w:hAnsi="仿宋" w:eastAsia="仿宋"/>
          <w:b/>
          <w:sz w:val="32"/>
          <w:szCs w:val="32"/>
        </w:rPr>
      </w:pPr>
    </w:p>
    <w:p w14:paraId="3F116317">
      <w:pPr>
        <w:tabs>
          <w:tab w:val="right" w:pos="8306"/>
        </w:tabs>
        <w:spacing w:line="600" w:lineRule="exact"/>
        <w:ind w:firstLine="640"/>
        <w:outlineLvl w:val="1"/>
        <w:rPr>
          <w:rStyle w:val="28"/>
        </w:rPr>
      </w:pPr>
      <w:bookmarkStart w:id="48" w:name="_Toc15396608"/>
      <w:bookmarkStart w:id="49" w:name="_Toc15377214"/>
      <w:bookmarkStart w:id="50" w:name="_Toc989"/>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20FF8C30">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274.91</w:t>
      </w:r>
      <w:r>
        <w:rPr>
          <w:rFonts w:hint="eastAsia" w:ascii="仿宋" w:hAnsi="仿宋" w:eastAsia="仿宋"/>
          <w:sz w:val="32"/>
          <w:szCs w:val="32"/>
        </w:rPr>
        <w:t>万元，其中：</w:t>
      </w:r>
    </w:p>
    <w:p w14:paraId="7B5C5A52">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269.36</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生活补助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5.55</w:t>
      </w:r>
      <w:r>
        <w:rPr>
          <w:rFonts w:hint="eastAsia" w:ascii="仿宋" w:hAnsi="仿宋" w:eastAsia="仿宋"/>
          <w:sz w:val="32"/>
          <w:szCs w:val="32"/>
        </w:rPr>
        <w:t>万元，主要包括：工会经费、福利费、公务用车运行维护费等。</w:t>
      </w:r>
    </w:p>
    <w:p w14:paraId="491C9112">
      <w:pPr>
        <w:spacing w:line="600" w:lineRule="exact"/>
        <w:ind w:firstLine="640"/>
        <w:rPr>
          <w:rFonts w:ascii="仿宋" w:hAnsi="仿宋" w:eastAsia="仿宋"/>
          <w:b/>
          <w:sz w:val="32"/>
          <w:szCs w:val="32"/>
        </w:rPr>
      </w:pPr>
    </w:p>
    <w:p w14:paraId="3459D42E">
      <w:pPr>
        <w:spacing w:line="600" w:lineRule="exact"/>
        <w:ind w:firstLine="640"/>
        <w:outlineLvl w:val="1"/>
        <w:rPr>
          <w:rStyle w:val="28"/>
          <w:rFonts w:ascii="黑体" w:hAnsi="黑体" w:eastAsia="黑体"/>
          <w:b w:val="0"/>
        </w:rPr>
      </w:pPr>
      <w:bookmarkStart w:id="51" w:name="_Toc15377215"/>
      <w:bookmarkStart w:id="52" w:name="_Toc5107"/>
      <w:bookmarkStart w:id="53"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4757FDF5">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4F00C2DD">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1.26</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1.28</w:t>
      </w:r>
      <w:r>
        <w:rPr>
          <w:rFonts w:hint="eastAsia" w:ascii="仿宋" w:hAnsi="仿宋" w:eastAsia="仿宋"/>
          <w:sz w:val="32"/>
          <w:szCs w:val="32"/>
        </w:rPr>
        <w:t>万元，下降</w:t>
      </w:r>
      <w:r>
        <w:rPr>
          <w:rFonts w:hint="eastAsia" w:ascii="仿宋" w:hAnsi="仿宋" w:eastAsia="仿宋"/>
          <w:sz w:val="32"/>
          <w:szCs w:val="32"/>
          <w:lang w:val="en-US" w:eastAsia="zh-CN"/>
        </w:rPr>
        <w:t>50.39</w:t>
      </w:r>
      <w:r>
        <w:rPr>
          <w:rFonts w:hint="eastAsia" w:ascii="仿宋" w:hAnsi="仿宋" w:eastAsia="仿宋"/>
          <w:sz w:val="32"/>
          <w:szCs w:val="32"/>
        </w:rPr>
        <w:t>%。决算数与预算数持平的主要原因是合理安排三公经费支出。</w:t>
      </w:r>
    </w:p>
    <w:p w14:paraId="4B56D500">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189AC236">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1.26</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57A6CB16">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72442A35">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6DA97FA1">
      <w:pPr>
        <w:spacing w:line="600" w:lineRule="exact"/>
        <w:ind w:firstLine="640"/>
        <w:rPr>
          <w:rFonts w:ascii="仿宋_GB2312" w:eastAsia="仿宋_GB2312"/>
          <w:sz w:val="32"/>
          <w:szCs w:val="32"/>
        </w:rPr>
      </w:pPr>
      <w:bookmarkStart w:id="56" w:name="_Toc15396610"/>
      <w:bookmarkStart w:id="57"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B0A2B16">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1.26</w:t>
      </w:r>
      <w:r>
        <w:rPr>
          <w:rFonts w:hint="eastAsia" w:ascii="仿宋_GB2312" w:eastAsia="仿宋_GB2312"/>
          <w:sz w:val="32"/>
          <w:szCs w:val="32"/>
        </w:rPr>
        <w:t>万元</w:t>
      </w:r>
      <w:r>
        <w:rPr>
          <w:rFonts w:hint="eastAsia" w:ascii="仿宋_GB2312" w:eastAsia="仿宋_GB2312"/>
          <w:sz w:val="32"/>
          <w:szCs w:val="32"/>
          <w:lang w:eastAsia="zh-CN"/>
        </w:rPr>
        <w:t>，</w:t>
      </w:r>
      <w:bookmarkStart w:id="104" w:name="_GoBack"/>
      <w:bookmarkEnd w:id="104"/>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w:t>
      </w:r>
      <w:r>
        <w:rPr>
          <w:rFonts w:hint="eastAsia" w:ascii="仿宋_GB2312" w:eastAsia="仿宋_GB2312"/>
          <w:sz w:val="32"/>
          <w:szCs w:val="32"/>
          <w:lang w:val="en-US" w:eastAsia="zh-CN"/>
        </w:rPr>
        <w:t>1.28</w:t>
      </w:r>
      <w:r>
        <w:rPr>
          <w:rFonts w:hint="eastAsia" w:ascii="仿宋_GB2312" w:eastAsia="仿宋_GB2312"/>
          <w:sz w:val="32"/>
          <w:szCs w:val="32"/>
        </w:rPr>
        <w:t>万元，下降</w:t>
      </w:r>
      <w:r>
        <w:rPr>
          <w:rFonts w:hint="eastAsia" w:ascii="仿宋_GB2312" w:eastAsia="仿宋_GB2312"/>
          <w:sz w:val="32"/>
          <w:szCs w:val="32"/>
          <w:lang w:val="en-US" w:eastAsia="zh-CN"/>
        </w:rPr>
        <w:t>50.39</w:t>
      </w:r>
      <w:r>
        <w:rPr>
          <w:rFonts w:ascii="仿宋_GB2312" w:eastAsia="仿宋_GB2312"/>
          <w:sz w:val="32"/>
          <w:szCs w:val="32"/>
        </w:rPr>
        <w:t>%</w:t>
      </w:r>
      <w:r>
        <w:rPr>
          <w:rFonts w:hint="eastAsia" w:ascii="仿宋_GB2312" w:eastAsia="仿宋_GB2312"/>
          <w:sz w:val="32"/>
          <w:szCs w:val="32"/>
        </w:rPr>
        <w:t>。主要原因是业务工作量减少，公车开支减少。</w:t>
      </w:r>
    </w:p>
    <w:p w14:paraId="4D9B78FE">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其他车型1辆</w:t>
      </w:r>
      <w:r>
        <w:rPr>
          <w:rFonts w:hint="eastAsia" w:ascii="仿宋_GB2312" w:eastAsia="仿宋_GB2312"/>
          <w:sz w:val="32"/>
          <w:szCs w:val="32"/>
        </w:rPr>
        <w:t>。</w:t>
      </w:r>
    </w:p>
    <w:p w14:paraId="7EF4D000">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1.26</w:t>
      </w:r>
      <w:r>
        <w:rPr>
          <w:rFonts w:hint="eastAsia" w:ascii="仿宋_GB2312" w:eastAsia="仿宋_GB2312"/>
          <w:sz w:val="32"/>
          <w:szCs w:val="32"/>
        </w:rPr>
        <w:t>万元。主要用于</w:t>
      </w:r>
      <w:r>
        <w:rPr>
          <w:rFonts w:hint="eastAsia" w:ascii="仿宋_GB2312" w:eastAsia="仿宋_GB2312"/>
          <w:sz w:val="32"/>
          <w:szCs w:val="32"/>
          <w:lang w:val="en-US" w:eastAsia="zh-CN"/>
        </w:rPr>
        <w:t>开展医疗业务</w:t>
      </w:r>
      <w:r>
        <w:rPr>
          <w:rFonts w:hint="eastAsia" w:ascii="仿宋_GB2312" w:eastAsia="仿宋_GB2312"/>
          <w:sz w:val="32"/>
          <w:szCs w:val="32"/>
        </w:rPr>
        <w:t>工作等所需的公务用车燃料费、维修费、过路过桥费、保险费等支出。</w:t>
      </w:r>
    </w:p>
    <w:p w14:paraId="1FE0BCD6">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15CA50FE">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7404F5E0">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A96B232">
      <w:pPr>
        <w:spacing w:line="600" w:lineRule="exact"/>
        <w:ind w:firstLine="640"/>
        <w:outlineLvl w:val="9"/>
        <w:rPr>
          <w:rFonts w:ascii="黑体" w:eastAsia="黑体"/>
          <w:sz w:val="32"/>
          <w:szCs w:val="32"/>
        </w:rPr>
      </w:pPr>
    </w:p>
    <w:p w14:paraId="2E63ECE5">
      <w:pPr>
        <w:spacing w:line="600" w:lineRule="exact"/>
        <w:ind w:firstLine="640"/>
        <w:outlineLvl w:val="1"/>
        <w:rPr>
          <w:rStyle w:val="28"/>
          <w:rFonts w:ascii="黑体" w:hAnsi="黑体" w:eastAsia="黑体"/>
        </w:rPr>
      </w:pPr>
      <w:bookmarkStart w:id="58" w:name="_Toc30691"/>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4DF226F6">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2FC83968">
      <w:pPr>
        <w:spacing w:line="600" w:lineRule="exact"/>
        <w:ind w:firstLine="640"/>
        <w:rPr>
          <w:rFonts w:ascii="仿宋_GB2312" w:eastAsia="仿宋_GB2312"/>
          <w:sz w:val="32"/>
          <w:szCs w:val="32"/>
        </w:rPr>
      </w:pPr>
    </w:p>
    <w:p w14:paraId="51BB06A6">
      <w:pPr>
        <w:numPr>
          <w:ilvl w:val="0"/>
          <w:numId w:val="3"/>
        </w:numPr>
        <w:spacing w:line="600" w:lineRule="exact"/>
        <w:ind w:firstLine="640"/>
        <w:outlineLvl w:val="1"/>
        <w:rPr>
          <w:rStyle w:val="28"/>
          <w:rFonts w:ascii="黑体" w:hAnsi="黑体" w:eastAsia="黑体"/>
          <w:b w:val="0"/>
        </w:rPr>
      </w:pPr>
      <w:bookmarkStart w:id="59" w:name="_Toc15396611"/>
      <w:bookmarkStart w:id="60" w:name="_Toc27755"/>
      <w:bookmarkStart w:id="61" w:name="_Toc15377219"/>
      <w:r>
        <w:rPr>
          <w:rStyle w:val="28"/>
          <w:rFonts w:hint="eastAsia" w:ascii="黑体" w:hAnsi="黑体" w:eastAsia="黑体"/>
          <w:b w:val="0"/>
        </w:rPr>
        <w:t>国有资本经营预算支出决算情况说明</w:t>
      </w:r>
      <w:bookmarkEnd w:id="59"/>
      <w:bookmarkEnd w:id="60"/>
      <w:bookmarkEnd w:id="61"/>
    </w:p>
    <w:p w14:paraId="3FB44F4C">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1F0B1AC">
      <w:pPr>
        <w:spacing w:line="580" w:lineRule="exact"/>
        <w:jc w:val="center"/>
        <w:rPr>
          <w:rFonts w:ascii="方正小标宋简体" w:hAnsi="方正小标宋简体" w:eastAsia="方正小标宋简体" w:cs="方正小标宋简体"/>
          <w:sz w:val="44"/>
          <w:szCs w:val="44"/>
        </w:rPr>
      </w:pPr>
    </w:p>
    <w:p w14:paraId="319AA899">
      <w:pPr>
        <w:numPr>
          <w:ilvl w:val="0"/>
          <w:numId w:val="3"/>
        </w:numPr>
        <w:spacing w:line="600" w:lineRule="exact"/>
        <w:ind w:firstLine="640"/>
        <w:outlineLvl w:val="1"/>
        <w:rPr>
          <w:rStyle w:val="28"/>
          <w:rFonts w:ascii="黑体" w:hAnsi="黑体" w:eastAsia="黑体"/>
          <w:b w:val="0"/>
        </w:rPr>
      </w:pPr>
      <w:bookmarkStart w:id="62" w:name="_Toc15377221"/>
      <w:bookmarkStart w:id="63" w:name="_Toc15396612"/>
      <w:bookmarkStart w:id="64" w:name="_Toc22266"/>
      <w:r>
        <w:rPr>
          <w:rStyle w:val="28"/>
          <w:rFonts w:hint="eastAsia" w:ascii="黑体" w:hAnsi="黑体" w:eastAsia="黑体"/>
          <w:b w:val="0"/>
        </w:rPr>
        <w:t>其他重要事项的情况说明</w:t>
      </w:r>
      <w:bookmarkEnd w:id="62"/>
      <w:bookmarkEnd w:id="63"/>
      <w:bookmarkEnd w:id="64"/>
    </w:p>
    <w:p w14:paraId="4DE7B445">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12855533">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峨边彝族自治县毛坪镇中心卫生院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7B6814E1">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3946338C">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峨边彝族自治县毛坪镇中心卫生院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724CD2AB">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1443C5DC">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峨边彝族自治县毛坪镇中心卫生院</w:t>
      </w:r>
      <w:r>
        <w:rPr>
          <w:rFonts w:hint="eastAsia" w:ascii="仿宋_GB2312" w:eastAsia="仿宋_GB2312"/>
          <w:sz w:val="32"/>
          <w:szCs w:val="32"/>
        </w:rPr>
        <w:t>共有车辆</w:t>
      </w:r>
      <w:r>
        <w:rPr>
          <w:rFonts w:hint="eastAsia" w:ascii="仿宋_GB2312" w:eastAsia="仿宋_GB2312"/>
          <w:b/>
          <w:sz w:val="32"/>
          <w:szCs w:val="32"/>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开展医疗业务工作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54D92B5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CF6CDC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37B29E05">
      <w:pPr>
        <w:pStyle w:val="2"/>
        <w:ind w:left="0" w:leftChars="0" w:firstLine="639" w:firstLineChars="213"/>
      </w:pPr>
      <w:r>
        <w:rPr>
          <w:rFonts w:hint="eastAsia"/>
        </w:rPr>
        <w:t>本单位项目主要为基层医疗机构基药补助、基本公共卫生服务补助资金，由主管部门统一进行绩效管理。</w:t>
      </w:r>
    </w:p>
    <w:p w14:paraId="238FEC7F">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C9FDD79">
      <w:pPr>
        <w:numPr>
          <w:ilvl w:val="0"/>
          <w:numId w:val="4"/>
        </w:numPr>
        <w:spacing w:line="600" w:lineRule="exact"/>
        <w:ind w:firstLine="660" w:firstLineChars="150"/>
        <w:jc w:val="center"/>
        <w:outlineLvl w:val="0"/>
        <w:rPr>
          <w:rStyle w:val="27"/>
          <w:rFonts w:ascii="黑体" w:hAnsi="黑体" w:eastAsia="黑体"/>
          <w:b w:val="0"/>
        </w:rPr>
      </w:pPr>
      <w:bookmarkStart w:id="68" w:name="_Toc15377225"/>
      <w:bookmarkStart w:id="69" w:name="_Toc15396613"/>
      <w:bookmarkStart w:id="70" w:name="_Toc842"/>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7572EA6C">
      <w:pPr>
        <w:spacing w:line="600" w:lineRule="exact"/>
        <w:jc w:val="left"/>
        <w:rPr>
          <w:rFonts w:ascii="宋体"/>
          <w:b/>
          <w:sz w:val="44"/>
          <w:szCs w:val="44"/>
        </w:rPr>
      </w:pPr>
    </w:p>
    <w:p w14:paraId="2A44F410">
      <w:pPr>
        <w:pStyle w:val="25"/>
        <w:spacing w:line="560" w:lineRule="exact"/>
        <w:ind w:firstLine="640" w:firstLineChars="200"/>
        <w:outlineLvl w:val="1"/>
        <w:rPr>
          <w:rFonts w:hint="eastAsia" w:ascii="仿宋_GB2312" w:eastAsia="仿宋_GB2312"/>
          <w:color w:val="auto"/>
          <w:sz w:val="32"/>
          <w:szCs w:val="32"/>
        </w:rPr>
      </w:pPr>
      <w:bookmarkStart w:id="71" w:name="_Toc11540"/>
      <w:r>
        <w:rPr>
          <w:rFonts w:hint="eastAsia" w:ascii="仿宋_GB2312" w:eastAsia="仿宋_GB2312"/>
          <w:color w:val="auto"/>
          <w:sz w:val="32"/>
          <w:szCs w:val="32"/>
        </w:rPr>
        <w:t>1.财政拨款收入：指单位从同级财政部门取得的财政预算资金。</w:t>
      </w:r>
      <w:bookmarkEnd w:id="71"/>
    </w:p>
    <w:p w14:paraId="17B8BDBF">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2C88DF10">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71E200C">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14EF6061">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00C056E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3F84BD7D">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 机关事业单位基本养老保险缴费支出（项）：指反映机关事业单位实施养老保险制度由单位缴纳的基本养老保险费支出。</w:t>
      </w:r>
    </w:p>
    <w:p w14:paraId="23E703EF">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8.社会保障和就业支出（类）行政事业单位养老支出（款）机关事业单位职业年金缴费支出（项）：指反映机关事业单位实施养老保险制度由单位实际缴纳的职业年金支出。</w:t>
      </w:r>
    </w:p>
    <w:p w14:paraId="39CE0952">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9.社会保障和就业支出（类）其他社会保障和就业支出（款）其他社会保障和就业支出（项）：指反映除上述项目以外用于社会保障和就业方面的支出。</w:t>
      </w:r>
    </w:p>
    <w:p w14:paraId="005D6897">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10.卫生健康支出（类）基层医疗卫生机构（款）乡镇卫生院（项）：指反映乡镇卫生院的支出。</w:t>
      </w:r>
    </w:p>
    <w:p w14:paraId="2291DB9F">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11.卫生健康支出（类）基层医疗卫生机构（款）其他基层医疗卫生机构支出（项）：指反映除以上项目以外的其他用于基层医疗卫生机构的支出。</w:t>
      </w:r>
    </w:p>
    <w:p w14:paraId="76F211CA">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12.卫生健康支出（类）公共卫生（款）基本公共卫生服务（项）：指反映基本公共卫生服务支出</w:t>
      </w:r>
    </w:p>
    <w:p w14:paraId="60EC08C6">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行政事业单位医疗（款）事业单位医疗（项）：指反映财政部门安排的事业单位基本医疗保险缴费经费，未参加医疗保险的事业单位的公费医疗经费，按国家规定享受离休人员待遇的医疗经费。</w:t>
      </w:r>
    </w:p>
    <w:p w14:paraId="7A1158F3">
      <w:pPr>
        <w:spacing w:beforeLines="0" w:afterLines="0" w:line="576" w:lineRule="exact"/>
        <w:ind w:firstLine="640"/>
        <w:rPr>
          <w:rFonts w:hint="eastAsia" w:ascii="仿宋_GB2312" w:hAnsi="Times New Roman" w:eastAsia="仿宋_GB2312"/>
          <w:color w:val="auto"/>
          <w:sz w:val="32"/>
          <w:szCs w:val="24"/>
        </w:rPr>
      </w:pPr>
      <w:r>
        <w:rPr>
          <w:rFonts w:hint="eastAsia" w:ascii="仿宋_GB2312" w:hAnsi="仿宋_GB2312" w:eastAsia="仿宋_GB2312"/>
          <w:color w:val="000000"/>
          <w:sz w:val="32"/>
          <w:szCs w:val="24"/>
          <w:lang w:val="en-US" w:eastAsia="zh-CN"/>
        </w:rPr>
        <w:t>14</w:t>
      </w:r>
      <w:r>
        <w:rPr>
          <w:rFonts w:hint="eastAsia" w:ascii="仿宋_GB2312" w:hAnsi="仿宋_GB2312" w:eastAsia="仿宋_GB2312"/>
          <w:color w:val="000000"/>
          <w:sz w:val="32"/>
          <w:szCs w:val="24"/>
          <w:lang w:val="en-US"/>
        </w:rPr>
        <w:t>.卫生健康支出（类）行政事业单位医疗（款）公务员医疗补助（项）：反映财政部门安排的公务员医疗补助经费。</w:t>
      </w:r>
    </w:p>
    <w:p w14:paraId="320124F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15.住房保障支出（类）住房改革支出（款）住房公积金（项）：指反映行政事业单位按人力资源和社会保障部、财政部规定的基本工资和津贴补贴以及规定比例为职工缴纳的住房公积金。</w:t>
      </w:r>
    </w:p>
    <w:p w14:paraId="02D72A24">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16.基本支出：指为保障机构正常运转、完成日常工作任务而发生的人员支出和公用支出。</w:t>
      </w:r>
    </w:p>
    <w:p w14:paraId="3D4B44ED">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17.项目支出：指在基本支出之外为完成特定行政任务和事业发展目标所发生的支出。 </w:t>
      </w:r>
    </w:p>
    <w:p w14:paraId="661E2D47">
      <w:pPr>
        <w:spacing w:beforeLines="0" w:afterLines="0" w:line="576" w:lineRule="exact"/>
        <w:ind w:firstLine="640"/>
        <w:jc w:val="both"/>
        <w:rPr>
          <w:rFonts w:ascii="仿宋_GB2312" w:eastAsia="仿宋_GB2312"/>
          <w:color w:val="auto"/>
          <w:sz w:val="32"/>
          <w:szCs w:val="32"/>
        </w:rPr>
      </w:pPr>
      <w:r>
        <w:rPr>
          <w:rFonts w:hint="eastAsia" w:ascii="仿宋_GB2312" w:hAnsi="Times New Roman" w:eastAsia="仿宋_GB2312"/>
          <w:color w:val="auto"/>
          <w:sz w:val="32"/>
          <w:szCs w:val="24"/>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rPr>
        <w:t>。</w:t>
      </w:r>
    </w:p>
    <w:p w14:paraId="17F323C4">
      <w:pPr>
        <w:pStyle w:val="25"/>
        <w:spacing w:line="560" w:lineRule="exact"/>
        <w:ind w:firstLine="640" w:firstLineChars="200"/>
        <w:rPr>
          <w:rFonts w:ascii="仿宋_GB2312" w:eastAsia="仿宋_GB2312" w:cs="黑体"/>
          <w:color w:val="auto"/>
          <w:sz w:val="32"/>
          <w:szCs w:val="32"/>
        </w:rPr>
      </w:pPr>
    </w:p>
    <w:p w14:paraId="001E26C2">
      <w:pPr>
        <w:ind w:firstLine="643" w:firstLineChars="200"/>
        <w:rPr>
          <w:rFonts w:ascii="仿宋" w:hAnsi="仿宋" w:eastAsia="仿宋"/>
          <w:b/>
          <w:sz w:val="32"/>
          <w:szCs w:val="32"/>
        </w:rPr>
      </w:pPr>
    </w:p>
    <w:p w14:paraId="6F2B46B2">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2936"/>
      <w:bookmarkStart w:id="74" w:name="_Toc15396614"/>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0BADF93C">
      <w:pPr>
        <w:spacing w:line="572" w:lineRule="exact"/>
        <w:jc w:val="left"/>
        <w:outlineLvl w:val="9"/>
        <w:rPr>
          <w:rFonts w:ascii="仿宋_GB2312" w:hAnsi="仿宋_GB2312" w:eastAsia="仿宋_GB2312" w:cs="仿宋_GB2312"/>
          <w:sz w:val="32"/>
          <w:szCs w:val="32"/>
        </w:rPr>
      </w:pPr>
    </w:p>
    <w:p w14:paraId="2BFD3799">
      <w:pPr>
        <w:spacing w:line="600" w:lineRule="exact"/>
        <w:jc w:val="center"/>
        <w:outlineLvl w:val="1"/>
        <w:rPr>
          <w:rFonts w:ascii="黑体" w:hAnsi="黑体" w:eastAsia="黑体"/>
          <w:color w:val="FF0000"/>
          <w:sz w:val="44"/>
          <w:szCs w:val="44"/>
        </w:rPr>
      </w:pPr>
      <w:bookmarkStart w:id="75" w:name="_Toc25903"/>
      <w:bookmarkStart w:id="76" w:name="_Toc15396618"/>
      <w:r>
        <w:rPr>
          <w:rFonts w:hint="eastAsia"/>
          <w:sz w:val="32"/>
          <w:szCs w:val="32"/>
        </w:rPr>
        <w:t>部门预算项目支出绩效自评表（2023年度）</w:t>
      </w:r>
      <w:bookmarkEnd w:id="75"/>
    </w:p>
    <w:p w14:paraId="2C63BD7F">
      <w:pPr>
        <w:pStyle w:val="13"/>
        <w:spacing w:line="560" w:lineRule="exact"/>
        <w:ind w:left="0" w:leftChars="0" w:firstLine="640"/>
        <w:rPr>
          <w:sz w:val="32"/>
        </w:rPr>
      </w:pPr>
    </w:p>
    <w:p w14:paraId="0F2F485D">
      <w:pPr>
        <w:pStyle w:val="13"/>
        <w:spacing w:line="560" w:lineRule="exact"/>
        <w:ind w:left="0" w:leftChars="0" w:firstLine="640"/>
        <w:rPr>
          <w:rFonts w:hAnsi="Calibri" w:eastAsia="仿宋_GB2312" w:cs="仿宋"/>
          <w:sz w:val="32"/>
          <w:lang w:val="zh-CN"/>
        </w:rPr>
      </w:pPr>
      <w:r>
        <w:rPr>
          <w:rFonts w:hint="eastAsia" w:hAnsi="Calibri" w:eastAsia="仿宋_GB2312" w:cs="仿宋"/>
          <w:sz w:val="32"/>
        </w:rPr>
        <w:t>本单位项目主要为基层医疗机构基药补助、基本公共卫生服务补助资金，由主管部门统一进行绩效管理以及开展项目绩效评价工作。</w:t>
      </w:r>
    </w:p>
    <w:p w14:paraId="6774F6AD">
      <w:pPr>
        <w:pStyle w:val="2"/>
        <w:spacing w:before="93"/>
        <w:rPr>
          <w:rFonts w:hAnsi="Calibri" w:cs="仿宋"/>
          <w:sz w:val="32"/>
          <w:szCs w:val="32"/>
        </w:rPr>
      </w:pPr>
    </w:p>
    <w:p w14:paraId="70C4C4F1">
      <w:pPr>
        <w:pStyle w:val="2"/>
        <w:spacing w:before="93"/>
        <w:rPr>
          <w:rFonts w:hAnsi="Calibri" w:cs="仿宋"/>
          <w:sz w:val="32"/>
          <w:szCs w:val="32"/>
        </w:rPr>
      </w:pPr>
    </w:p>
    <w:p w14:paraId="2DD09302">
      <w:pPr>
        <w:pStyle w:val="2"/>
        <w:spacing w:before="93"/>
        <w:rPr>
          <w:rFonts w:hAnsi="Calibri" w:cs="仿宋"/>
          <w:sz w:val="32"/>
          <w:szCs w:val="32"/>
        </w:rPr>
      </w:pPr>
    </w:p>
    <w:p w14:paraId="4C714E3B">
      <w:pPr>
        <w:pStyle w:val="2"/>
        <w:spacing w:before="93"/>
        <w:rPr>
          <w:rFonts w:hAnsi="Calibri" w:cs="仿宋"/>
          <w:sz w:val="32"/>
          <w:szCs w:val="32"/>
        </w:rPr>
      </w:pPr>
    </w:p>
    <w:p w14:paraId="41BB7EAF">
      <w:pPr>
        <w:pStyle w:val="2"/>
        <w:spacing w:before="93"/>
        <w:rPr>
          <w:rFonts w:hAnsi="Calibri" w:cs="仿宋"/>
          <w:sz w:val="32"/>
          <w:szCs w:val="32"/>
        </w:rPr>
      </w:pPr>
    </w:p>
    <w:p w14:paraId="49B9A029">
      <w:pPr>
        <w:pStyle w:val="2"/>
        <w:spacing w:before="93"/>
        <w:rPr>
          <w:rFonts w:hAnsi="Calibri" w:cs="仿宋"/>
          <w:sz w:val="32"/>
          <w:szCs w:val="32"/>
        </w:rPr>
      </w:pPr>
    </w:p>
    <w:p w14:paraId="2C554545">
      <w:pPr>
        <w:pStyle w:val="2"/>
        <w:spacing w:before="93"/>
        <w:rPr>
          <w:rFonts w:hAnsi="Calibri" w:cs="仿宋"/>
          <w:sz w:val="32"/>
          <w:szCs w:val="32"/>
        </w:rPr>
      </w:pPr>
    </w:p>
    <w:p w14:paraId="0135123A">
      <w:pPr>
        <w:pStyle w:val="2"/>
        <w:spacing w:before="93"/>
        <w:rPr>
          <w:rFonts w:hAnsi="Calibri" w:cs="仿宋"/>
          <w:sz w:val="32"/>
          <w:szCs w:val="32"/>
        </w:rPr>
      </w:pPr>
    </w:p>
    <w:p w14:paraId="2B4FD89B">
      <w:pPr>
        <w:pStyle w:val="2"/>
        <w:spacing w:before="93"/>
        <w:rPr>
          <w:rFonts w:hAnsi="Calibri" w:cs="仿宋"/>
          <w:sz w:val="32"/>
          <w:szCs w:val="32"/>
        </w:rPr>
      </w:pPr>
    </w:p>
    <w:p w14:paraId="66A0200D">
      <w:pPr>
        <w:pStyle w:val="2"/>
        <w:spacing w:before="93"/>
        <w:rPr>
          <w:rFonts w:hAnsi="Calibri" w:cs="仿宋"/>
          <w:sz w:val="32"/>
          <w:szCs w:val="32"/>
        </w:rPr>
      </w:pPr>
    </w:p>
    <w:p w14:paraId="62FCDBE3">
      <w:pPr>
        <w:pStyle w:val="2"/>
        <w:spacing w:before="93"/>
        <w:rPr>
          <w:rFonts w:hAnsi="Calibri" w:cs="仿宋"/>
          <w:sz w:val="32"/>
          <w:szCs w:val="32"/>
        </w:rPr>
      </w:pPr>
    </w:p>
    <w:p w14:paraId="5CAD2999">
      <w:pPr>
        <w:pStyle w:val="2"/>
        <w:spacing w:before="93"/>
        <w:rPr>
          <w:rFonts w:hAnsi="Calibri" w:cs="仿宋"/>
          <w:sz w:val="32"/>
          <w:szCs w:val="32"/>
        </w:rPr>
      </w:pPr>
    </w:p>
    <w:p w14:paraId="32B3CDF8">
      <w:pPr>
        <w:pStyle w:val="2"/>
        <w:spacing w:before="93"/>
        <w:rPr>
          <w:rFonts w:hAnsi="Calibri" w:cs="仿宋"/>
          <w:sz w:val="32"/>
          <w:szCs w:val="32"/>
        </w:rPr>
      </w:pPr>
    </w:p>
    <w:p w14:paraId="0556A493">
      <w:pPr>
        <w:spacing w:line="600" w:lineRule="exact"/>
        <w:jc w:val="center"/>
        <w:outlineLvl w:val="0"/>
        <w:rPr>
          <w:rFonts w:ascii="仿宋" w:hAnsi="仿宋" w:eastAsia="仿宋"/>
        </w:rPr>
      </w:pPr>
      <w:bookmarkStart w:id="77" w:name="_Toc8403"/>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262FEFEF">
      <w:pPr>
        <w:pStyle w:val="4"/>
        <w:rPr>
          <w:rFonts w:ascii="仿宋" w:hAnsi="仿宋" w:eastAsia="仿宋"/>
        </w:rPr>
      </w:pPr>
      <w:bookmarkStart w:id="79" w:name="_Toc23875"/>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3EB0A0BC">
      <w:pPr>
        <w:pStyle w:val="4"/>
        <w:rPr>
          <w:rFonts w:ascii="仿宋" w:hAnsi="仿宋" w:eastAsia="仿宋"/>
        </w:rPr>
      </w:pPr>
      <w:bookmarkStart w:id="80" w:name="_Toc15396620"/>
      <w:bookmarkStart w:id="81" w:name="_Toc15565"/>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04079E6B">
      <w:pPr>
        <w:pStyle w:val="4"/>
        <w:rPr>
          <w:rFonts w:ascii="仿宋" w:hAnsi="仿宋" w:eastAsia="仿宋"/>
        </w:rPr>
      </w:pPr>
      <w:bookmarkStart w:id="82" w:name="_Toc30410"/>
      <w:bookmarkStart w:id="83"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3F196116">
      <w:pPr>
        <w:pStyle w:val="4"/>
        <w:rPr>
          <w:rFonts w:ascii="仿宋" w:hAnsi="仿宋" w:eastAsia="仿宋"/>
          <w:b w:val="0"/>
        </w:rPr>
      </w:pPr>
      <w:bookmarkStart w:id="84" w:name="_Toc14704"/>
      <w:bookmarkStart w:id="85"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33743C5D">
      <w:pPr>
        <w:pStyle w:val="4"/>
        <w:rPr>
          <w:rStyle w:val="28"/>
          <w:rFonts w:ascii="仿宋" w:hAnsi="仿宋" w:eastAsia="仿宋"/>
          <w:b w:val="0"/>
          <w:bCs w:val="0"/>
        </w:rPr>
      </w:pPr>
      <w:bookmarkStart w:id="86" w:name="_Toc15396623"/>
      <w:bookmarkStart w:id="87" w:name="_Toc28761"/>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7B15E507">
      <w:pPr>
        <w:pStyle w:val="4"/>
        <w:rPr>
          <w:rFonts w:ascii="仿宋" w:hAnsi="仿宋" w:eastAsia="仿宋"/>
        </w:rPr>
      </w:pPr>
      <w:bookmarkStart w:id="89" w:name="_Toc7423"/>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626E6B12">
      <w:pPr>
        <w:pStyle w:val="4"/>
        <w:rPr>
          <w:rFonts w:ascii="仿宋" w:hAnsi="仿宋" w:eastAsia="仿宋"/>
        </w:rPr>
      </w:pPr>
      <w:bookmarkStart w:id="90" w:name="_Toc15396625"/>
      <w:bookmarkStart w:id="91" w:name="_Toc31004"/>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7190C8A4">
      <w:pPr>
        <w:pStyle w:val="4"/>
        <w:rPr>
          <w:rFonts w:ascii="仿宋" w:hAnsi="仿宋" w:eastAsia="仿宋"/>
        </w:rPr>
      </w:pPr>
      <w:bookmarkStart w:id="92" w:name="_Toc15396626"/>
      <w:bookmarkStart w:id="93" w:name="_Toc31749"/>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03410692">
      <w:pPr>
        <w:pStyle w:val="4"/>
        <w:rPr>
          <w:rFonts w:ascii="仿宋" w:hAnsi="仿宋" w:eastAsia="仿宋"/>
        </w:rPr>
      </w:pPr>
      <w:bookmarkStart w:id="94" w:name="_Toc13632"/>
      <w:bookmarkStart w:id="95"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5854F46D">
      <w:pPr>
        <w:pStyle w:val="4"/>
        <w:rPr>
          <w:rFonts w:ascii="仿宋" w:hAnsi="仿宋" w:eastAsia="仿宋"/>
        </w:rPr>
      </w:pPr>
      <w:bookmarkStart w:id="96" w:name="_Toc15396628"/>
      <w:bookmarkStart w:id="97" w:name="_Toc27805"/>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210DE09B">
      <w:pPr>
        <w:pStyle w:val="4"/>
        <w:rPr>
          <w:rFonts w:ascii="仿宋" w:hAnsi="仿宋" w:eastAsia="仿宋"/>
        </w:rPr>
      </w:pPr>
      <w:bookmarkStart w:id="98" w:name="_Toc15396629"/>
      <w:bookmarkStart w:id="99" w:name="_Toc25224"/>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534C52DE">
      <w:pPr>
        <w:pStyle w:val="4"/>
        <w:rPr>
          <w:rFonts w:ascii="仿宋" w:hAnsi="仿宋" w:eastAsia="仿宋"/>
        </w:rPr>
      </w:pPr>
      <w:bookmarkStart w:id="100" w:name="_Toc15396630"/>
      <w:bookmarkStart w:id="101" w:name="_Toc7476"/>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24904256">
      <w:pPr>
        <w:pStyle w:val="4"/>
        <w:rPr>
          <w:rFonts w:eastAsia="仿宋"/>
        </w:rPr>
      </w:pPr>
      <w:bookmarkStart w:id="102" w:name="_Toc15396631"/>
      <w:bookmarkStart w:id="103" w:name="_Toc1691"/>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C8ADEF6">
        <w:pPr>
          <w:pStyle w:val="9"/>
          <w:jc w:val="center"/>
        </w:pPr>
        <w:r>
          <w:fldChar w:fldCharType="begin"/>
        </w:r>
        <w:r>
          <w:instrText xml:space="preserve">PAGE   \* MERGEFORMAT</w:instrText>
        </w:r>
        <w:r>
          <w:fldChar w:fldCharType="separate"/>
        </w:r>
        <w:r>
          <w:rPr>
            <w:lang w:val="zh-CN"/>
          </w:rPr>
          <w:t>15</w:t>
        </w:r>
        <w:r>
          <w:fldChar w:fldCharType="end"/>
        </w:r>
      </w:p>
    </w:sdtContent>
  </w:sdt>
  <w:p w14:paraId="1719B49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35B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6BA03B0"/>
    <w:rsid w:val="081B5E94"/>
    <w:rsid w:val="0A2032A3"/>
    <w:rsid w:val="0B8A37D8"/>
    <w:rsid w:val="0F5FFB2F"/>
    <w:rsid w:val="0FFFCF60"/>
    <w:rsid w:val="10C055FF"/>
    <w:rsid w:val="118107EC"/>
    <w:rsid w:val="11DD6519"/>
    <w:rsid w:val="16134D5A"/>
    <w:rsid w:val="16BB723D"/>
    <w:rsid w:val="18015F3F"/>
    <w:rsid w:val="1AC97246"/>
    <w:rsid w:val="1BE8440E"/>
    <w:rsid w:val="1D155CEE"/>
    <w:rsid w:val="1E2B7888"/>
    <w:rsid w:val="1FDBBF84"/>
    <w:rsid w:val="20F57F95"/>
    <w:rsid w:val="240371BF"/>
    <w:rsid w:val="25711CC6"/>
    <w:rsid w:val="25C741E6"/>
    <w:rsid w:val="276F80C0"/>
    <w:rsid w:val="27842671"/>
    <w:rsid w:val="28176A96"/>
    <w:rsid w:val="29FD04D3"/>
    <w:rsid w:val="2A8B3F54"/>
    <w:rsid w:val="2ABE7A3E"/>
    <w:rsid w:val="2AFF09B6"/>
    <w:rsid w:val="2CA234A8"/>
    <w:rsid w:val="2EFA178C"/>
    <w:rsid w:val="2EFDF86C"/>
    <w:rsid w:val="2F9D17E1"/>
    <w:rsid w:val="30B46D73"/>
    <w:rsid w:val="319F7F4E"/>
    <w:rsid w:val="356A28F1"/>
    <w:rsid w:val="357C035A"/>
    <w:rsid w:val="35B714D0"/>
    <w:rsid w:val="368E000D"/>
    <w:rsid w:val="383D272C"/>
    <w:rsid w:val="39AE70AB"/>
    <w:rsid w:val="3A4DCE41"/>
    <w:rsid w:val="3BCB56FA"/>
    <w:rsid w:val="3C0C0783"/>
    <w:rsid w:val="3EE7C2F4"/>
    <w:rsid w:val="3F371B56"/>
    <w:rsid w:val="3F792ED8"/>
    <w:rsid w:val="3F9F3A96"/>
    <w:rsid w:val="3FECA4B2"/>
    <w:rsid w:val="3FF58C48"/>
    <w:rsid w:val="417F1DA0"/>
    <w:rsid w:val="42FF6694"/>
    <w:rsid w:val="48BF60AB"/>
    <w:rsid w:val="493C27E9"/>
    <w:rsid w:val="496F39ED"/>
    <w:rsid w:val="49FF41D3"/>
    <w:rsid w:val="4B3859E3"/>
    <w:rsid w:val="4BE068DB"/>
    <w:rsid w:val="4BF6002B"/>
    <w:rsid w:val="4BFFC6BE"/>
    <w:rsid w:val="4ECE2238"/>
    <w:rsid w:val="4FFE2162"/>
    <w:rsid w:val="51DB4B86"/>
    <w:rsid w:val="51F64DB0"/>
    <w:rsid w:val="55333C3E"/>
    <w:rsid w:val="562D5E09"/>
    <w:rsid w:val="580213F5"/>
    <w:rsid w:val="5F67802D"/>
    <w:rsid w:val="5F7DC4F2"/>
    <w:rsid w:val="5FB36814"/>
    <w:rsid w:val="5FBB8E56"/>
    <w:rsid w:val="5FD12346"/>
    <w:rsid w:val="5FFB5535"/>
    <w:rsid w:val="64CA39A1"/>
    <w:rsid w:val="65D85E98"/>
    <w:rsid w:val="69630ADE"/>
    <w:rsid w:val="69BD5F13"/>
    <w:rsid w:val="69FB0B4B"/>
    <w:rsid w:val="6A080F02"/>
    <w:rsid w:val="6BFFE1FB"/>
    <w:rsid w:val="6C4A05C8"/>
    <w:rsid w:val="6D3B1A89"/>
    <w:rsid w:val="6D4D4C74"/>
    <w:rsid w:val="6D542A8A"/>
    <w:rsid w:val="6DB7D8A3"/>
    <w:rsid w:val="6EC78701"/>
    <w:rsid w:val="6F7A5481"/>
    <w:rsid w:val="6FFE07A9"/>
    <w:rsid w:val="71BF4EC2"/>
    <w:rsid w:val="71F95B6F"/>
    <w:rsid w:val="72734D90"/>
    <w:rsid w:val="73E75B71"/>
    <w:rsid w:val="7412278C"/>
    <w:rsid w:val="75DDCDA9"/>
    <w:rsid w:val="75FF44B1"/>
    <w:rsid w:val="77670518"/>
    <w:rsid w:val="777FA627"/>
    <w:rsid w:val="77DD18DB"/>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4818</Words>
  <Characters>5230</Characters>
  <Lines>54</Lines>
  <Paragraphs>15</Paragraphs>
  <TotalTime>6</TotalTime>
  <ScaleCrop>false</ScaleCrop>
  <LinksUpToDate>false</LinksUpToDate>
  <CharactersWithSpaces>5346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2024-10-24T03:21:19Z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98FDF1D89D4C45C8AC067B737F4A72EC_12</vt:lpwstr>
  </property>
</Properties>
</file>