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95040">
      <w:pPr>
        <w:spacing w:line="600" w:lineRule="exact"/>
        <w:jc w:val="left"/>
        <w:outlineLvl w:val="0"/>
        <w:rPr>
          <w:rFonts w:ascii="微软雅黑" w:hAnsi="宋体" w:eastAsia="微软雅黑"/>
          <w:szCs w:val="21"/>
        </w:rPr>
      </w:pPr>
      <w:bookmarkStart w:id="0" w:name="_Toc15306267"/>
    </w:p>
    <w:p w14:paraId="4915F5F7">
      <w:pPr>
        <w:pStyle w:val="5"/>
        <w:spacing w:before="93"/>
      </w:pPr>
    </w:p>
    <w:p w14:paraId="13CC49E7">
      <w:pPr>
        <w:spacing w:line="600" w:lineRule="exact"/>
        <w:jc w:val="center"/>
        <w:outlineLvl w:val="0"/>
        <w:rPr>
          <w:rFonts w:ascii="微软雅黑" w:hAnsi="宋体" w:eastAsia="微软雅黑"/>
          <w:sz w:val="72"/>
          <w:szCs w:val="72"/>
        </w:rPr>
      </w:pPr>
    </w:p>
    <w:p w14:paraId="7AD04287">
      <w:pPr>
        <w:spacing w:line="600" w:lineRule="exact"/>
        <w:jc w:val="center"/>
        <w:outlineLvl w:val="0"/>
        <w:rPr>
          <w:rFonts w:ascii="微软雅黑" w:hAnsi="宋体" w:eastAsia="微软雅黑"/>
          <w:sz w:val="72"/>
          <w:szCs w:val="72"/>
        </w:rPr>
      </w:pPr>
    </w:p>
    <w:p w14:paraId="18925CD7">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bookmarkStart w:id="1" w:name="_Toc15396597"/>
      <w:bookmarkStart w:id="2" w:name="_Toc15378441"/>
      <w:bookmarkStart w:id="3" w:name="_Toc15396475"/>
      <w:bookmarkStart w:id="4" w:name="_Toc15377425"/>
      <w:bookmarkStart w:id="5" w:name="_Toc15377193"/>
    </w:p>
    <w:p w14:paraId="48033EEE">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p>
    <w:p w14:paraId="5453451F">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2023年度</w:t>
      </w:r>
      <w:bookmarkEnd w:id="1"/>
      <w:bookmarkEnd w:id="2"/>
      <w:bookmarkEnd w:id="3"/>
      <w:bookmarkEnd w:id="4"/>
      <w:bookmarkEnd w:id="5"/>
    </w:p>
    <w:bookmarkEnd w:id="0"/>
    <w:p w14:paraId="65F2D40F">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bookmarkStart w:id="6" w:name="_Toc15377194"/>
      <w:bookmarkStart w:id="7" w:name="_Toc15377426"/>
      <w:bookmarkStart w:id="8" w:name="_Toc15396476"/>
      <w:bookmarkStart w:id="9" w:name="_Toc15306268"/>
      <w:bookmarkStart w:id="10" w:name="_Toc15378442"/>
      <w:bookmarkStart w:id="11" w:name="_Toc15396598"/>
      <w:r>
        <w:rPr>
          <w:rFonts w:hint="eastAsia" w:ascii="方正小标宋简体" w:hAnsi="方正小标宋简体" w:eastAsia="方正小标宋简体" w:cs="方正小标宋简体"/>
          <w:b w:val="0"/>
          <w:bCs w:val="0"/>
          <w:sz w:val="72"/>
          <w:szCs w:val="72"/>
          <w:lang w:val="en-US" w:eastAsia="zh-CN"/>
        </w:rPr>
        <w:t>峨边彝族自治县毛坪初级中学</w:t>
      </w:r>
      <w:r>
        <w:rPr>
          <w:rFonts w:hint="eastAsia" w:ascii="方正小标宋简体" w:hAnsi="方正小标宋简体" w:eastAsia="方正小标宋简体" w:cs="方正小标宋简体"/>
          <w:b w:val="0"/>
          <w:bCs w:val="0"/>
          <w:sz w:val="72"/>
          <w:szCs w:val="72"/>
        </w:rPr>
        <w:t>单位决算</w:t>
      </w:r>
      <w:bookmarkEnd w:id="6"/>
      <w:bookmarkEnd w:id="7"/>
      <w:bookmarkEnd w:id="8"/>
      <w:bookmarkEnd w:id="9"/>
      <w:bookmarkEnd w:id="10"/>
      <w:bookmarkEnd w:id="11"/>
    </w:p>
    <w:p w14:paraId="15D524DD">
      <w:pPr>
        <w:adjustRightInd w:val="0"/>
        <w:snapToGrid w:val="0"/>
        <w:spacing w:line="360" w:lineRule="auto"/>
        <w:jc w:val="center"/>
        <w:outlineLvl w:val="0"/>
        <w:rPr>
          <w:rFonts w:hint="eastAsia" w:asciiTheme="majorEastAsia" w:hAnsiTheme="majorEastAsia" w:eastAsiaTheme="majorEastAsia" w:cstheme="majorEastAsia"/>
          <w:b w:val="0"/>
          <w:bCs w:val="0"/>
          <w:sz w:val="52"/>
          <w:szCs w:val="52"/>
        </w:rPr>
      </w:pPr>
    </w:p>
    <w:p w14:paraId="0EE2F724">
      <w:pPr>
        <w:widowControl/>
        <w:jc w:val="center"/>
        <w:rPr>
          <w:rFonts w:ascii="微软雅黑" w:hAnsi="宋体" w:eastAsia="微软雅黑"/>
          <w:sz w:val="36"/>
          <w:szCs w:val="36"/>
        </w:rPr>
      </w:pPr>
    </w:p>
    <w:p w14:paraId="79D4943A">
      <w:pPr>
        <w:bidi w:val="0"/>
        <w:rPr>
          <w:rFonts w:ascii="微软雅黑" w:hAnsi="宋体" w:eastAsia="微软雅黑"/>
          <w:sz w:val="36"/>
          <w:szCs w:val="36"/>
        </w:rPr>
      </w:pPr>
    </w:p>
    <w:p w14:paraId="4E82A84D">
      <w:pPr>
        <w:bidi w:val="0"/>
        <w:rPr>
          <w:rFonts w:ascii="微软雅黑" w:hAnsi="宋体" w:eastAsia="微软雅黑"/>
          <w:sz w:val="36"/>
          <w:szCs w:val="36"/>
        </w:rPr>
      </w:pPr>
    </w:p>
    <w:p w14:paraId="5F798215">
      <w:pPr>
        <w:bidi w:val="0"/>
        <w:jc w:val="center"/>
        <w:rPr>
          <w:rFonts w:ascii="黑体" w:hAnsi="黑体" w:eastAsia="黑体"/>
          <w:sz w:val="48"/>
          <w:szCs w:val="48"/>
        </w:rPr>
      </w:pPr>
      <w:r>
        <w:rPr>
          <w:rFonts w:hint="eastAsia" w:ascii="黑体" w:hAnsi="黑体" w:eastAsia="黑体"/>
          <w:sz w:val="48"/>
          <w:szCs w:val="48"/>
        </w:rPr>
        <w:t>目录</w:t>
      </w:r>
    </w:p>
    <w:p w14:paraId="63EF1139">
      <w:pPr>
        <w:pStyle w:val="11"/>
      </w:pPr>
      <w:r>
        <w:rPr>
          <w:rFonts w:hint="eastAsia"/>
        </w:rPr>
        <w:t>公开时间：202</w:t>
      </w:r>
      <w:r>
        <w:rPr>
          <w:rFonts w:hint="eastAsia"/>
          <w:lang w:val="en-US" w:eastAsia="zh-CN"/>
        </w:rPr>
        <w:t>4</w:t>
      </w:r>
      <w:r>
        <w:rPr>
          <w:rFonts w:hint="eastAsia"/>
        </w:rPr>
        <w:t>年</w:t>
      </w:r>
      <w:r>
        <w:rPr>
          <w:rFonts w:hint="eastAsia"/>
          <w:lang w:val="en-US" w:eastAsia="zh-CN"/>
        </w:rPr>
        <w:t>10月29</w:t>
      </w:r>
      <w:r>
        <w:rPr>
          <w:rFonts w:hint="eastAsia"/>
        </w:rPr>
        <w:t>日</w:t>
      </w:r>
    </w:p>
    <w:p w14:paraId="050D2FC9">
      <w:pPr>
        <w:widowControl/>
        <w:jc w:val="center"/>
        <w:rPr>
          <w:rFonts w:ascii="黑体" w:hAnsi="黑体" w:eastAsia="黑体" w:cstheme="minorBidi"/>
          <w:sz w:val="28"/>
          <w:szCs w:val="28"/>
        </w:rPr>
      </w:pPr>
    </w:p>
    <w:p w14:paraId="2A10BA7D"/>
    <w:p w14:paraId="60C368E3">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14:paraId="2D2A3947">
      <w:pPr>
        <w:pStyle w:val="12"/>
        <w:adjustRightInd w:val="0"/>
        <w:snapToGrid w:val="0"/>
        <w:spacing w:line="440" w:lineRule="exact"/>
        <w:jc w:val="left"/>
        <w:rPr>
          <w:rFonts w:hint="default"/>
          <w:sz w:val="24"/>
          <w:lang w:val="en-US" w:eastAsia="zh-CN"/>
        </w:rPr>
      </w:pPr>
      <w:r>
        <w:rPr>
          <w:rFonts w:hint="eastAsia"/>
          <w:sz w:val="24"/>
        </w:rPr>
        <w:t>一、主要职责</w:t>
      </w:r>
      <w:r>
        <w:rPr>
          <w:rFonts w:hint="eastAsia"/>
          <w:sz w:val="24"/>
          <w:lang w:val="en-US" w:eastAsia="zh-CN"/>
        </w:rPr>
        <w:t xml:space="preserve">  </w:t>
      </w:r>
      <w:r>
        <w:rPr>
          <w:rFonts w:hint="eastAsia" w:ascii="仿宋" w:hAnsi="仿宋" w:eastAsia="仿宋" w:cs="仿宋"/>
          <w:sz w:val="24"/>
          <w:lang w:val="en-US" w:eastAsia="zh-CN"/>
        </w:rPr>
        <w:t xml:space="preserve"> ..................................................4</w:t>
      </w:r>
    </w:p>
    <w:p w14:paraId="6EDDF5C5">
      <w:pPr>
        <w:pStyle w:val="12"/>
        <w:adjustRightInd w:val="0"/>
        <w:snapToGrid w:val="0"/>
        <w:spacing w:line="440" w:lineRule="exact"/>
        <w:jc w:val="left"/>
        <w:rPr>
          <w:rFonts w:hint="default"/>
          <w:lang w:val="en-US"/>
        </w:rPr>
      </w:pPr>
      <w:r>
        <w:rPr>
          <w:rFonts w:hint="eastAsia"/>
          <w:sz w:val="24"/>
        </w:rPr>
        <w:t>二、机构设置</w:t>
      </w:r>
      <w:r>
        <w:rPr>
          <w:rFonts w:hint="eastAsia"/>
          <w:sz w:val="24"/>
          <w:lang w:val="en-US" w:eastAsia="zh-CN"/>
        </w:rPr>
        <w:t xml:space="preserve">   </w:t>
      </w:r>
      <w:r>
        <w:rPr>
          <w:rFonts w:hint="eastAsia" w:ascii="仿宋" w:hAnsi="仿宋" w:eastAsia="仿宋" w:cs="仿宋"/>
          <w:sz w:val="24"/>
          <w:lang w:val="en-US" w:eastAsia="zh-CN"/>
        </w:rPr>
        <w:t>..................................................5</w:t>
      </w:r>
    </w:p>
    <w:p w14:paraId="6DD020B3">
      <w:pPr>
        <w:pStyle w:val="11"/>
        <w:adjustRightInd w:val="0"/>
        <w:snapToGrid w:val="0"/>
        <w:spacing w:before="0" w:line="440" w:lineRule="exact"/>
        <w:jc w:val="left"/>
        <w:rPr>
          <w:sz w:val="24"/>
          <w:szCs w:val="24"/>
        </w:rPr>
      </w:pPr>
      <w:r>
        <w:rPr>
          <w:rFonts w:hint="eastAsia"/>
          <w:sz w:val="24"/>
        </w:rPr>
        <w:t>第二部分 2023年度单位决算情况说明</w:t>
      </w:r>
      <w:r>
        <w:rPr>
          <w:rFonts w:hint="eastAsia" w:ascii="仿宋" w:hAnsi="仿宋" w:eastAsia="仿宋" w:cs="仿宋"/>
          <w:sz w:val="24"/>
          <w:lang w:val="en-US" w:eastAsia="zh-CN"/>
        </w:rPr>
        <w:t>.................</w:t>
      </w:r>
      <w:r>
        <w:rPr>
          <w:rFonts w:hint="eastAsia" w:cs="仿宋"/>
          <w:sz w:val="24"/>
          <w:lang w:val="en-US" w:eastAsia="zh-CN"/>
        </w:rPr>
        <w:t xml:space="preserve">..... </w:t>
      </w:r>
      <w:r>
        <w:rPr>
          <w:rFonts w:hint="eastAsia" w:ascii="仿宋" w:hAnsi="仿宋" w:eastAsia="仿宋" w:cs="仿宋"/>
          <w:sz w:val="24"/>
          <w:lang w:val="en-US" w:eastAsia="zh-CN"/>
        </w:rPr>
        <w:t>............</w:t>
      </w:r>
      <w:r>
        <w:rPr>
          <w:rFonts w:hint="eastAsia" w:cs="仿宋"/>
          <w:sz w:val="24"/>
          <w:lang w:val="en-US" w:eastAsia="zh-CN"/>
        </w:rPr>
        <w:t>6</w:t>
      </w:r>
    </w:p>
    <w:p w14:paraId="29D0228B">
      <w:pPr>
        <w:pStyle w:val="12"/>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ascii="仿宋" w:hAnsi="仿宋" w:eastAsia="仿宋" w:cs="仿宋"/>
          <w:sz w:val="24"/>
          <w:lang w:val="en-US" w:eastAsia="zh-CN"/>
        </w:rPr>
        <w:t>.....................................6</w:t>
      </w:r>
    </w:p>
    <w:p w14:paraId="2236C64B">
      <w:pPr>
        <w:pStyle w:val="12"/>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ascii="仿宋" w:hAnsi="仿宋" w:eastAsia="仿宋" w:cs="仿宋"/>
          <w:sz w:val="24"/>
          <w:lang w:val="en-US" w:eastAsia="zh-CN"/>
        </w:rPr>
        <w:t>.............................................6</w:t>
      </w:r>
    </w:p>
    <w:p w14:paraId="006311CD">
      <w:pPr>
        <w:pStyle w:val="12"/>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ascii="仿宋" w:hAnsi="仿宋" w:eastAsia="仿宋" w:cs="仿宋"/>
          <w:sz w:val="24"/>
          <w:lang w:val="en-US" w:eastAsia="zh-CN"/>
        </w:rPr>
        <w:t>.............................................7</w:t>
      </w:r>
    </w:p>
    <w:p w14:paraId="35589B62">
      <w:pPr>
        <w:pStyle w:val="12"/>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ascii="仿宋" w:hAnsi="仿宋" w:eastAsia="仿宋" w:cs="仿宋"/>
          <w:sz w:val="24"/>
          <w:lang w:val="en-US" w:eastAsia="zh-CN"/>
        </w:rPr>
        <w:t>.............................7</w:t>
      </w:r>
    </w:p>
    <w:p w14:paraId="5F713BE5">
      <w:pPr>
        <w:pStyle w:val="12"/>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ascii="仿宋" w:hAnsi="仿宋" w:eastAsia="仿宋" w:cs="仿宋"/>
          <w:sz w:val="24"/>
          <w:lang w:val="en-US" w:eastAsia="zh-CN"/>
        </w:rPr>
        <w:t>.........................8</w:t>
      </w:r>
    </w:p>
    <w:p w14:paraId="2CD4EFA7">
      <w:pPr>
        <w:pStyle w:val="12"/>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ascii="仿宋" w:hAnsi="仿宋" w:eastAsia="仿宋" w:cs="仿宋"/>
          <w:sz w:val="24"/>
          <w:lang w:val="en-US" w:eastAsia="zh-CN"/>
        </w:rPr>
        <w:t>.......... .........10</w:t>
      </w:r>
    </w:p>
    <w:p w14:paraId="58753FAB">
      <w:pPr>
        <w:pStyle w:val="12"/>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ascii="仿宋" w:hAnsi="仿宋" w:eastAsia="仿宋" w:cs="仿宋"/>
          <w:sz w:val="24"/>
          <w:lang w:val="en-US" w:eastAsia="zh-CN"/>
        </w:rPr>
        <w:t>........................10</w:t>
      </w:r>
    </w:p>
    <w:p w14:paraId="7D529633">
      <w:pPr>
        <w:pStyle w:val="12"/>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ascii="仿宋" w:hAnsi="仿宋" w:eastAsia="仿宋" w:cs="仿宋"/>
          <w:sz w:val="24"/>
          <w:lang w:val="en-US" w:eastAsia="zh-CN"/>
        </w:rPr>
        <w:t>..............................12</w:t>
      </w:r>
    </w:p>
    <w:p w14:paraId="1637E231">
      <w:pPr>
        <w:pStyle w:val="12"/>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ascii="仿宋" w:hAnsi="仿宋" w:eastAsia="仿宋" w:cs="仿宋"/>
          <w:sz w:val="24"/>
          <w:lang w:val="en-US" w:eastAsia="zh-CN"/>
        </w:rPr>
        <w:t>............................12</w:t>
      </w:r>
    </w:p>
    <w:p w14:paraId="1D56908E">
      <w:pPr>
        <w:pStyle w:val="12"/>
        <w:adjustRightInd w:val="0"/>
        <w:snapToGrid w:val="0"/>
        <w:spacing w:line="440" w:lineRule="exact"/>
        <w:jc w:val="left"/>
        <w:rPr>
          <w:rFonts w:hint="default"/>
          <w:sz w:val="24"/>
          <w:lang w:val="en-US"/>
        </w:rPr>
      </w:pPr>
      <w:r>
        <w:rPr>
          <w:rFonts w:hint="eastAsia"/>
          <w:sz w:val="24"/>
        </w:rPr>
        <w:t>十、其他重要事项的情况说明</w:t>
      </w:r>
      <w:r>
        <w:rPr>
          <w:rFonts w:hint="eastAsia" w:ascii="仿宋" w:hAnsi="仿宋" w:eastAsia="仿宋" w:cs="仿宋"/>
          <w:sz w:val="24"/>
          <w:lang w:val="en-US" w:eastAsia="zh-CN"/>
        </w:rPr>
        <w:t>......................................12</w:t>
      </w:r>
    </w:p>
    <w:p w14:paraId="5A7BBDAA">
      <w:pPr>
        <w:pStyle w:val="11"/>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w:t>
      </w:r>
      <w:r>
        <w:rPr>
          <w:rFonts w:hint="eastAsia" w:cs="仿宋"/>
          <w:sz w:val="24"/>
          <w:lang w:val="en-US" w:eastAsia="zh-CN"/>
        </w:rPr>
        <w:t>...14</w:t>
      </w:r>
    </w:p>
    <w:p w14:paraId="564B4ABA">
      <w:pPr>
        <w:pStyle w:val="11"/>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w:t>
      </w:r>
      <w:r>
        <w:rPr>
          <w:rFonts w:hint="eastAsia" w:cs="仿宋"/>
          <w:sz w:val="24"/>
          <w:lang w:val="en-US" w:eastAsia="zh-CN"/>
        </w:rPr>
        <w:t>...17</w:t>
      </w:r>
    </w:p>
    <w:p w14:paraId="53B22C93">
      <w:pPr>
        <w:pStyle w:val="11"/>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w:t>
      </w:r>
      <w:r>
        <w:rPr>
          <w:rFonts w:hint="eastAsia" w:cs="仿宋"/>
          <w:sz w:val="24"/>
          <w:lang w:val="en-US" w:eastAsia="zh-CN"/>
        </w:rPr>
        <w:t>......20</w:t>
      </w:r>
    </w:p>
    <w:p w14:paraId="6766A8BC">
      <w:pPr>
        <w:pStyle w:val="12"/>
        <w:adjustRightInd w:val="0"/>
        <w:snapToGrid w:val="0"/>
        <w:spacing w:line="440" w:lineRule="exact"/>
        <w:jc w:val="left"/>
        <w:rPr>
          <w:rFonts w:hint="default"/>
          <w:sz w:val="24"/>
          <w:lang w:val="en-US"/>
        </w:rPr>
      </w:pPr>
      <w:r>
        <w:rPr>
          <w:rFonts w:hint="eastAsia"/>
          <w:sz w:val="24"/>
        </w:rPr>
        <w:t>一、收入支出决算总表</w:t>
      </w:r>
      <w:r>
        <w:rPr>
          <w:rFonts w:hint="eastAsia" w:ascii="仿宋" w:hAnsi="仿宋" w:eastAsia="仿宋" w:cs="仿宋"/>
          <w:sz w:val="24"/>
          <w:lang w:val="en-US" w:eastAsia="zh-CN"/>
        </w:rPr>
        <w:t>............................................20</w:t>
      </w:r>
      <w:r>
        <w:rPr>
          <w:rFonts w:hint="eastAsia"/>
          <w:sz w:val="24"/>
        </w:rPr>
        <w:t>二、收入决算表</w:t>
      </w:r>
      <w:r>
        <w:rPr>
          <w:rFonts w:hint="eastAsia" w:ascii="仿宋" w:hAnsi="仿宋" w:eastAsia="仿宋" w:cs="仿宋"/>
          <w:sz w:val="24"/>
          <w:lang w:val="en-US" w:eastAsia="zh-CN"/>
        </w:rPr>
        <w:t>..................................................20</w:t>
      </w:r>
      <w:r>
        <w:rPr>
          <w:rFonts w:hint="eastAsia"/>
          <w:sz w:val="24"/>
        </w:rPr>
        <w:t>三、支出决算表</w:t>
      </w:r>
      <w:r>
        <w:rPr>
          <w:rFonts w:hint="eastAsia" w:ascii="仿宋" w:hAnsi="仿宋" w:eastAsia="仿宋" w:cs="仿宋"/>
          <w:sz w:val="24"/>
          <w:lang w:val="en-US" w:eastAsia="zh-CN"/>
        </w:rPr>
        <w:t>..................................................20</w:t>
      </w:r>
    </w:p>
    <w:p w14:paraId="56828D73">
      <w:pPr>
        <w:pStyle w:val="12"/>
        <w:adjustRightInd w:val="0"/>
        <w:snapToGrid w:val="0"/>
        <w:spacing w:line="440" w:lineRule="exact"/>
        <w:jc w:val="left"/>
        <w:rPr>
          <w:rFonts w:hint="default"/>
          <w:sz w:val="24"/>
          <w:lang w:val="en-US"/>
        </w:rPr>
      </w:pPr>
      <w:r>
        <w:rPr>
          <w:rFonts w:hint="eastAsia"/>
          <w:sz w:val="24"/>
        </w:rPr>
        <w:t>四、财政拨款收入支出决算总表</w:t>
      </w:r>
      <w:r>
        <w:rPr>
          <w:rFonts w:hint="eastAsia" w:ascii="仿宋" w:hAnsi="仿宋" w:eastAsia="仿宋" w:cs="仿宋"/>
          <w:sz w:val="24"/>
          <w:lang w:val="en-US" w:eastAsia="zh-CN"/>
        </w:rPr>
        <w:t>.................................   20</w:t>
      </w:r>
    </w:p>
    <w:p w14:paraId="47A722A1">
      <w:pPr>
        <w:pStyle w:val="12"/>
        <w:adjustRightInd w:val="0"/>
        <w:snapToGrid w:val="0"/>
        <w:spacing w:line="440" w:lineRule="exact"/>
        <w:jc w:val="left"/>
        <w:rPr>
          <w:rFonts w:hint="default"/>
          <w:sz w:val="24"/>
          <w:lang w:val="en-US"/>
        </w:rPr>
      </w:pPr>
      <w:r>
        <w:rPr>
          <w:rFonts w:hint="eastAsia"/>
          <w:sz w:val="24"/>
        </w:rPr>
        <w:t>五、财政拨款支出决算明细表</w:t>
      </w:r>
      <w:r>
        <w:rPr>
          <w:rFonts w:hint="eastAsia" w:ascii="仿宋" w:hAnsi="仿宋" w:eastAsia="仿宋" w:cs="仿宋"/>
          <w:sz w:val="24"/>
          <w:lang w:val="en-US" w:eastAsia="zh-CN"/>
        </w:rPr>
        <w:t>......................................20</w:t>
      </w:r>
    </w:p>
    <w:p w14:paraId="68C7FC9F">
      <w:pPr>
        <w:pStyle w:val="12"/>
        <w:adjustRightInd w:val="0"/>
        <w:snapToGrid w:val="0"/>
        <w:spacing w:line="440" w:lineRule="exact"/>
        <w:jc w:val="left"/>
        <w:rPr>
          <w:rFonts w:hint="default"/>
          <w:sz w:val="24"/>
          <w:lang w:val="en-US"/>
        </w:rPr>
      </w:pPr>
      <w:r>
        <w:rPr>
          <w:rFonts w:hint="eastAsia"/>
          <w:sz w:val="24"/>
        </w:rPr>
        <w:t>六、一般公共预算财政拨款支出决算表</w:t>
      </w:r>
      <w:r>
        <w:rPr>
          <w:rFonts w:hint="eastAsia" w:ascii="仿宋" w:hAnsi="仿宋" w:eastAsia="仿宋" w:cs="仿宋"/>
          <w:sz w:val="24"/>
          <w:lang w:val="en-US" w:eastAsia="zh-CN"/>
        </w:rPr>
        <w:t>..............................20</w:t>
      </w:r>
    </w:p>
    <w:p w14:paraId="67B34B8A">
      <w:pPr>
        <w:pStyle w:val="12"/>
        <w:adjustRightInd w:val="0"/>
        <w:snapToGrid w:val="0"/>
        <w:spacing w:line="440" w:lineRule="exact"/>
        <w:jc w:val="left"/>
        <w:rPr>
          <w:rFonts w:hint="default"/>
          <w:sz w:val="24"/>
          <w:lang w:val="en-US"/>
        </w:rPr>
      </w:pPr>
      <w:r>
        <w:rPr>
          <w:rFonts w:hint="eastAsia"/>
          <w:sz w:val="24"/>
        </w:rPr>
        <w:t>七、一般公共预算财政拨款支出决算明细表</w:t>
      </w:r>
      <w:r>
        <w:rPr>
          <w:rFonts w:hint="eastAsia" w:ascii="仿宋" w:hAnsi="仿宋" w:eastAsia="仿宋" w:cs="仿宋"/>
          <w:sz w:val="24"/>
          <w:lang w:val="en-US" w:eastAsia="zh-CN"/>
        </w:rPr>
        <w:t>..........................20</w:t>
      </w:r>
    </w:p>
    <w:p w14:paraId="57D76B7C">
      <w:pPr>
        <w:pStyle w:val="12"/>
        <w:adjustRightInd w:val="0"/>
        <w:snapToGrid w:val="0"/>
        <w:spacing w:line="440" w:lineRule="exact"/>
        <w:jc w:val="left"/>
        <w:rPr>
          <w:rFonts w:hint="default"/>
          <w:sz w:val="24"/>
          <w:lang w:val="en-US"/>
        </w:rPr>
      </w:pPr>
      <w:r>
        <w:rPr>
          <w:rFonts w:hint="eastAsia"/>
          <w:sz w:val="24"/>
        </w:rPr>
        <w:t>八、一般公共预算财政拨款基本支出决算明细表</w:t>
      </w:r>
      <w:r>
        <w:rPr>
          <w:rFonts w:hint="eastAsia" w:ascii="仿宋" w:hAnsi="仿宋" w:eastAsia="仿宋" w:cs="仿宋"/>
          <w:sz w:val="24"/>
          <w:lang w:val="en-US" w:eastAsia="zh-CN"/>
        </w:rPr>
        <w:t>......................20</w:t>
      </w:r>
    </w:p>
    <w:p w14:paraId="1E65EF93">
      <w:pPr>
        <w:pStyle w:val="12"/>
        <w:adjustRightInd w:val="0"/>
        <w:snapToGrid w:val="0"/>
        <w:spacing w:line="440" w:lineRule="exact"/>
        <w:jc w:val="left"/>
        <w:rPr>
          <w:rFonts w:hint="default"/>
          <w:sz w:val="24"/>
          <w:lang w:val="en-US"/>
        </w:rPr>
      </w:pPr>
      <w:r>
        <w:rPr>
          <w:rFonts w:hint="eastAsia"/>
          <w:sz w:val="24"/>
        </w:rPr>
        <w:t>九、一般公共预算财政拨款项目支出决算表</w:t>
      </w:r>
      <w:r>
        <w:rPr>
          <w:rFonts w:hint="eastAsia" w:ascii="仿宋" w:hAnsi="仿宋" w:eastAsia="仿宋" w:cs="仿宋"/>
          <w:sz w:val="24"/>
          <w:lang w:val="en-US" w:eastAsia="zh-CN"/>
        </w:rPr>
        <w:t>..........................20</w:t>
      </w:r>
    </w:p>
    <w:p w14:paraId="68CEFA4A">
      <w:pPr>
        <w:pStyle w:val="12"/>
        <w:adjustRightInd w:val="0"/>
        <w:snapToGrid w:val="0"/>
        <w:spacing w:line="440" w:lineRule="exact"/>
        <w:jc w:val="left"/>
        <w:rPr>
          <w:rFonts w:hint="default"/>
          <w:sz w:val="24"/>
          <w:lang w:val="en-US"/>
        </w:rPr>
      </w:pPr>
      <w:r>
        <w:rPr>
          <w:rFonts w:hint="eastAsia"/>
          <w:sz w:val="24"/>
        </w:rPr>
        <w:t>十、政府性基金预算财政拨款收入支出决算表</w:t>
      </w:r>
      <w:r>
        <w:rPr>
          <w:rFonts w:hint="eastAsia" w:ascii="仿宋" w:hAnsi="仿宋" w:eastAsia="仿宋" w:cs="仿宋"/>
          <w:sz w:val="24"/>
          <w:lang w:val="en-US" w:eastAsia="zh-CN"/>
        </w:rPr>
        <w:t>........................20</w:t>
      </w:r>
    </w:p>
    <w:p w14:paraId="0141B16F">
      <w:pPr>
        <w:pStyle w:val="12"/>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hint="eastAsia" w:ascii="仿宋" w:hAnsi="仿宋" w:eastAsia="仿宋" w:cs="仿宋"/>
          <w:sz w:val="24"/>
          <w:lang w:val="en-US" w:eastAsia="zh-CN"/>
        </w:rPr>
        <w:t>....................20</w:t>
      </w:r>
    </w:p>
    <w:p w14:paraId="7DE4B9D5">
      <w:pPr>
        <w:pStyle w:val="12"/>
        <w:adjustRightInd w:val="0"/>
        <w:snapToGrid w:val="0"/>
        <w:spacing w:line="440" w:lineRule="exact"/>
        <w:jc w:val="left"/>
        <w:rPr>
          <w:rFonts w:hint="default"/>
          <w:sz w:val="24"/>
          <w:lang w:val="en-US"/>
        </w:rPr>
      </w:pPr>
      <w:r>
        <w:rPr>
          <w:rFonts w:hint="eastAsia"/>
          <w:sz w:val="24"/>
        </w:rPr>
        <w:t>十二、国有资本经营预算财政拨款支出决算表</w:t>
      </w:r>
      <w:r>
        <w:rPr>
          <w:rFonts w:hint="eastAsia" w:ascii="仿宋" w:hAnsi="仿宋" w:eastAsia="仿宋" w:cs="仿宋"/>
          <w:sz w:val="24"/>
          <w:lang w:val="en-US" w:eastAsia="zh-CN"/>
        </w:rPr>
        <w:t>........................20</w:t>
      </w:r>
    </w:p>
    <w:p w14:paraId="540A7AAD">
      <w:pPr>
        <w:pStyle w:val="12"/>
        <w:adjustRightInd w:val="0"/>
        <w:snapToGrid w:val="0"/>
        <w:spacing w:line="440" w:lineRule="exact"/>
        <w:jc w:val="left"/>
        <w:rPr>
          <w:rFonts w:hint="default"/>
          <w:sz w:val="24"/>
          <w:lang w:val="en-US"/>
        </w:rPr>
      </w:pPr>
      <w:r>
        <w:rPr>
          <w:rFonts w:hint="eastAsia"/>
          <w:sz w:val="24"/>
        </w:rPr>
        <w:t>十三、财政拨款“三公”经费支出决算表</w:t>
      </w:r>
      <w:r>
        <w:rPr>
          <w:rFonts w:hint="eastAsia" w:ascii="仿宋" w:hAnsi="仿宋" w:eastAsia="仿宋" w:cs="仿宋"/>
          <w:sz w:val="24"/>
          <w:lang w:val="en-US" w:eastAsia="zh-CN"/>
        </w:rPr>
        <w:t>............................20</w:t>
      </w:r>
    </w:p>
    <w:p w14:paraId="65FA69F1">
      <w:pPr>
        <w:pStyle w:val="2"/>
        <w:jc w:val="center"/>
        <w:rPr>
          <w:rFonts w:hint="eastAsia" w:ascii="黑体" w:hAnsi="黑体" w:eastAsia="黑体"/>
          <w:b w:val="0"/>
        </w:rPr>
      </w:pPr>
      <w:bookmarkStart w:id="12" w:name="_Toc15377196"/>
      <w:bookmarkStart w:id="13" w:name="_Toc15396599"/>
    </w:p>
    <w:p w14:paraId="2B204AA7">
      <w:pPr>
        <w:pStyle w:val="2"/>
        <w:jc w:val="both"/>
        <w:rPr>
          <w:rFonts w:hint="eastAsia" w:ascii="黑体" w:hAnsi="黑体" w:eastAsia="黑体"/>
          <w:b w:val="0"/>
        </w:rPr>
      </w:pPr>
    </w:p>
    <w:p w14:paraId="727136B1">
      <w:pPr>
        <w:pStyle w:val="2"/>
        <w:jc w:val="both"/>
        <w:rPr>
          <w:rFonts w:hint="eastAsia" w:ascii="黑体" w:hAnsi="黑体" w:eastAsia="黑体"/>
          <w:b w:val="0"/>
        </w:rPr>
      </w:pPr>
    </w:p>
    <w:p w14:paraId="5019A929">
      <w:pPr>
        <w:rPr>
          <w:rFonts w:hint="eastAsia" w:ascii="黑体" w:hAnsi="黑体" w:eastAsia="黑体"/>
          <w:b w:val="0"/>
        </w:rPr>
      </w:pPr>
    </w:p>
    <w:p w14:paraId="392F1EB6">
      <w:pPr>
        <w:rPr>
          <w:rFonts w:hint="eastAsia" w:ascii="黑体" w:hAnsi="黑体" w:eastAsia="黑体"/>
          <w:b w:val="0"/>
        </w:rPr>
      </w:pPr>
    </w:p>
    <w:p w14:paraId="3C91C388">
      <w:pPr>
        <w:rPr>
          <w:rFonts w:hint="eastAsia" w:ascii="黑体" w:hAnsi="黑体" w:eastAsia="黑体"/>
          <w:b w:val="0"/>
        </w:rPr>
      </w:pPr>
    </w:p>
    <w:p w14:paraId="3A07BE8F">
      <w:pPr>
        <w:rPr>
          <w:rFonts w:hint="eastAsia" w:ascii="黑体" w:hAnsi="黑体" w:eastAsia="黑体"/>
          <w:b w:val="0"/>
        </w:rPr>
      </w:pPr>
    </w:p>
    <w:p w14:paraId="31C60BA5">
      <w:pPr>
        <w:rPr>
          <w:rFonts w:hint="eastAsia" w:ascii="黑体" w:hAnsi="黑体" w:eastAsia="黑体"/>
          <w:b w:val="0"/>
        </w:rPr>
      </w:pPr>
    </w:p>
    <w:p w14:paraId="04FBA074">
      <w:pPr>
        <w:rPr>
          <w:rFonts w:hint="eastAsia" w:ascii="黑体" w:hAnsi="黑体" w:eastAsia="黑体"/>
          <w:b w:val="0"/>
        </w:rPr>
      </w:pPr>
    </w:p>
    <w:p w14:paraId="187F8AA5">
      <w:pPr>
        <w:rPr>
          <w:rFonts w:hint="eastAsia" w:ascii="黑体" w:hAnsi="黑体" w:eastAsia="黑体"/>
          <w:b w:val="0"/>
        </w:rPr>
      </w:pPr>
    </w:p>
    <w:p w14:paraId="06CAF771">
      <w:pPr>
        <w:rPr>
          <w:rFonts w:hint="eastAsia" w:ascii="黑体" w:hAnsi="黑体" w:eastAsia="黑体"/>
          <w:b w:val="0"/>
        </w:rPr>
      </w:pPr>
    </w:p>
    <w:p w14:paraId="2E70A77D">
      <w:pPr>
        <w:rPr>
          <w:rFonts w:hint="eastAsia" w:ascii="黑体" w:hAnsi="黑体" w:eastAsia="黑体"/>
          <w:b w:val="0"/>
        </w:rPr>
      </w:pPr>
    </w:p>
    <w:p w14:paraId="2A9F15D8">
      <w:pPr>
        <w:rPr>
          <w:rFonts w:hint="eastAsia" w:ascii="黑体" w:hAnsi="黑体" w:eastAsia="黑体"/>
          <w:b w:val="0"/>
        </w:rPr>
      </w:pPr>
    </w:p>
    <w:p w14:paraId="369774D4">
      <w:pPr>
        <w:rPr>
          <w:rFonts w:hint="eastAsia" w:ascii="黑体" w:hAnsi="黑体" w:eastAsia="黑体"/>
          <w:b w:val="0"/>
        </w:rPr>
      </w:pPr>
    </w:p>
    <w:p w14:paraId="1A358D2F">
      <w:pPr>
        <w:rPr>
          <w:rFonts w:hint="eastAsia" w:ascii="黑体" w:hAnsi="黑体" w:eastAsia="黑体"/>
          <w:b w:val="0"/>
        </w:rPr>
      </w:pPr>
    </w:p>
    <w:p w14:paraId="0AB304C1">
      <w:pPr>
        <w:rPr>
          <w:rFonts w:hint="eastAsia" w:ascii="黑体" w:hAnsi="黑体" w:eastAsia="黑体"/>
          <w:b w:val="0"/>
        </w:rPr>
      </w:pPr>
    </w:p>
    <w:p w14:paraId="493CB866">
      <w:pPr>
        <w:rPr>
          <w:rFonts w:hint="eastAsia" w:ascii="黑体" w:hAnsi="黑体" w:eastAsia="黑体"/>
          <w:b w:val="0"/>
        </w:rPr>
      </w:pPr>
    </w:p>
    <w:p w14:paraId="09B2CDC1">
      <w:pPr>
        <w:rPr>
          <w:rFonts w:hint="eastAsia" w:ascii="黑体" w:hAnsi="黑体" w:eastAsia="黑体"/>
          <w:b w:val="0"/>
        </w:rPr>
      </w:pPr>
    </w:p>
    <w:p w14:paraId="42FB59D2">
      <w:pPr>
        <w:rPr>
          <w:rFonts w:hint="eastAsia" w:ascii="黑体" w:hAnsi="黑体" w:eastAsia="黑体"/>
          <w:b w:val="0"/>
        </w:rPr>
      </w:pPr>
    </w:p>
    <w:p w14:paraId="2AAEE929">
      <w:pPr>
        <w:rPr>
          <w:rFonts w:hint="eastAsia" w:ascii="黑体" w:hAnsi="黑体" w:eastAsia="黑体"/>
          <w:b w:val="0"/>
        </w:rPr>
      </w:pPr>
    </w:p>
    <w:p w14:paraId="3C5C6095">
      <w:pPr>
        <w:rPr>
          <w:rFonts w:hint="eastAsia" w:ascii="黑体" w:hAnsi="黑体" w:eastAsia="黑体"/>
          <w:b w:val="0"/>
        </w:rPr>
      </w:pPr>
    </w:p>
    <w:p w14:paraId="3E2982C0">
      <w:pPr>
        <w:rPr>
          <w:rFonts w:hint="eastAsia" w:ascii="黑体" w:hAnsi="黑体" w:eastAsia="黑体"/>
          <w:b w:val="0"/>
        </w:rPr>
      </w:pPr>
    </w:p>
    <w:p w14:paraId="5533E99B">
      <w:pPr>
        <w:pStyle w:val="2"/>
        <w:ind w:firstLine="2200" w:firstLineChars="500"/>
        <w:jc w:val="both"/>
        <w:rPr>
          <w:rFonts w:ascii="黑体" w:eastAsia="黑体"/>
          <w:sz w:val="32"/>
          <w:szCs w:val="32"/>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18D60C1E">
      <w:pPr>
        <w:pStyle w:val="3"/>
        <w:numPr>
          <w:ilvl w:val="0"/>
          <w:numId w:val="0"/>
        </w:numPr>
        <w:ind w:firstLine="640" w:firstLineChars="200"/>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lang w:eastAsia="zh-CN"/>
        </w:rPr>
        <w:t>一、</w:t>
      </w:r>
      <w:r>
        <w:rPr>
          <w:rStyle w:val="28"/>
          <w:rFonts w:hint="eastAsia" w:ascii="黑体" w:hAnsi="黑体" w:eastAsia="黑体"/>
          <w:b w:val="0"/>
          <w:bCs w:val="0"/>
        </w:rPr>
        <w:t>主要职责</w:t>
      </w:r>
    </w:p>
    <w:p w14:paraId="08C727FE">
      <w:pPr>
        <w:bidi w:val="0"/>
        <w:ind w:firstLine="640" w:firstLineChars="200"/>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1.认真贯彻《四川省中小学办学行为规范》，不断规范学校办学行为，切实增强我校教师规范从教的意识，促进办学水平的不断提升。努力办人民满意的教育。</w:t>
      </w:r>
    </w:p>
    <w:p w14:paraId="4AC36E8A">
      <w:pPr>
        <w:bidi w:val="0"/>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 xml:space="preserve">    2.配合县、镇人民政府制定符合党的教育方针和国家教育分类法规以及本校实际的教育发展规划和学校布局调整规划，并落地落实。</w:t>
      </w:r>
    </w:p>
    <w:p w14:paraId="27B3C5E1">
      <w:pPr>
        <w:keepNext w:val="0"/>
        <w:keepLines w:val="0"/>
        <w:pageBreakBefore w:val="0"/>
        <w:widowControl w:val="0"/>
        <w:kinsoku/>
        <w:wordWrap/>
        <w:overflowPunct/>
        <w:topLinePunct w:val="0"/>
        <w:autoSpaceDE/>
        <w:autoSpaceDN/>
        <w:bidi w:val="0"/>
        <w:adjustRightInd/>
        <w:snapToGrid/>
        <w:spacing w:before="1" w:line="240" w:lineRule="auto"/>
        <w:ind w:right="318" w:firstLine="640" w:firstLineChars="200"/>
        <w:jc w:val="left"/>
        <w:textAlignment w:val="auto"/>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3.配合各级人民政府依法动员、组织适龄儿童入学，严格控辍保学，推进普及义务教育。</w:t>
      </w:r>
    </w:p>
    <w:p w14:paraId="00D874CD">
      <w:pPr>
        <w:keepNext w:val="0"/>
        <w:keepLines w:val="0"/>
        <w:pageBreakBefore w:val="0"/>
        <w:widowControl w:val="0"/>
        <w:kinsoku/>
        <w:wordWrap/>
        <w:overflowPunct/>
        <w:topLinePunct w:val="0"/>
        <w:autoSpaceDE/>
        <w:autoSpaceDN/>
        <w:bidi w:val="0"/>
        <w:adjustRightInd/>
        <w:snapToGrid/>
        <w:spacing w:before="3" w:line="240" w:lineRule="auto"/>
        <w:ind w:right="318" w:firstLine="640" w:firstLineChars="200"/>
        <w:jc w:val="left"/>
        <w:textAlignment w:val="auto"/>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4.组织开展本校的教育教学科研和教育教学改革，坚持 科研兴教。负责对本校的教育教学管理，按照义务教育课程 计划，开足、开齐课程，全面推进素质教育。</w:t>
      </w:r>
    </w:p>
    <w:p w14:paraId="5F25A9B6">
      <w:pPr>
        <w:keepNext w:val="0"/>
        <w:keepLines w:val="0"/>
        <w:pageBreakBefore w:val="0"/>
        <w:widowControl w:val="0"/>
        <w:kinsoku/>
        <w:wordWrap/>
        <w:overflowPunct/>
        <w:topLinePunct w:val="0"/>
        <w:autoSpaceDE/>
        <w:autoSpaceDN/>
        <w:bidi w:val="0"/>
        <w:adjustRightInd/>
        <w:snapToGrid/>
        <w:spacing w:before="2" w:line="240" w:lineRule="auto"/>
        <w:ind w:right="318" w:firstLine="640" w:firstLineChars="200"/>
        <w:jc w:val="left"/>
        <w:textAlignment w:val="auto"/>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5.按照干部、教师管理权限和规定，负责本校教师人事管理、继续教育、培养培训、职称评聘、考核考评等工作。</w:t>
      </w:r>
    </w:p>
    <w:p w14:paraId="5E9F2CF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6.负责本校财务和基建管理工作，改善办学条件等工作；负责全体教职工五险购买和工资发放。</w:t>
      </w:r>
    </w:p>
    <w:p w14:paraId="2669DD6C">
      <w:pPr>
        <w:keepNext w:val="0"/>
        <w:keepLines w:val="0"/>
        <w:pageBreakBefore w:val="0"/>
        <w:widowControl w:val="0"/>
        <w:kinsoku/>
        <w:wordWrap/>
        <w:overflowPunct/>
        <w:topLinePunct w:val="0"/>
        <w:autoSpaceDE/>
        <w:autoSpaceDN/>
        <w:bidi w:val="0"/>
        <w:adjustRightInd/>
        <w:snapToGrid/>
        <w:spacing w:before="140" w:line="240" w:lineRule="auto"/>
        <w:ind w:firstLine="640" w:firstLineChars="200"/>
        <w:jc w:val="left"/>
        <w:textAlignment w:val="auto"/>
        <w:rPr>
          <w:rFonts w:hint="eastAsia" w:ascii="仿宋" w:hAnsi="仿宋" w:eastAsia="仿宋" w:cs="宋体"/>
          <w:kern w:val="2"/>
          <w:sz w:val="32"/>
          <w:szCs w:val="32"/>
          <w:shd w:val="clear" w:color="auto" w:fill="FFFFFF"/>
          <w:lang w:val="en-US" w:eastAsia="zh-CN" w:bidi="ar-SA"/>
        </w:rPr>
      </w:pPr>
      <w:r>
        <w:rPr>
          <w:rFonts w:hint="eastAsia" w:ascii="仿宋" w:hAnsi="仿宋" w:eastAsia="仿宋" w:cs="宋体"/>
          <w:kern w:val="2"/>
          <w:sz w:val="32"/>
          <w:szCs w:val="32"/>
          <w:shd w:val="clear" w:color="auto" w:fill="FFFFFF"/>
          <w:lang w:val="en-US" w:eastAsia="zh-CN" w:bidi="ar-SA"/>
        </w:rPr>
        <w:t>7.立德树人、质量兴校，负责“移风易俗、小手拉大手” 宣传教育工作。</w:t>
      </w:r>
    </w:p>
    <w:p w14:paraId="58515FE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pPr>
      <w:r>
        <w:rPr>
          <w:rFonts w:hint="eastAsia" w:ascii="仿宋" w:hAnsi="仿宋" w:eastAsia="仿宋" w:cs="宋体"/>
          <w:kern w:val="2"/>
          <w:sz w:val="32"/>
          <w:szCs w:val="32"/>
          <w:shd w:val="clear" w:color="auto" w:fill="FFFFFF"/>
          <w:lang w:val="en-US" w:eastAsia="zh-CN" w:bidi="ar-SA"/>
        </w:rPr>
        <w:t>8.承办县、乡镇部门交办的其他事项</w:t>
      </w:r>
    </w:p>
    <w:p w14:paraId="2FDB92FE">
      <w:pPr>
        <w:rPr>
          <w:rFonts w:hint="default" w:eastAsia="黑体"/>
          <w:lang w:val="en-US" w:eastAsia="zh-CN"/>
        </w:rPr>
      </w:pPr>
      <w:r>
        <w:rPr>
          <w:rStyle w:val="28"/>
          <w:rFonts w:hint="eastAsia" w:ascii="黑体" w:hAnsi="黑体" w:eastAsia="黑体"/>
          <w:b w:val="0"/>
          <w:bCs w:val="0"/>
          <w:lang w:val="en-US" w:eastAsia="zh-CN"/>
        </w:rPr>
        <w:t xml:space="preserve">  </w:t>
      </w:r>
    </w:p>
    <w:p w14:paraId="72A0B0C7">
      <w:pPr>
        <w:pStyle w:val="3"/>
        <w:numPr>
          <w:ilvl w:val="0"/>
          <w:numId w:val="0"/>
        </w:numPr>
        <w:ind w:leftChars="0" w:firstLine="640" w:firstLineChars="200"/>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bookmarkEnd w:id="14"/>
      <w:bookmarkEnd w:id="15"/>
    </w:p>
    <w:p w14:paraId="65935CA6">
      <w:pPr>
        <w:pStyle w:val="3"/>
        <w:numPr>
          <w:ilvl w:val="0"/>
          <w:numId w:val="0"/>
        </w:numPr>
        <w:ind w:leftChars="0"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峨边彝族自治县毛坪镇初级中学属峨边彝族自治县教育局下属二级单位。核定内设机构为：书记办、校长办、教务处、团支部（德育办）、安全办、后勤办、财务办7个部门。</w:t>
      </w:r>
    </w:p>
    <w:p w14:paraId="7D6EEB7F">
      <w:pPr>
        <w:widowControl/>
        <w:jc w:val="left"/>
        <w:rPr>
          <w:rFonts w:ascii="仿宋" w:hAnsi="仿宋" w:eastAsia="仿宋"/>
          <w:kern w:val="0"/>
          <w:sz w:val="32"/>
          <w:szCs w:val="32"/>
        </w:rPr>
      </w:pPr>
    </w:p>
    <w:p w14:paraId="5D157BDB">
      <w:pPr>
        <w:pStyle w:val="2"/>
        <w:ind w:right="440"/>
        <w:jc w:val="center"/>
        <w:rPr>
          <w:rFonts w:hint="eastAsia" w:ascii="黑体" w:hAnsi="黑体" w:eastAsia="黑体"/>
          <w:b w:val="0"/>
        </w:rPr>
      </w:pPr>
      <w:bookmarkStart w:id="16" w:name="_Toc15396602"/>
      <w:bookmarkStart w:id="17" w:name="_Toc15377204"/>
    </w:p>
    <w:p w14:paraId="5C2E847D">
      <w:pPr>
        <w:pStyle w:val="2"/>
        <w:ind w:right="440"/>
        <w:jc w:val="both"/>
        <w:rPr>
          <w:rFonts w:hint="eastAsia" w:ascii="黑体" w:hAnsi="黑体" w:eastAsia="黑体"/>
          <w:b w:val="0"/>
        </w:rPr>
      </w:pPr>
    </w:p>
    <w:p w14:paraId="4B50082F">
      <w:pPr>
        <w:bidi w:val="0"/>
        <w:rPr>
          <w:rFonts w:hint="eastAsia"/>
        </w:rPr>
      </w:pPr>
    </w:p>
    <w:p w14:paraId="5965C1B0">
      <w:pPr>
        <w:pStyle w:val="2"/>
        <w:ind w:right="440"/>
        <w:jc w:val="both"/>
        <w:rPr>
          <w:rFonts w:hint="eastAsia" w:ascii="黑体" w:hAnsi="黑体" w:eastAsia="黑体"/>
          <w:b w:val="0"/>
        </w:rPr>
      </w:pPr>
    </w:p>
    <w:p w14:paraId="28B9E499">
      <w:pPr>
        <w:pStyle w:val="2"/>
        <w:ind w:right="440"/>
        <w:jc w:val="both"/>
        <w:rPr>
          <w:rFonts w:hint="eastAsia" w:ascii="黑体" w:hAnsi="黑体" w:eastAsia="黑体"/>
          <w:b w:val="0"/>
        </w:rPr>
      </w:pPr>
    </w:p>
    <w:p w14:paraId="7095DD37">
      <w:pPr>
        <w:pStyle w:val="2"/>
        <w:ind w:right="440"/>
        <w:jc w:val="both"/>
        <w:rPr>
          <w:rFonts w:hint="eastAsia" w:ascii="黑体" w:hAnsi="黑体" w:eastAsia="黑体"/>
          <w:b w:val="0"/>
        </w:rPr>
      </w:pPr>
    </w:p>
    <w:p w14:paraId="0B5782CD">
      <w:pPr>
        <w:pStyle w:val="2"/>
        <w:ind w:right="440"/>
        <w:jc w:val="both"/>
        <w:rPr>
          <w:rFonts w:hint="eastAsia" w:ascii="黑体" w:hAnsi="黑体" w:eastAsia="黑体"/>
          <w:b w:val="0"/>
        </w:rPr>
      </w:pPr>
    </w:p>
    <w:p w14:paraId="31C3B09C">
      <w:pPr>
        <w:rPr>
          <w:rFonts w:hint="eastAsia"/>
        </w:rPr>
      </w:pPr>
    </w:p>
    <w:p w14:paraId="3B885F61">
      <w:pPr>
        <w:rPr>
          <w:rFonts w:hint="eastAsia"/>
        </w:rPr>
      </w:pPr>
    </w:p>
    <w:p w14:paraId="58D86ED0">
      <w:pPr>
        <w:rPr>
          <w:rFonts w:hint="eastAsia"/>
        </w:rPr>
      </w:pPr>
    </w:p>
    <w:p w14:paraId="27D3C0E2">
      <w:pPr>
        <w:pStyle w:val="2"/>
        <w:ind w:right="440" w:firstLine="440" w:firstLineChars="100"/>
        <w:jc w:val="both"/>
      </w:pPr>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5DE3A00C">
      <w:pPr>
        <w:pStyle w:val="26"/>
        <w:numPr>
          <w:ilvl w:val="0"/>
          <w:numId w:val="1"/>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227F9BE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791.13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59.78</w:t>
      </w:r>
      <w:r>
        <w:rPr>
          <w:rFonts w:hint="eastAsia" w:ascii="仿宋" w:hAnsi="仿宋" w:eastAsia="仿宋"/>
          <w:sz w:val="32"/>
          <w:szCs w:val="32"/>
        </w:rPr>
        <w:t>万元，增长</w:t>
      </w:r>
      <w:r>
        <w:rPr>
          <w:rFonts w:hint="eastAsia" w:ascii="仿宋" w:hAnsi="仿宋" w:eastAsia="仿宋"/>
          <w:sz w:val="32"/>
          <w:szCs w:val="32"/>
          <w:lang w:val="en-US" w:eastAsia="zh-CN"/>
        </w:rPr>
        <w:t>8.17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学生人数增加，人员经费增加</w:t>
      </w:r>
      <w:r>
        <w:rPr>
          <w:rFonts w:hint="eastAsia" w:ascii="仿宋" w:hAnsi="仿宋" w:eastAsia="仿宋"/>
          <w:sz w:val="32"/>
          <w:szCs w:val="32"/>
        </w:rPr>
        <w:t>。</w:t>
      </w:r>
    </w:p>
    <w:p w14:paraId="195C04F4">
      <w:pPr>
        <w:pStyle w:val="3"/>
        <w:keepNext/>
        <w:keepLines/>
        <w:spacing w:before="260" w:beforeLines="0" w:after="260" w:afterLines="0" w:line="576" w:lineRule="exact"/>
        <w:jc w:val="both"/>
        <w:rPr>
          <w:rFonts w:hint="eastAsia"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424815</wp:posOffset>
            </wp:positionH>
            <wp:positionV relativeFrom="paragraph">
              <wp:posOffset>36195</wp:posOffset>
            </wp:positionV>
            <wp:extent cx="4671060" cy="2552065"/>
            <wp:effectExtent l="4445" t="4445" r="10795" b="15240"/>
            <wp:wrapNone/>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798FBCC">
      <w:pPr>
        <w:pStyle w:val="3"/>
        <w:keepNext/>
        <w:keepLines/>
        <w:spacing w:before="260" w:beforeLines="0" w:after="260" w:afterLines="0" w:line="576" w:lineRule="exact"/>
        <w:jc w:val="both"/>
        <w:rPr>
          <w:rFonts w:hint="eastAsia" w:ascii="仿宋" w:hAnsi="仿宋" w:eastAsia="仿宋"/>
          <w:sz w:val="32"/>
          <w:szCs w:val="32"/>
        </w:rPr>
      </w:pPr>
    </w:p>
    <w:p w14:paraId="43845875">
      <w:pPr>
        <w:pStyle w:val="3"/>
        <w:keepNext/>
        <w:keepLines/>
        <w:spacing w:before="260" w:beforeLines="0" w:after="260" w:afterLines="0" w:line="576" w:lineRule="exact"/>
        <w:jc w:val="both"/>
        <w:rPr>
          <w:rFonts w:hint="eastAsia" w:ascii="仿宋" w:hAnsi="仿宋" w:eastAsia="仿宋"/>
          <w:sz w:val="32"/>
          <w:szCs w:val="32"/>
        </w:rPr>
      </w:pPr>
    </w:p>
    <w:p w14:paraId="26355159">
      <w:pPr>
        <w:spacing w:line="600" w:lineRule="exact"/>
        <w:jc w:val="left"/>
        <w:rPr>
          <w:rFonts w:ascii="仿宋_GB2312" w:eastAsia="仿宋_GB2312"/>
          <w:sz w:val="32"/>
          <w:szCs w:val="32"/>
        </w:rPr>
      </w:pPr>
    </w:p>
    <w:p w14:paraId="2A009512">
      <w:pPr>
        <w:spacing w:line="600" w:lineRule="exact"/>
        <w:jc w:val="left"/>
        <w:rPr>
          <w:rFonts w:ascii="仿宋_GB2312" w:eastAsia="仿宋_GB2312"/>
          <w:sz w:val="32"/>
          <w:szCs w:val="32"/>
        </w:rPr>
      </w:pPr>
    </w:p>
    <w:p w14:paraId="5833C957">
      <w:pPr>
        <w:pStyle w:val="26"/>
        <w:numPr>
          <w:ilvl w:val="0"/>
          <w:numId w:val="1"/>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11149930">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2023年度本年收入合计</w:t>
      </w:r>
      <w:r>
        <w:rPr>
          <w:rFonts w:ascii="仿宋" w:hAnsi="仿宋" w:eastAsia="仿宋"/>
          <w:b/>
          <w:sz w:val="32"/>
          <w:szCs w:val="32"/>
        </w:rPr>
        <w:t>757.41</w:t>
      </w:r>
      <w:r>
        <w:rPr>
          <w:rFonts w:hint="eastAsia" w:ascii="仿宋" w:hAnsi="仿宋" w:eastAsia="仿宋"/>
          <w:sz w:val="32"/>
          <w:szCs w:val="32"/>
        </w:rPr>
        <w:t>万元，其中：一般公共预算财政拨款收入</w:t>
      </w:r>
      <w:r>
        <w:rPr>
          <w:rFonts w:ascii="仿宋" w:hAnsi="仿宋" w:eastAsia="仿宋"/>
          <w:b/>
          <w:sz w:val="32"/>
          <w:szCs w:val="32"/>
        </w:rPr>
        <w:t>732.29</w:t>
      </w:r>
      <w:r>
        <w:rPr>
          <w:rFonts w:hint="eastAsia" w:ascii="仿宋" w:hAnsi="仿宋" w:eastAsia="仿宋"/>
          <w:sz w:val="32"/>
          <w:szCs w:val="32"/>
        </w:rPr>
        <w:t>万元，占</w:t>
      </w:r>
      <w:r>
        <w:rPr>
          <w:rFonts w:ascii="仿宋" w:hAnsi="仿宋" w:eastAsia="仿宋"/>
          <w:b/>
          <w:sz w:val="32"/>
          <w:szCs w:val="32"/>
        </w:rPr>
        <w:t>96.68%</w:t>
      </w:r>
      <w:r>
        <w:rPr>
          <w:rFonts w:hint="eastAsia" w:ascii="仿宋" w:hAnsi="仿宋" w:eastAsia="仿宋"/>
          <w:sz w:val="32"/>
          <w:szCs w:val="32"/>
        </w:rPr>
        <w:t>；其他收入</w:t>
      </w:r>
      <w:r>
        <w:rPr>
          <w:rFonts w:ascii="仿宋" w:hAnsi="仿宋" w:eastAsia="仿宋"/>
          <w:b/>
          <w:sz w:val="32"/>
          <w:szCs w:val="32"/>
        </w:rPr>
        <w:t>25.12</w:t>
      </w:r>
      <w:r>
        <w:rPr>
          <w:rFonts w:hint="eastAsia" w:ascii="仿宋" w:hAnsi="仿宋" w:eastAsia="仿宋"/>
          <w:sz w:val="32"/>
          <w:szCs w:val="32"/>
        </w:rPr>
        <w:t>万元，占</w:t>
      </w:r>
      <w:r>
        <w:rPr>
          <w:rFonts w:ascii="仿宋" w:hAnsi="仿宋" w:eastAsia="仿宋"/>
          <w:b/>
          <w:sz w:val="32"/>
          <w:szCs w:val="32"/>
        </w:rPr>
        <w:t>3.3</w:t>
      </w:r>
      <w:r>
        <w:rPr>
          <w:rFonts w:hint="eastAsia" w:ascii="仿宋" w:hAnsi="仿宋" w:eastAsia="仿宋"/>
          <w:b/>
          <w:sz w:val="32"/>
          <w:szCs w:val="32"/>
          <w:lang w:val="en-US" w:eastAsia="zh-CN"/>
        </w:rPr>
        <w:t>2</w:t>
      </w:r>
      <w:r>
        <w:rPr>
          <w:rFonts w:ascii="仿宋" w:hAnsi="仿宋" w:eastAsia="仿宋"/>
          <w:sz w:val="32"/>
          <w:szCs w:val="32"/>
        </w:rPr>
        <w:t>%</w:t>
      </w:r>
      <w:r>
        <w:rPr>
          <w:rFonts w:hint="eastAsia" w:ascii="仿宋" w:hAnsi="仿宋" w:eastAsia="仿宋"/>
          <w:sz w:val="32"/>
          <w:szCs w:val="32"/>
          <w:lang w:eastAsia="zh-CN"/>
        </w:rPr>
        <w:t>。</w:t>
      </w:r>
    </w:p>
    <w:p w14:paraId="61F37CFE">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453390</wp:posOffset>
            </wp:positionH>
            <wp:positionV relativeFrom="paragraph">
              <wp:posOffset>106045</wp:posOffset>
            </wp:positionV>
            <wp:extent cx="3869055" cy="2259965"/>
            <wp:effectExtent l="5080" t="5080" r="12065" b="20955"/>
            <wp:wrapNone/>
            <wp:docPr id="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EF050D9">
      <w:pPr>
        <w:spacing w:line="600" w:lineRule="exact"/>
        <w:ind w:firstLine="640" w:firstLineChars="200"/>
        <w:outlineLvl w:val="1"/>
        <w:rPr>
          <w:rFonts w:ascii="仿宋" w:hAnsi="仿宋" w:eastAsia="仿宋"/>
          <w:sz w:val="32"/>
          <w:szCs w:val="32"/>
        </w:rPr>
      </w:pPr>
    </w:p>
    <w:p w14:paraId="219DD817">
      <w:pPr>
        <w:spacing w:line="600" w:lineRule="exact"/>
        <w:ind w:firstLine="640" w:firstLineChars="200"/>
        <w:outlineLvl w:val="1"/>
        <w:rPr>
          <w:rFonts w:ascii="仿宋" w:hAnsi="仿宋" w:eastAsia="仿宋"/>
          <w:sz w:val="32"/>
          <w:szCs w:val="32"/>
        </w:rPr>
      </w:pPr>
    </w:p>
    <w:p w14:paraId="17F0E597">
      <w:pPr>
        <w:spacing w:line="600" w:lineRule="exact"/>
        <w:ind w:firstLine="640" w:firstLineChars="200"/>
        <w:outlineLvl w:val="1"/>
        <w:rPr>
          <w:rFonts w:ascii="仿宋" w:hAnsi="仿宋" w:eastAsia="仿宋"/>
          <w:sz w:val="32"/>
          <w:szCs w:val="32"/>
        </w:rPr>
      </w:pPr>
    </w:p>
    <w:p w14:paraId="67DB0E44">
      <w:pPr>
        <w:spacing w:line="600" w:lineRule="exact"/>
        <w:rPr>
          <w:rFonts w:ascii="仿宋_GB2312" w:eastAsia="仿宋_GB2312"/>
          <w:sz w:val="32"/>
          <w:szCs w:val="32"/>
        </w:rPr>
      </w:pPr>
    </w:p>
    <w:p w14:paraId="14C2AF75">
      <w:pPr>
        <w:spacing w:line="600" w:lineRule="exact"/>
        <w:rPr>
          <w:rFonts w:ascii="仿宋_GB2312" w:eastAsia="仿宋_GB2312"/>
          <w:sz w:val="32"/>
          <w:szCs w:val="32"/>
        </w:rPr>
      </w:pPr>
    </w:p>
    <w:p w14:paraId="78A25513">
      <w:pPr>
        <w:pStyle w:val="26"/>
        <w:numPr>
          <w:ilvl w:val="0"/>
          <w:numId w:val="1"/>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27CDDAB5">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760.18</w:t>
      </w:r>
      <w:r>
        <w:rPr>
          <w:rFonts w:hint="eastAsia" w:ascii="仿宋" w:hAnsi="仿宋" w:eastAsia="仿宋"/>
          <w:sz w:val="32"/>
          <w:szCs w:val="32"/>
        </w:rPr>
        <w:t>万元，其中：基本支出</w:t>
      </w:r>
      <w:r>
        <w:rPr>
          <w:rFonts w:ascii="仿宋" w:hAnsi="仿宋" w:eastAsia="仿宋"/>
          <w:b/>
          <w:sz w:val="32"/>
          <w:szCs w:val="32"/>
        </w:rPr>
        <w:t>604.84</w:t>
      </w:r>
      <w:r>
        <w:rPr>
          <w:rFonts w:hint="eastAsia" w:ascii="仿宋" w:hAnsi="仿宋" w:eastAsia="仿宋"/>
          <w:sz w:val="32"/>
          <w:szCs w:val="32"/>
        </w:rPr>
        <w:t>万元，占</w:t>
      </w:r>
      <w:r>
        <w:rPr>
          <w:rFonts w:ascii="仿宋" w:hAnsi="仿宋" w:eastAsia="仿宋"/>
          <w:b/>
          <w:sz w:val="32"/>
          <w:szCs w:val="32"/>
        </w:rPr>
        <w:t>79.5</w:t>
      </w:r>
      <w:r>
        <w:rPr>
          <w:rFonts w:hint="eastAsia" w:ascii="仿宋" w:hAnsi="仿宋" w:eastAsia="仿宋"/>
          <w:b/>
          <w:sz w:val="32"/>
          <w:szCs w:val="32"/>
          <w:lang w:val="en-US" w:eastAsia="zh-CN"/>
        </w:rPr>
        <w:t>7</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155.34</w:t>
      </w:r>
      <w:r>
        <w:rPr>
          <w:rFonts w:hint="eastAsia" w:ascii="仿宋" w:hAnsi="仿宋" w:eastAsia="仿宋"/>
          <w:sz w:val="32"/>
          <w:szCs w:val="32"/>
        </w:rPr>
        <w:t>万元，占</w:t>
      </w:r>
      <w:r>
        <w:rPr>
          <w:rFonts w:ascii="仿宋" w:hAnsi="仿宋" w:eastAsia="仿宋"/>
          <w:b/>
          <w:sz w:val="32"/>
          <w:szCs w:val="32"/>
        </w:rPr>
        <w:t>20.43</w:t>
      </w:r>
      <w:r>
        <w:rPr>
          <w:rFonts w:ascii="仿宋" w:hAnsi="仿宋" w:eastAsia="仿宋"/>
          <w:sz w:val="32"/>
          <w:szCs w:val="32"/>
        </w:rPr>
        <w:t>%</w:t>
      </w:r>
      <w:r>
        <w:rPr>
          <w:rFonts w:hint="eastAsia" w:ascii="仿宋" w:hAnsi="仿宋" w:eastAsia="仿宋"/>
          <w:sz w:val="32"/>
          <w:szCs w:val="32"/>
        </w:rPr>
        <w:t>。</w:t>
      </w:r>
    </w:p>
    <w:p w14:paraId="21D75EAF">
      <w:pPr>
        <w:spacing w:line="600" w:lineRule="exact"/>
        <w:ind w:firstLine="640" w:firstLineChars="200"/>
        <w:outlineLvl w:val="1"/>
        <w:rPr>
          <w:rFonts w:ascii="仿宋" w:hAnsi="仿宋" w:eastAsia="仿宋"/>
          <w:b/>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209550</wp:posOffset>
            </wp:positionH>
            <wp:positionV relativeFrom="paragraph">
              <wp:posOffset>276225</wp:posOffset>
            </wp:positionV>
            <wp:extent cx="4413250" cy="2600325"/>
            <wp:effectExtent l="4445" t="4445" r="20955" b="5080"/>
            <wp:wrapNone/>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55D3885">
      <w:pPr>
        <w:spacing w:line="600" w:lineRule="exact"/>
        <w:ind w:firstLine="643" w:firstLineChars="200"/>
        <w:outlineLvl w:val="1"/>
        <w:rPr>
          <w:rFonts w:ascii="仿宋" w:hAnsi="仿宋" w:eastAsia="仿宋"/>
          <w:b/>
          <w:sz w:val="32"/>
          <w:szCs w:val="32"/>
        </w:rPr>
      </w:pPr>
    </w:p>
    <w:p w14:paraId="557ADC12">
      <w:pPr>
        <w:spacing w:line="600" w:lineRule="exact"/>
        <w:ind w:firstLine="643" w:firstLineChars="200"/>
        <w:outlineLvl w:val="1"/>
        <w:rPr>
          <w:rFonts w:ascii="仿宋" w:hAnsi="仿宋" w:eastAsia="仿宋"/>
          <w:b/>
          <w:sz w:val="32"/>
          <w:szCs w:val="32"/>
        </w:rPr>
      </w:pPr>
    </w:p>
    <w:p w14:paraId="2A15A2E0">
      <w:pPr>
        <w:spacing w:line="600" w:lineRule="exact"/>
        <w:ind w:firstLine="643" w:firstLineChars="200"/>
        <w:outlineLvl w:val="1"/>
        <w:rPr>
          <w:rFonts w:ascii="仿宋" w:hAnsi="仿宋" w:eastAsia="仿宋"/>
          <w:b/>
          <w:sz w:val="32"/>
          <w:szCs w:val="32"/>
        </w:rPr>
      </w:pPr>
    </w:p>
    <w:p w14:paraId="747EFB26">
      <w:pPr>
        <w:spacing w:line="600" w:lineRule="exact"/>
        <w:ind w:firstLine="643" w:firstLineChars="200"/>
        <w:outlineLvl w:val="1"/>
        <w:rPr>
          <w:rFonts w:ascii="仿宋" w:hAnsi="仿宋" w:eastAsia="仿宋"/>
          <w:b/>
          <w:sz w:val="32"/>
          <w:szCs w:val="32"/>
        </w:rPr>
      </w:pPr>
    </w:p>
    <w:p w14:paraId="6C940988">
      <w:pPr>
        <w:spacing w:line="600" w:lineRule="exact"/>
        <w:ind w:firstLine="643" w:firstLineChars="200"/>
        <w:outlineLvl w:val="1"/>
        <w:rPr>
          <w:rFonts w:ascii="仿宋" w:hAnsi="仿宋" w:eastAsia="仿宋"/>
          <w:b/>
          <w:sz w:val="32"/>
          <w:szCs w:val="32"/>
        </w:rPr>
      </w:pPr>
    </w:p>
    <w:p w14:paraId="50BF9C72">
      <w:pPr>
        <w:spacing w:line="600" w:lineRule="exact"/>
        <w:ind w:firstLine="643" w:firstLineChars="200"/>
        <w:outlineLvl w:val="1"/>
        <w:rPr>
          <w:rFonts w:ascii="仿宋" w:hAnsi="仿宋" w:eastAsia="仿宋"/>
          <w:b/>
          <w:sz w:val="32"/>
          <w:szCs w:val="32"/>
        </w:rPr>
      </w:pPr>
    </w:p>
    <w:p w14:paraId="6FC83B34">
      <w:pPr>
        <w:spacing w:line="600" w:lineRule="exact"/>
        <w:ind w:firstLine="640"/>
        <w:rPr>
          <w:rFonts w:ascii="仿宋" w:hAnsi="仿宋" w:eastAsia="仿宋"/>
          <w:sz w:val="32"/>
          <w:szCs w:val="32"/>
          <w:shd w:val="pct10" w:color="auto" w:fill="FFFFFF"/>
        </w:rPr>
      </w:pPr>
    </w:p>
    <w:p w14:paraId="4E462335">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6E7D0295">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76</w:t>
      </w:r>
      <w:r>
        <w:rPr>
          <w:rFonts w:hint="eastAsia" w:ascii="仿宋" w:hAnsi="仿宋" w:eastAsia="仿宋"/>
          <w:b/>
          <w:sz w:val="32"/>
          <w:szCs w:val="32"/>
          <w:lang w:val="en-US" w:eastAsia="zh-CN"/>
        </w:rPr>
        <w:t>0.18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62.55</w:t>
      </w:r>
      <w:r>
        <w:rPr>
          <w:rFonts w:hint="eastAsia" w:ascii="仿宋" w:hAnsi="仿宋" w:eastAsia="仿宋"/>
          <w:sz w:val="32"/>
          <w:szCs w:val="32"/>
        </w:rPr>
        <w:t>万元，增长</w:t>
      </w:r>
      <w:r>
        <w:rPr>
          <w:rFonts w:hint="eastAsia" w:ascii="仿宋" w:hAnsi="仿宋" w:eastAsia="仿宋"/>
          <w:sz w:val="32"/>
          <w:szCs w:val="32"/>
          <w:lang w:val="en-US" w:eastAsia="zh-CN"/>
        </w:rPr>
        <w:t>8.97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学生人数增加。</w:t>
      </w:r>
    </w:p>
    <w:p w14:paraId="0851D3A0">
      <w:pPr>
        <w:spacing w:line="600" w:lineRule="exact"/>
        <w:ind w:firstLine="640"/>
        <w:rPr>
          <w:rFonts w:ascii="仿宋" w:hAnsi="仿宋" w:eastAsia="仿宋"/>
          <w:b/>
          <w:sz w:val="32"/>
          <w:szCs w:val="32"/>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123825</wp:posOffset>
            </wp:positionH>
            <wp:positionV relativeFrom="paragraph">
              <wp:posOffset>266700</wp:posOffset>
            </wp:positionV>
            <wp:extent cx="5059680" cy="2753360"/>
            <wp:effectExtent l="4445" t="4445" r="22225" b="23495"/>
            <wp:wrapNone/>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03AF616">
      <w:pPr>
        <w:spacing w:line="600" w:lineRule="exact"/>
        <w:ind w:firstLine="640"/>
        <w:rPr>
          <w:rFonts w:ascii="仿宋" w:hAnsi="仿宋" w:eastAsia="仿宋"/>
          <w:b/>
          <w:sz w:val="32"/>
          <w:szCs w:val="32"/>
        </w:rPr>
      </w:pPr>
    </w:p>
    <w:p w14:paraId="7D349DDD">
      <w:pPr>
        <w:spacing w:line="600" w:lineRule="exact"/>
        <w:ind w:firstLine="640"/>
        <w:rPr>
          <w:rFonts w:ascii="仿宋" w:hAnsi="仿宋" w:eastAsia="仿宋"/>
          <w:b/>
          <w:sz w:val="32"/>
          <w:szCs w:val="32"/>
        </w:rPr>
      </w:pPr>
    </w:p>
    <w:p w14:paraId="151C5F5B">
      <w:pPr>
        <w:spacing w:line="600" w:lineRule="exact"/>
        <w:ind w:firstLine="640"/>
        <w:rPr>
          <w:rFonts w:ascii="仿宋" w:hAnsi="仿宋" w:eastAsia="仿宋"/>
          <w:b/>
          <w:sz w:val="32"/>
          <w:szCs w:val="32"/>
        </w:rPr>
      </w:pPr>
    </w:p>
    <w:p w14:paraId="3889E794">
      <w:pPr>
        <w:spacing w:line="600" w:lineRule="exact"/>
        <w:ind w:firstLine="640"/>
        <w:rPr>
          <w:rFonts w:ascii="仿宋" w:hAnsi="仿宋" w:eastAsia="仿宋"/>
          <w:b/>
          <w:sz w:val="32"/>
          <w:szCs w:val="32"/>
        </w:rPr>
      </w:pPr>
    </w:p>
    <w:p w14:paraId="50A61458">
      <w:pPr>
        <w:spacing w:line="600" w:lineRule="exact"/>
        <w:rPr>
          <w:rFonts w:ascii="仿宋" w:hAnsi="仿宋" w:eastAsia="仿宋"/>
          <w:sz w:val="32"/>
          <w:szCs w:val="32"/>
        </w:rPr>
      </w:pPr>
    </w:p>
    <w:p w14:paraId="7EEF0952">
      <w:pPr>
        <w:spacing w:line="600" w:lineRule="exact"/>
        <w:ind w:firstLine="640" w:firstLineChars="200"/>
        <w:rPr>
          <w:rFonts w:hint="eastAsia" w:ascii="仿宋" w:hAnsi="仿宋" w:eastAsia="仿宋"/>
          <w:sz w:val="32"/>
          <w:szCs w:val="32"/>
        </w:rPr>
      </w:pPr>
    </w:p>
    <w:p w14:paraId="3EEF0E61">
      <w:pPr>
        <w:spacing w:line="600" w:lineRule="exact"/>
        <w:ind w:firstLine="640" w:firstLineChars="200"/>
        <w:rPr>
          <w:rFonts w:hint="eastAsia" w:ascii="仿宋" w:hAnsi="仿宋" w:eastAsia="仿宋"/>
          <w:sz w:val="32"/>
          <w:szCs w:val="32"/>
        </w:rPr>
      </w:pPr>
    </w:p>
    <w:p w14:paraId="71F73B06">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6CCB4CEB">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079E7FC">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73</w:t>
      </w:r>
      <w:r>
        <w:rPr>
          <w:rFonts w:hint="eastAsia" w:ascii="仿宋" w:hAnsi="仿宋" w:eastAsia="仿宋"/>
          <w:b/>
          <w:sz w:val="32"/>
          <w:szCs w:val="32"/>
          <w:lang w:val="en-US" w:eastAsia="zh-CN"/>
        </w:rPr>
        <w:t>5.05</w:t>
      </w:r>
      <w:r>
        <w:rPr>
          <w:rFonts w:hint="eastAsia" w:ascii="仿宋" w:hAnsi="仿宋" w:eastAsia="仿宋"/>
          <w:sz w:val="32"/>
          <w:szCs w:val="32"/>
        </w:rPr>
        <w:t>万元，占本年支出合计的</w:t>
      </w:r>
      <w:r>
        <w:rPr>
          <w:rFonts w:ascii="仿宋" w:hAnsi="仿宋" w:eastAsia="仿宋"/>
          <w:b/>
          <w:sz w:val="32"/>
          <w:szCs w:val="32"/>
        </w:rPr>
        <w:t>96.69</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50.5</w:t>
      </w:r>
      <w:r>
        <w:rPr>
          <w:rFonts w:hint="eastAsia" w:ascii="仿宋" w:hAnsi="仿宋" w:eastAsia="仿宋"/>
          <w:sz w:val="32"/>
          <w:szCs w:val="32"/>
        </w:rPr>
        <w:t>万元，增长</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lang w:val="en-US" w:eastAsia="zh-CN"/>
        </w:rPr>
        <w:t>学生人数增加。</w:t>
      </w:r>
    </w:p>
    <w:p w14:paraId="5EF938F7">
      <w:pPr>
        <w:spacing w:line="600" w:lineRule="exact"/>
        <w:ind w:firstLine="640" w:firstLineChars="200"/>
        <w:rPr>
          <w:rFonts w:ascii="仿宋" w:hAnsi="仿宋" w:eastAsia="仿宋"/>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285115</wp:posOffset>
            </wp:positionH>
            <wp:positionV relativeFrom="paragraph">
              <wp:posOffset>95250</wp:posOffset>
            </wp:positionV>
            <wp:extent cx="4610735" cy="2254885"/>
            <wp:effectExtent l="4445" t="4445" r="13970" b="762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E3E1A4E">
      <w:pPr>
        <w:spacing w:line="600" w:lineRule="exact"/>
        <w:ind w:firstLine="640" w:firstLineChars="200"/>
        <w:rPr>
          <w:rFonts w:ascii="仿宋" w:hAnsi="仿宋" w:eastAsia="仿宋"/>
          <w:sz w:val="32"/>
          <w:szCs w:val="32"/>
        </w:rPr>
      </w:pPr>
    </w:p>
    <w:p w14:paraId="6FEDEBAF">
      <w:pPr>
        <w:spacing w:line="600" w:lineRule="exact"/>
        <w:ind w:firstLine="640" w:firstLineChars="200"/>
        <w:rPr>
          <w:rFonts w:ascii="仿宋" w:hAnsi="仿宋" w:eastAsia="仿宋"/>
          <w:sz w:val="32"/>
          <w:szCs w:val="32"/>
        </w:rPr>
      </w:pPr>
    </w:p>
    <w:p w14:paraId="78A22F55">
      <w:pPr>
        <w:spacing w:line="600" w:lineRule="exact"/>
        <w:ind w:firstLine="640" w:firstLineChars="200"/>
        <w:rPr>
          <w:rFonts w:ascii="仿宋" w:hAnsi="仿宋" w:eastAsia="仿宋"/>
          <w:sz w:val="32"/>
          <w:szCs w:val="32"/>
        </w:rPr>
      </w:pPr>
    </w:p>
    <w:p w14:paraId="323C2518">
      <w:pPr>
        <w:spacing w:line="600" w:lineRule="exact"/>
        <w:ind w:firstLine="640" w:firstLineChars="200"/>
        <w:rPr>
          <w:rFonts w:ascii="仿宋" w:hAnsi="仿宋" w:eastAsia="仿宋"/>
          <w:sz w:val="32"/>
          <w:szCs w:val="32"/>
        </w:rPr>
      </w:pPr>
    </w:p>
    <w:p w14:paraId="4EE4F4C7">
      <w:pPr>
        <w:spacing w:line="600" w:lineRule="exact"/>
        <w:ind w:firstLine="640" w:firstLineChars="200"/>
        <w:rPr>
          <w:rFonts w:ascii="仿宋" w:hAnsi="仿宋" w:eastAsia="仿宋"/>
          <w:sz w:val="32"/>
          <w:szCs w:val="32"/>
        </w:rPr>
      </w:pPr>
    </w:p>
    <w:p w14:paraId="4856B5A3">
      <w:pPr>
        <w:spacing w:line="600" w:lineRule="exact"/>
        <w:ind w:firstLine="321" w:firstLineChars="1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44CE5E3">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735.0</w:t>
      </w:r>
      <w:r>
        <w:rPr>
          <w:rFonts w:hint="eastAsia" w:ascii="仿宋" w:hAnsi="仿宋" w:eastAsia="仿宋"/>
          <w:b/>
          <w:sz w:val="32"/>
          <w:szCs w:val="32"/>
          <w:lang w:val="en-US" w:eastAsia="zh-CN"/>
        </w:rPr>
        <w:t>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575.71</w:t>
      </w:r>
      <w:r>
        <w:rPr>
          <w:rFonts w:hint="eastAsia" w:ascii="仿宋" w:hAnsi="仿宋" w:eastAsia="仿宋"/>
          <w:sz w:val="32"/>
          <w:szCs w:val="32"/>
        </w:rPr>
        <w:t>万元，占</w:t>
      </w:r>
      <w:r>
        <w:rPr>
          <w:rFonts w:hint="eastAsia" w:ascii="仿宋" w:hAnsi="仿宋" w:eastAsia="仿宋"/>
          <w:sz w:val="32"/>
          <w:szCs w:val="32"/>
          <w:lang w:val="en-US" w:eastAsia="zh-CN"/>
        </w:rPr>
        <w:t>78.32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94.82</w:t>
      </w:r>
      <w:r>
        <w:rPr>
          <w:rFonts w:hint="eastAsia" w:ascii="仿宋" w:hAnsi="仿宋" w:eastAsia="仿宋"/>
          <w:sz w:val="32"/>
          <w:szCs w:val="32"/>
        </w:rPr>
        <w:t>万元，占</w:t>
      </w:r>
      <w:r>
        <w:rPr>
          <w:rFonts w:hint="eastAsia" w:ascii="仿宋" w:hAnsi="仿宋" w:eastAsia="仿宋"/>
          <w:sz w:val="32"/>
          <w:szCs w:val="32"/>
          <w:lang w:val="en-US" w:eastAsia="zh-CN"/>
        </w:rPr>
        <w:t>12.9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19.57</w:t>
      </w:r>
      <w:r>
        <w:rPr>
          <w:rFonts w:hint="eastAsia" w:ascii="仿宋" w:hAnsi="仿宋" w:eastAsia="仿宋"/>
          <w:sz w:val="32"/>
          <w:szCs w:val="32"/>
        </w:rPr>
        <w:t>万元，占</w:t>
      </w:r>
      <w:r>
        <w:rPr>
          <w:rFonts w:hint="eastAsia" w:ascii="仿宋" w:hAnsi="仿宋" w:eastAsia="仿宋"/>
          <w:sz w:val="32"/>
          <w:szCs w:val="32"/>
          <w:lang w:val="en-US" w:eastAsia="zh-CN"/>
        </w:rPr>
        <w:t>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44.97</w:t>
      </w:r>
      <w:r>
        <w:rPr>
          <w:rFonts w:hint="eastAsia" w:ascii="仿宋" w:hAnsi="仿宋" w:eastAsia="仿宋"/>
          <w:sz w:val="32"/>
          <w:szCs w:val="32"/>
        </w:rPr>
        <w:t>万元，占</w:t>
      </w:r>
      <w:r>
        <w:rPr>
          <w:rFonts w:hint="eastAsia" w:ascii="仿宋" w:hAnsi="仿宋" w:eastAsia="仿宋"/>
          <w:sz w:val="32"/>
          <w:szCs w:val="32"/>
          <w:lang w:val="en-US" w:eastAsia="zh-CN"/>
        </w:rPr>
        <w:t>6.12</w:t>
      </w:r>
      <w:r>
        <w:rPr>
          <w:rFonts w:ascii="仿宋" w:hAnsi="仿宋" w:eastAsia="仿宋"/>
          <w:sz w:val="32"/>
          <w:szCs w:val="32"/>
        </w:rPr>
        <w:t>%</w:t>
      </w:r>
      <w:r>
        <w:rPr>
          <w:rFonts w:hint="eastAsia" w:ascii="仿宋" w:hAnsi="仿宋" w:eastAsia="仿宋"/>
          <w:sz w:val="32"/>
          <w:szCs w:val="32"/>
        </w:rPr>
        <w:t>。</w:t>
      </w:r>
    </w:p>
    <w:p w14:paraId="7DD26C18">
      <w:pPr>
        <w:spacing w:line="600" w:lineRule="exact"/>
        <w:ind w:firstLine="640"/>
        <w:rPr>
          <w:rFonts w:ascii="仿宋" w:hAnsi="仿宋" w:eastAsia="仿宋"/>
          <w:sz w:val="32"/>
          <w:szCs w:val="32"/>
        </w:rPr>
      </w:pPr>
      <w:r>
        <w:rPr>
          <w:rFonts w:hint="eastAsia" w:ascii="仿宋" w:hAnsi="仿宋" w:eastAsia="仿宋"/>
          <w:b/>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389890</wp:posOffset>
            </wp:positionH>
            <wp:positionV relativeFrom="paragraph">
              <wp:posOffset>104775</wp:posOffset>
            </wp:positionV>
            <wp:extent cx="4137660" cy="2076450"/>
            <wp:effectExtent l="4445" t="5080" r="10795" b="1397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2D40892">
      <w:pPr>
        <w:spacing w:line="600" w:lineRule="exact"/>
        <w:ind w:firstLine="640"/>
        <w:rPr>
          <w:rFonts w:ascii="仿宋" w:hAnsi="仿宋" w:eastAsia="仿宋"/>
          <w:sz w:val="32"/>
          <w:szCs w:val="32"/>
        </w:rPr>
      </w:pPr>
    </w:p>
    <w:p w14:paraId="55F355D9">
      <w:pPr>
        <w:spacing w:line="600" w:lineRule="exact"/>
        <w:ind w:firstLine="640"/>
        <w:rPr>
          <w:rFonts w:ascii="仿宋" w:hAnsi="仿宋" w:eastAsia="仿宋"/>
          <w:sz w:val="32"/>
          <w:szCs w:val="32"/>
        </w:rPr>
      </w:pPr>
    </w:p>
    <w:p w14:paraId="748C85BB">
      <w:pPr>
        <w:spacing w:line="600" w:lineRule="exact"/>
        <w:ind w:firstLine="640"/>
        <w:rPr>
          <w:rFonts w:ascii="仿宋" w:hAnsi="仿宋" w:eastAsia="仿宋"/>
          <w:sz w:val="32"/>
          <w:szCs w:val="32"/>
        </w:rPr>
      </w:pPr>
    </w:p>
    <w:p w14:paraId="470E82B9">
      <w:pPr>
        <w:spacing w:line="600" w:lineRule="exact"/>
        <w:ind w:firstLine="640"/>
        <w:rPr>
          <w:rFonts w:ascii="仿宋" w:hAnsi="仿宋" w:eastAsia="仿宋"/>
          <w:sz w:val="32"/>
          <w:szCs w:val="32"/>
        </w:rPr>
      </w:pPr>
    </w:p>
    <w:p w14:paraId="3E6C9B1D">
      <w:pPr>
        <w:spacing w:line="600" w:lineRule="exact"/>
        <w:ind w:firstLine="643" w:firstLineChars="200"/>
        <w:outlineLvl w:val="2"/>
        <w:rPr>
          <w:rFonts w:hint="eastAsia" w:ascii="仿宋" w:hAnsi="仿宋" w:eastAsia="仿宋"/>
          <w:b/>
          <w:sz w:val="32"/>
          <w:szCs w:val="32"/>
        </w:rPr>
      </w:pPr>
      <w:bookmarkStart w:id="30" w:name="_Toc15377212"/>
    </w:p>
    <w:p w14:paraId="49EC0D84">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120178E6">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735.05</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4A2CA03D">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教育（类）</w:t>
      </w:r>
      <w:r>
        <w:rPr>
          <w:rStyle w:val="16"/>
          <w:rFonts w:hint="eastAsia" w:ascii="仿宋" w:hAnsi="仿宋" w:eastAsia="仿宋"/>
          <w:bCs/>
          <w:color w:val="000000"/>
          <w:sz w:val="32"/>
          <w:szCs w:val="32"/>
        </w:rPr>
        <w:t>普通教育</w:t>
      </w:r>
      <w:r>
        <w:rPr>
          <w:rStyle w:val="16"/>
          <w:rFonts w:hint="eastAsia" w:ascii="仿宋" w:hAnsi="仿宋" w:eastAsia="仿宋"/>
          <w:bCs/>
          <w:sz w:val="32"/>
          <w:szCs w:val="32"/>
        </w:rPr>
        <w:t>（款）</w:t>
      </w:r>
      <w:r>
        <w:rPr>
          <w:rStyle w:val="16"/>
          <w:rFonts w:hint="eastAsia" w:ascii="仿宋" w:hAnsi="仿宋" w:eastAsia="仿宋"/>
          <w:bCs/>
          <w:color w:val="000000"/>
          <w:sz w:val="32"/>
          <w:szCs w:val="32"/>
          <w:lang w:eastAsia="zh-CN"/>
        </w:rPr>
        <w:t>小学教育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20.88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BB8692F">
      <w:pPr>
        <w:spacing w:line="600" w:lineRule="exact"/>
        <w:ind w:firstLine="964" w:firstLineChars="300"/>
        <w:rPr>
          <w:rFonts w:ascii="仿宋" w:hAnsi="仿宋" w:eastAsia="仿宋"/>
          <w:b/>
          <w:sz w:val="32"/>
          <w:szCs w:val="32"/>
        </w:rPr>
      </w:pPr>
      <w:r>
        <w:rPr>
          <w:rStyle w:val="16"/>
          <w:rFonts w:hint="eastAsia" w:ascii="仿宋" w:hAnsi="仿宋" w:eastAsia="仿宋"/>
          <w:bCs/>
          <w:color w:val="000000"/>
          <w:sz w:val="32"/>
          <w:szCs w:val="32"/>
        </w:rPr>
        <w:t>教育（类）普通教育（款）</w:t>
      </w:r>
      <w:r>
        <w:rPr>
          <w:rStyle w:val="16"/>
          <w:rFonts w:hint="eastAsia" w:ascii="仿宋" w:hAnsi="仿宋" w:eastAsia="仿宋"/>
          <w:bCs/>
          <w:color w:val="000000"/>
          <w:sz w:val="32"/>
          <w:szCs w:val="32"/>
          <w:lang w:eastAsia="zh-CN"/>
        </w:rPr>
        <w:t>初中教育</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553.73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7BC34495">
      <w:pPr>
        <w:spacing w:line="600" w:lineRule="exact"/>
        <w:ind w:firstLine="964" w:firstLineChars="300"/>
        <w:rPr>
          <w:rFonts w:ascii="仿宋" w:hAnsi="仿宋" w:eastAsia="仿宋"/>
          <w:b/>
          <w:sz w:val="32"/>
          <w:szCs w:val="32"/>
        </w:rPr>
      </w:pPr>
      <w:r>
        <w:rPr>
          <w:rStyle w:val="16"/>
          <w:rFonts w:hint="eastAsia" w:ascii="仿宋" w:hAnsi="仿宋" w:eastAsia="仿宋"/>
          <w:bCs/>
          <w:color w:val="000000"/>
          <w:sz w:val="32"/>
          <w:szCs w:val="32"/>
        </w:rPr>
        <w:t>教育（类）普通教育（款）</w:t>
      </w:r>
      <w:r>
        <w:rPr>
          <w:rStyle w:val="16"/>
          <w:rFonts w:hint="eastAsia" w:ascii="仿宋" w:hAnsi="仿宋" w:eastAsia="仿宋"/>
          <w:bCs/>
          <w:sz w:val="32"/>
          <w:szCs w:val="32"/>
        </w:rPr>
        <w:t>其他教育支出（项）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9354929">
      <w:pPr>
        <w:spacing w:line="600" w:lineRule="exact"/>
        <w:ind w:firstLine="643"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45.18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14:paraId="2B78590D">
      <w:pPr>
        <w:spacing w:line="600" w:lineRule="exact"/>
        <w:ind w:firstLine="964" w:firstLineChars="3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社会保障和就业（类）行政事业单位养老支出（款）机关事业单位职业年金缴费支出（项）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22.59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14:paraId="742AF270">
      <w:pPr>
        <w:spacing w:line="600" w:lineRule="exact"/>
        <w:ind w:firstLine="964" w:firstLineChars="3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抚恤</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死亡抚恤</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Cs/>
          <w:sz w:val="32"/>
          <w:szCs w:val="32"/>
        </w:rPr>
        <w:t xml:space="preserve"> </w:t>
      </w:r>
      <w:r>
        <w:rPr>
          <w:rStyle w:val="16"/>
          <w:rFonts w:hint="eastAsia" w:ascii="仿宋" w:hAnsi="仿宋" w:eastAsia="仿宋"/>
          <w:b w:val="0"/>
          <w:bCs w:val="0"/>
          <w:sz w:val="32"/>
          <w:szCs w:val="32"/>
        </w:rPr>
        <w:t>支出决算为</w:t>
      </w:r>
      <w:r>
        <w:rPr>
          <w:rStyle w:val="16"/>
          <w:rFonts w:hint="eastAsia" w:ascii="仿宋" w:hAnsi="仿宋" w:eastAsia="仿宋"/>
          <w:b w:val="0"/>
          <w:bCs w:val="0"/>
          <w:sz w:val="32"/>
          <w:szCs w:val="32"/>
          <w:lang w:val="en-US" w:eastAsia="zh-CN"/>
        </w:rPr>
        <w:t>7.73</w:t>
      </w:r>
      <w:r>
        <w:rPr>
          <w:rStyle w:val="16"/>
          <w:rFonts w:hint="eastAsia" w:ascii="仿宋" w:hAnsi="仿宋" w:eastAsia="仿宋"/>
          <w:b w:val="0"/>
          <w:bCs w:val="0"/>
          <w:sz w:val="32"/>
          <w:szCs w:val="32"/>
        </w:rPr>
        <w:t>万元，完成预算</w:t>
      </w:r>
      <w:r>
        <w:rPr>
          <w:rStyle w:val="16"/>
          <w:rFonts w:ascii="仿宋" w:hAnsi="仿宋" w:eastAsia="仿宋"/>
          <w:b w:val="0"/>
          <w:bCs w:val="0"/>
          <w:sz w:val="32"/>
          <w:szCs w:val="32"/>
        </w:rPr>
        <w:t>100%</w:t>
      </w:r>
      <w:r>
        <w:rPr>
          <w:rStyle w:val="16"/>
          <w:rFonts w:hint="eastAsia" w:ascii="仿宋" w:hAnsi="仿宋" w:eastAsia="仿宋"/>
          <w:b w:val="0"/>
          <w:bCs w:val="0"/>
          <w:sz w:val="32"/>
          <w:szCs w:val="32"/>
        </w:rPr>
        <w:t>。</w:t>
      </w:r>
    </w:p>
    <w:p w14:paraId="401864B0">
      <w:pPr>
        <w:spacing w:line="600" w:lineRule="exact"/>
        <w:ind w:firstLine="643" w:firstLineChars="200"/>
        <w:rPr>
          <w:rStyle w:val="16"/>
          <w:rFonts w:hint="eastAsia" w:ascii="仿宋" w:hAnsi="仿宋" w:eastAsia="仿宋"/>
          <w:b w:val="0"/>
          <w:bCs/>
          <w:sz w:val="32"/>
          <w:szCs w:val="32"/>
          <w:lang w:eastAsia="zh-CN"/>
        </w:rPr>
      </w:pPr>
      <w:r>
        <w:rPr>
          <w:rFonts w:hint="eastAsia" w:ascii="仿宋" w:hAnsi="仿宋" w:eastAsia="仿宋"/>
          <w:b/>
          <w:bCs/>
          <w:sz w:val="32"/>
          <w:szCs w:val="32"/>
          <w:lang w:val="en-US" w:eastAsia="zh-CN"/>
        </w:rPr>
        <w:t>3.</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17.23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14:paraId="3153202B">
      <w:pPr>
        <w:spacing w:line="600" w:lineRule="exact"/>
        <w:ind w:firstLine="964" w:firstLineChars="300"/>
        <w:rPr>
          <w:rStyle w:val="16"/>
          <w:rFonts w:hint="eastAsia" w:ascii="仿宋" w:hAnsi="仿宋" w:eastAsia="仿宋"/>
          <w:b w:val="0"/>
          <w:bCs/>
          <w:sz w:val="32"/>
          <w:szCs w:val="32"/>
          <w:lang w:eastAsia="zh-CN"/>
        </w:rPr>
      </w:pP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（类）行政事业单位医疗（款）公务员医疗补助（项）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2.34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14:paraId="109E5174">
      <w:pPr>
        <w:numPr>
          <w:ilvl w:val="0"/>
          <w:numId w:val="0"/>
        </w:numPr>
        <w:spacing w:line="600" w:lineRule="exact"/>
        <w:ind w:firstLine="643" w:firstLineChars="200"/>
        <w:rPr>
          <w:rStyle w:val="16"/>
          <w:rFonts w:ascii="仿宋" w:hAnsi="仿宋" w:eastAsia="仿宋"/>
          <w:b w:val="0"/>
          <w:bCs w:val="0"/>
          <w:sz w:val="32"/>
          <w:szCs w:val="32"/>
        </w:rPr>
      </w:pPr>
      <w:r>
        <w:rPr>
          <w:rStyle w:val="16"/>
          <w:rFonts w:hint="eastAsia" w:ascii="仿宋" w:hAnsi="仿宋" w:eastAsia="仿宋"/>
          <w:bCs/>
          <w:color w:val="000000"/>
          <w:sz w:val="32"/>
          <w:szCs w:val="32"/>
          <w:lang w:val="en-US" w:eastAsia="zh-CN"/>
        </w:rPr>
        <w:t>4.</w:t>
      </w:r>
      <w:r>
        <w:rPr>
          <w:rStyle w:val="16"/>
          <w:rFonts w:hint="eastAsia" w:ascii="仿宋" w:hAnsi="仿宋" w:eastAsia="仿宋"/>
          <w:bCs/>
          <w:color w:val="000000"/>
          <w:sz w:val="32"/>
          <w:szCs w:val="32"/>
        </w:rPr>
        <w:t>住房保障支出（类）</w:t>
      </w:r>
      <w:r>
        <w:rPr>
          <w:rStyle w:val="16"/>
          <w:rFonts w:ascii="仿宋" w:hAnsi="仿宋" w:eastAsia="仿宋"/>
          <w:bCs/>
          <w:sz w:val="32"/>
          <w:szCs w:val="32"/>
        </w:rPr>
        <w:t>住房改革支出</w:t>
      </w:r>
      <w:r>
        <w:rPr>
          <w:rStyle w:val="16"/>
          <w:rFonts w:hint="eastAsia" w:ascii="仿宋" w:hAnsi="仿宋" w:eastAsia="仿宋"/>
          <w:bCs/>
          <w:color w:val="000000"/>
          <w:sz w:val="32"/>
          <w:szCs w:val="32"/>
        </w:rPr>
        <w:t>（款）住房公积金支出（项）</w:t>
      </w:r>
      <w:r>
        <w:rPr>
          <w:rStyle w:val="16"/>
          <w:rFonts w:hint="eastAsia" w:ascii="仿宋" w:hAnsi="仿宋" w:eastAsia="仿宋"/>
          <w:b w:val="0"/>
          <w:bCs w:val="0"/>
          <w:sz w:val="32"/>
          <w:szCs w:val="32"/>
        </w:rPr>
        <w:t>支出决算数</w:t>
      </w:r>
      <w:r>
        <w:rPr>
          <w:rStyle w:val="16"/>
          <w:rFonts w:hint="eastAsia" w:ascii="仿宋" w:hAnsi="仿宋" w:eastAsia="仿宋"/>
          <w:b w:val="0"/>
          <w:bCs w:val="0"/>
          <w:sz w:val="32"/>
          <w:szCs w:val="32"/>
          <w:lang w:val="en-US" w:eastAsia="zh-CN"/>
        </w:rPr>
        <w:t>44.97</w:t>
      </w:r>
      <w:r>
        <w:rPr>
          <w:rStyle w:val="16"/>
          <w:rFonts w:hint="eastAsia" w:ascii="仿宋" w:hAnsi="仿宋" w:eastAsia="仿宋"/>
          <w:b w:val="0"/>
          <w:bCs w:val="0"/>
          <w:sz w:val="32"/>
          <w:szCs w:val="32"/>
        </w:rPr>
        <w:t>万元，完成预算</w:t>
      </w:r>
      <w:r>
        <w:rPr>
          <w:rStyle w:val="16"/>
          <w:rFonts w:ascii="仿宋" w:hAnsi="仿宋" w:eastAsia="仿宋"/>
          <w:b w:val="0"/>
          <w:bCs w:val="0"/>
          <w:sz w:val="32"/>
          <w:szCs w:val="32"/>
        </w:rPr>
        <w:t>100%。</w:t>
      </w:r>
      <w:bookmarkStart w:id="34" w:name="_Toc15377214"/>
      <w:bookmarkStart w:id="35" w:name="_Toc15396608"/>
    </w:p>
    <w:p w14:paraId="42C8D629">
      <w:pPr>
        <w:numPr>
          <w:ilvl w:val="0"/>
          <w:numId w:val="0"/>
        </w:numPr>
        <w:spacing w:line="600" w:lineRule="exact"/>
        <w:ind w:firstLine="640" w:firstLineChars="200"/>
        <w:rPr>
          <w:rStyle w:val="2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27BAC93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604.84</w:t>
      </w:r>
      <w:r>
        <w:rPr>
          <w:rFonts w:hint="eastAsia" w:ascii="仿宋" w:hAnsi="仿宋" w:eastAsia="仿宋"/>
          <w:sz w:val="32"/>
          <w:szCs w:val="32"/>
        </w:rPr>
        <w:t>万元，其中：</w:t>
      </w:r>
    </w:p>
    <w:p w14:paraId="3FC858F7">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585.44</w:t>
      </w:r>
      <w:r>
        <w:rPr>
          <w:rFonts w:hint="eastAsia" w:ascii="仿宋" w:hAnsi="仿宋" w:eastAsia="仿宋"/>
          <w:sz w:val="32"/>
          <w:szCs w:val="32"/>
        </w:rPr>
        <w:t>万元，主要包括：基本工资、津贴补贴、伙食补助费、绩效工资、机关事业单位基本养老保险缴费、职业年金缴费、</w:t>
      </w:r>
      <w:r>
        <w:rPr>
          <w:rFonts w:hint="eastAsia" w:ascii="仿宋" w:hAnsi="仿宋" w:eastAsia="仿宋"/>
          <w:sz w:val="32"/>
          <w:szCs w:val="32"/>
          <w:lang w:val="en-US" w:eastAsia="zh-CN"/>
        </w:rPr>
        <w:t>职工基本医疗保险缴费、公务员医疗补助缴费、</w:t>
      </w:r>
      <w:r>
        <w:rPr>
          <w:rFonts w:hint="eastAsia" w:ascii="仿宋" w:hAnsi="仿宋" w:eastAsia="仿宋"/>
          <w:sz w:val="32"/>
          <w:szCs w:val="32"/>
        </w:rPr>
        <w:t>其他社会保障缴费、住房公积金、其他工资福利支出、抚恤金等。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19.</w:t>
      </w:r>
      <w:r>
        <w:rPr>
          <w:rFonts w:hint="eastAsia" w:ascii="仿宋" w:hAnsi="仿宋" w:eastAsia="仿宋"/>
          <w:b/>
          <w:sz w:val="32"/>
          <w:szCs w:val="32"/>
          <w:lang w:val="en-US" w:eastAsia="zh-CN"/>
        </w:rPr>
        <w:t>4</w:t>
      </w:r>
      <w:r>
        <w:rPr>
          <w:rFonts w:hint="eastAsia" w:ascii="仿宋" w:hAnsi="仿宋" w:eastAsia="仿宋"/>
          <w:sz w:val="32"/>
          <w:szCs w:val="32"/>
        </w:rPr>
        <w:t>万元，主要包括：工会经费、福利费</w:t>
      </w:r>
      <w:r>
        <w:rPr>
          <w:rFonts w:hint="eastAsia" w:ascii="仿宋" w:hAnsi="仿宋" w:eastAsia="仿宋"/>
          <w:sz w:val="32"/>
          <w:szCs w:val="32"/>
          <w:lang w:eastAsia="zh-CN"/>
        </w:rPr>
        <w:t>印刷费、邮电费、培训费、公务接待费、其他商品服务支出等</w:t>
      </w:r>
      <w:r>
        <w:rPr>
          <w:rFonts w:hint="eastAsia" w:ascii="仿宋" w:hAnsi="仿宋" w:eastAsia="仿宋"/>
          <w:sz w:val="32"/>
          <w:szCs w:val="32"/>
        </w:rPr>
        <w:t>。</w:t>
      </w:r>
    </w:p>
    <w:p w14:paraId="7B56FB0D">
      <w:pPr>
        <w:spacing w:line="600" w:lineRule="exact"/>
        <w:ind w:firstLine="640"/>
        <w:outlineLvl w:val="1"/>
        <w:rPr>
          <w:rFonts w:hint="eastAsia" w:ascii="仿宋" w:hAnsi="仿宋" w:eastAsia="仿宋"/>
          <w:b/>
          <w:sz w:val="32"/>
          <w:szCs w:val="32"/>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bookmarkStart w:id="38" w:name="_Toc15377216"/>
    </w:p>
    <w:p w14:paraId="22F608C7">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bookmarkEnd w:id="38"/>
    </w:p>
    <w:p w14:paraId="4FBE6E86">
      <w:pPr>
        <w:spacing w:line="600" w:lineRule="exact"/>
        <w:ind w:firstLine="640"/>
        <w:rPr>
          <w:rFonts w:hint="eastAsia"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0.09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0.05</w:t>
      </w:r>
      <w:r>
        <w:rPr>
          <w:rFonts w:hint="eastAsia" w:ascii="仿宋" w:hAnsi="仿宋" w:eastAsia="仿宋"/>
          <w:sz w:val="32"/>
          <w:szCs w:val="32"/>
        </w:rPr>
        <w:t>万元，增长</w:t>
      </w:r>
      <w:r>
        <w:rPr>
          <w:rFonts w:hint="eastAsia" w:ascii="仿宋" w:hAnsi="仿宋" w:eastAsia="仿宋"/>
          <w:sz w:val="32"/>
          <w:szCs w:val="32"/>
          <w:lang w:val="en-US" w:eastAsia="zh-CN"/>
        </w:rPr>
        <w:t>125</w:t>
      </w:r>
      <w:r>
        <w:rPr>
          <w:rFonts w:hint="eastAsia" w:ascii="仿宋" w:hAnsi="仿宋" w:eastAsia="仿宋"/>
          <w:sz w:val="32"/>
          <w:szCs w:val="32"/>
        </w:rPr>
        <w:t>%。</w:t>
      </w:r>
      <w:bookmarkStart w:id="39" w:name="_Toc15377217"/>
    </w:p>
    <w:p w14:paraId="47568EA7">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4575E234">
      <w:pPr>
        <w:spacing w:line="600" w:lineRule="exact"/>
        <w:ind w:firstLine="640"/>
        <w:rPr>
          <w:rFonts w:hint="eastAsia" w:ascii="仿宋" w:hAnsi="仿宋" w:eastAsia="仿宋"/>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870585</wp:posOffset>
            </wp:positionH>
            <wp:positionV relativeFrom="paragraph">
              <wp:posOffset>1497965</wp:posOffset>
            </wp:positionV>
            <wp:extent cx="3765550" cy="1581785"/>
            <wp:effectExtent l="4445" t="4445" r="20955" b="13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0.09</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55A0700B">
      <w:pPr>
        <w:spacing w:line="600" w:lineRule="exact"/>
        <w:ind w:firstLine="640"/>
        <w:rPr>
          <w:rFonts w:hint="eastAsia" w:ascii="仿宋" w:hAnsi="仿宋" w:eastAsia="仿宋"/>
          <w:sz w:val="32"/>
          <w:szCs w:val="32"/>
        </w:rPr>
      </w:pPr>
    </w:p>
    <w:p w14:paraId="2F422890">
      <w:pPr>
        <w:spacing w:line="600" w:lineRule="exact"/>
        <w:ind w:firstLine="640"/>
        <w:rPr>
          <w:rFonts w:hint="eastAsia" w:ascii="仿宋" w:hAnsi="仿宋" w:eastAsia="仿宋"/>
          <w:sz w:val="32"/>
          <w:szCs w:val="32"/>
        </w:rPr>
      </w:pPr>
    </w:p>
    <w:p w14:paraId="3F3C31DF">
      <w:pPr>
        <w:spacing w:line="600" w:lineRule="exact"/>
        <w:ind w:firstLine="640"/>
        <w:rPr>
          <w:rFonts w:hint="eastAsia" w:ascii="仿宋" w:hAnsi="仿宋" w:eastAsia="仿宋"/>
          <w:sz w:val="32"/>
          <w:szCs w:val="32"/>
        </w:rPr>
      </w:pPr>
    </w:p>
    <w:p w14:paraId="581EC369">
      <w:pPr>
        <w:spacing w:line="600" w:lineRule="exact"/>
        <w:ind w:firstLine="640"/>
        <w:rPr>
          <w:rFonts w:hint="eastAsia" w:ascii="仿宋" w:hAnsi="仿宋" w:eastAsia="仿宋"/>
          <w:sz w:val="32"/>
          <w:szCs w:val="32"/>
        </w:rPr>
      </w:pPr>
    </w:p>
    <w:p w14:paraId="1DB55B7A">
      <w:pPr>
        <w:spacing w:line="600" w:lineRule="exact"/>
        <w:ind w:firstLine="640"/>
        <w:rPr>
          <w:rFonts w:hint="eastAsia" w:ascii="仿宋" w:hAnsi="仿宋" w:eastAsia="仿宋"/>
          <w:sz w:val="32"/>
          <w:szCs w:val="32"/>
        </w:rPr>
      </w:pPr>
    </w:p>
    <w:p w14:paraId="237454DC">
      <w:pPr>
        <w:numPr>
          <w:ilvl w:val="0"/>
          <w:numId w:val="0"/>
        </w:numPr>
        <w:spacing w:line="600" w:lineRule="exact"/>
        <w:ind w:firstLine="643" w:firstLineChars="200"/>
        <w:rPr>
          <w:rFonts w:hint="eastAsia" w:ascii="仿宋" w:hAnsi="仿宋" w:eastAsia="仿宋"/>
          <w:color w:val="000000"/>
          <w:sz w:val="32"/>
          <w:szCs w:val="32"/>
          <w:lang w:eastAsia="zh-CN"/>
        </w:rPr>
      </w:pPr>
      <w:bookmarkStart w:id="40" w:name="_Toc15377218"/>
      <w:bookmarkStart w:id="41" w:name="_Toc15396610"/>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color w:val="000000"/>
          <w:sz w:val="32"/>
          <w:szCs w:val="32"/>
        </w:rPr>
        <w:t>与202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年决算数持平</w:t>
      </w:r>
      <w:r>
        <w:rPr>
          <w:rFonts w:hint="eastAsia" w:ascii="仿宋" w:hAnsi="仿宋" w:eastAsia="仿宋"/>
          <w:color w:val="000000"/>
          <w:sz w:val="32"/>
          <w:szCs w:val="32"/>
          <w:lang w:eastAsia="zh-CN"/>
        </w:rPr>
        <w:t>。</w:t>
      </w:r>
    </w:p>
    <w:p w14:paraId="311C0E0D">
      <w:pPr>
        <w:spacing w:line="600" w:lineRule="exact"/>
        <w:ind w:firstLine="643" w:firstLineChars="200"/>
        <w:rPr>
          <w:rFonts w:hint="eastAsia" w:ascii="仿宋_GB2312" w:eastAsia="仿宋"/>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 w:hAnsi="仿宋" w:eastAsia="仿宋"/>
          <w:color w:val="000000"/>
          <w:sz w:val="32"/>
          <w:szCs w:val="32"/>
        </w:rPr>
        <w:t>与202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年决算数持平</w:t>
      </w:r>
      <w:r>
        <w:rPr>
          <w:rFonts w:hint="eastAsia" w:ascii="仿宋" w:hAnsi="仿宋" w:eastAsia="仿宋"/>
          <w:color w:val="000000"/>
          <w:sz w:val="32"/>
          <w:szCs w:val="32"/>
          <w:lang w:eastAsia="zh-CN"/>
        </w:rPr>
        <w:t>。</w:t>
      </w:r>
    </w:p>
    <w:p w14:paraId="44C3EAB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763EB81">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528F3E5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0.09</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0.05</w:t>
      </w:r>
      <w:r>
        <w:rPr>
          <w:rFonts w:hint="eastAsia" w:ascii="仿宋_GB2312" w:eastAsia="仿宋_GB2312"/>
          <w:sz w:val="32"/>
          <w:szCs w:val="32"/>
        </w:rPr>
        <w:t>万元，增长</w:t>
      </w:r>
      <w:r>
        <w:rPr>
          <w:rFonts w:hint="eastAsia" w:ascii="仿宋_GB2312" w:eastAsia="仿宋_GB2312"/>
          <w:sz w:val="32"/>
          <w:szCs w:val="32"/>
          <w:lang w:val="en-US" w:eastAsia="zh-CN"/>
        </w:rPr>
        <w:t>125</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color w:val="000000"/>
          <w:sz w:val="32"/>
          <w:szCs w:val="32"/>
        </w:rPr>
        <w:t>执行公务、开展业务活动开支的用餐费</w:t>
      </w:r>
      <w:r>
        <w:rPr>
          <w:rFonts w:hint="eastAsia" w:ascii="仿宋_GB2312" w:eastAsia="仿宋_GB2312"/>
          <w:sz w:val="32"/>
          <w:szCs w:val="32"/>
        </w:rPr>
        <w:t>。其中：</w:t>
      </w:r>
    </w:p>
    <w:p w14:paraId="1CAEF725">
      <w:pPr>
        <w:spacing w:line="600" w:lineRule="exact"/>
        <w:ind w:firstLine="640"/>
        <w:rPr>
          <w:rFonts w:ascii="仿宋_GB2312" w:eastAsia="仿宋_GB2312"/>
          <w:color w:val="auto"/>
          <w:sz w:val="32"/>
          <w:szCs w:val="32"/>
          <w:highlight w:val="none"/>
        </w:rPr>
      </w:pPr>
      <w:r>
        <w:rPr>
          <w:rFonts w:hint="eastAsia" w:ascii="仿宋" w:hAnsi="仿宋" w:eastAsia="仿宋"/>
          <w:b/>
          <w:sz w:val="32"/>
          <w:szCs w:val="32"/>
        </w:rPr>
        <w:t>国内公务接待支出</w:t>
      </w:r>
      <w:r>
        <w:rPr>
          <w:rFonts w:ascii="仿宋" w:hAnsi="仿宋" w:eastAsia="仿宋"/>
          <w:b/>
          <w:sz w:val="32"/>
          <w:szCs w:val="32"/>
        </w:rPr>
        <w:t>0.09</w:t>
      </w:r>
      <w:r>
        <w:rPr>
          <w:rFonts w:hint="eastAsia" w:ascii="仿宋_GB2312" w:eastAsia="仿宋_GB2312"/>
          <w:sz w:val="32"/>
          <w:szCs w:val="32"/>
        </w:rPr>
        <w:t>万元，主要用于</w:t>
      </w:r>
      <w:r>
        <w:rPr>
          <w:rFonts w:hint="eastAsia" w:ascii="仿宋" w:hAnsi="仿宋" w:eastAsia="仿宋"/>
          <w:color w:val="000000"/>
          <w:sz w:val="32"/>
          <w:szCs w:val="32"/>
        </w:rPr>
        <w:t>执行公务、开展业务活动开支的用餐费</w:t>
      </w:r>
      <w:r>
        <w:rPr>
          <w:rFonts w:hint="eastAsia" w:ascii="仿宋_GB2312" w:eastAsia="仿宋_GB2312"/>
          <w:sz w:val="32"/>
          <w:szCs w:val="32"/>
        </w:rPr>
        <w:t>。国内公务接待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19</w:t>
      </w:r>
      <w:r>
        <w:rPr>
          <w:rFonts w:hint="eastAsia" w:ascii="仿宋_GB2312" w:eastAsia="仿宋_GB2312"/>
          <w:sz w:val="32"/>
          <w:szCs w:val="32"/>
        </w:rPr>
        <w:t>人次（包括陪同人员），共计支出</w:t>
      </w:r>
      <w:r>
        <w:rPr>
          <w:rFonts w:hint="eastAsia" w:ascii="仿宋_GB2312" w:eastAsia="仿宋_GB2312"/>
          <w:sz w:val="32"/>
          <w:szCs w:val="32"/>
          <w:lang w:val="en-US" w:eastAsia="zh-CN"/>
        </w:rPr>
        <w:t>0.09</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val="en-US" w:eastAsia="zh-CN"/>
        </w:rPr>
        <w:t>秋季教育专项工作检查，支付接待费0.09万元。</w:t>
      </w:r>
    </w:p>
    <w:p w14:paraId="6B667A21">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5FA6DDCF">
      <w:pPr>
        <w:spacing w:line="600" w:lineRule="exact"/>
        <w:ind w:firstLine="640"/>
        <w:outlineLvl w:val="1"/>
        <w:rPr>
          <w:rFonts w:ascii="黑体" w:eastAsia="黑体"/>
          <w:sz w:val="32"/>
          <w:szCs w:val="32"/>
        </w:rPr>
      </w:pPr>
    </w:p>
    <w:p w14:paraId="53736A36">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1CE55B7F">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2C2B434">
      <w:pPr>
        <w:numPr>
          <w:ilvl w:val="0"/>
          <w:numId w:val="2"/>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43472735">
      <w:pPr>
        <w:spacing w:line="600" w:lineRule="exact"/>
        <w:ind w:firstLine="640"/>
        <w:rPr>
          <w:rFonts w:ascii="微软雅黑" w:hAnsi="微软雅黑" w:eastAsia="微软雅黑" w:cs="微软雅黑"/>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E91CB2E">
      <w:pPr>
        <w:numPr>
          <w:ilvl w:val="0"/>
          <w:numId w:val="2"/>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7401BC4F">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B928CB0">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b/>
          <w:sz w:val="32"/>
          <w:szCs w:val="32"/>
        </w:rPr>
        <w:t>峨边彝族自治县毛坪初级中学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hint="eastAsia" w:ascii="仿宋_GB2312" w:eastAsia="仿宋_GB2312"/>
          <w:sz w:val="32"/>
          <w:szCs w:val="32"/>
          <w:lang w:val="en-US" w:eastAsia="zh-CN"/>
        </w:rPr>
        <w:t>0</w:t>
      </w:r>
      <w:r>
        <w:rPr>
          <w:rFonts w:hint="eastAsia" w:ascii="仿宋_GB2312" w:eastAsia="仿宋_GB2312"/>
          <w:sz w:val="32"/>
          <w:szCs w:val="32"/>
        </w:rPr>
        <w:t>万元，与2022年度决算数持平</w:t>
      </w:r>
      <w:r>
        <w:rPr>
          <w:rFonts w:hint="eastAsia" w:ascii="仿宋_GB2312" w:eastAsia="仿宋_GB2312"/>
          <w:sz w:val="32"/>
          <w:szCs w:val="32"/>
          <w:lang w:eastAsia="zh-CN"/>
        </w:rPr>
        <w:t>。</w:t>
      </w:r>
    </w:p>
    <w:p w14:paraId="6C3983C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06B996F0">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峨边彝族自治县毛坪初级中学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589AFC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B752E4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峨边彝族自治县毛坪初级中学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383876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E856DE9">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hAnsi="仿宋_GB2312" w:eastAsia="仿宋_GB2312" w:cs="仿宋_GB2312"/>
          <w:sz w:val="32"/>
          <w:szCs w:val="32"/>
        </w:rPr>
        <w:t>营养餐、特岗教师</w:t>
      </w:r>
      <w:r>
        <w:rPr>
          <w:rFonts w:hint="eastAsia" w:ascii="仿宋_GB2312" w:eastAsia="仿宋_GB2312"/>
          <w:sz w:val="32"/>
          <w:szCs w:val="32"/>
        </w:rPr>
        <w:t>项目（项目名称）等</w:t>
      </w:r>
      <w:r>
        <w:rPr>
          <w:rFonts w:hint="eastAsia" w:ascii="仿宋_GB2312" w:eastAsia="仿宋_GB2312"/>
          <w:sz w:val="32"/>
          <w:szCs w:val="32"/>
          <w:lang w:val="en-US" w:eastAsia="zh-CN"/>
        </w:rPr>
        <w:t>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6321C355">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67967A1">
      <w:pPr>
        <w:numPr>
          <w:ilvl w:val="0"/>
          <w:numId w:val="3"/>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5DB272AC">
      <w:pPr>
        <w:spacing w:line="600" w:lineRule="exact"/>
        <w:jc w:val="left"/>
        <w:rPr>
          <w:rFonts w:ascii="宋体"/>
          <w:b/>
          <w:sz w:val="44"/>
          <w:szCs w:val="44"/>
        </w:rPr>
      </w:pPr>
    </w:p>
    <w:p w14:paraId="2B89E9F9">
      <w:pPr>
        <w:pStyle w:val="25"/>
        <w:spacing w:line="560" w:lineRule="exact"/>
        <w:ind w:firstLine="640" w:firstLineChars="200"/>
        <w:jc w:val="both"/>
        <w:rPr>
          <w:rFonts w:hAnsi="仿宋" w:cs="Times New Roman"/>
          <w:kern w:val="2"/>
          <w:sz w:val="32"/>
          <w:szCs w:val="32"/>
        </w:rPr>
      </w:pPr>
      <w:bookmarkStart w:id="51" w:name="_Toc15377226"/>
      <w:r>
        <w:rPr>
          <w:rFonts w:hint="eastAsia" w:hAnsi="仿宋" w:cs="Times New Roman"/>
          <w:kern w:val="2"/>
          <w:sz w:val="32"/>
          <w:szCs w:val="32"/>
        </w:rPr>
        <w:t>1.财政拨款收入：指单位从同级财政部门取得的财政预算资金。</w:t>
      </w:r>
    </w:p>
    <w:p w14:paraId="347A42B7">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7A89A95C">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10EDF4AB">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1529CFB1">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81EC921">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2D3823AD">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404D55C9">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w:t>
      </w:r>
      <w:r>
        <w:rPr>
          <w:rFonts w:hint="eastAsia" w:hAnsi="仿宋" w:cs="Times New Roman"/>
          <w:kern w:val="2"/>
          <w:sz w:val="32"/>
          <w:szCs w:val="32"/>
          <w:lang w:val="en-US" w:eastAsia="zh-CN"/>
        </w:rPr>
        <w:t>.</w:t>
      </w:r>
      <w:r>
        <w:rPr>
          <w:rFonts w:hint="eastAsia" w:hAnsi="仿宋" w:cs="Times New Roman"/>
          <w:kern w:val="2"/>
          <w:sz w:val="32"/>
          <w:szCs w:val="32"/>
        </w:rPr>
        <w:t>年末结转和结余：指单位按有关规定结转到下年或以后年度继续使用的资金。</w:t>
      </w:r>
    </w:p>
    <w:p w14:paraId="7BAE01FA">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hint="eastAsia" w:ascii="仿宋_GB2312" w:eastAsia="仿宋_GB2312"/>
          <w:color w:val="auto"/>
          <w:sz w:val="32"/>
          <w:szCs w:val="32"/>
          <w:highlight w:val="none"/>
        </w:rPr>
        <w:t>教育（类）</w:t>
      </w:r>
      <w:r>
        <w:rPr>
          <w:rFonts w:hint="eastAsia" w:ascii="仿宋" w:hAnsi="仿宋" w:eastAsia="仿宋"/>
          <w:sz w:val="32"/>
          <w:szCs w:val="32"/>
        </w:rPr>
        <w:t>普通教育</w:t>
      </w:r>
      <w:r>
        <w:rPr>
          <w:rFonts w:hint="eastAsia" w:ascii="仿宋_GB2312" w:eastAsia="仿宋_GB2312"/>
          <w:color w:val="auto"/>
          <w:sz w:val="32"/>
          <w:szCs w:val="32"/>
          <w:highlight w:val="none"/>
        </w:rPr>
        <w:t>（款）</w:t>
      </w:r>
      <w:r>
        <w:rPr>
          <w:rFonts w:hint="eastAsia" w:ascii="仿宋" w:hAnsi="仿宋" w:eastAsia="仿宋"/>
          <w:sz w:val="32"/>
          <w:szCs w:val="32"/>
        </w:rPr>
        <w:t>小学教育</w:t>
      </w:r>
      <w:r>
        <w:rPr>
          <w:rFonts w:hint="eastAsia" w:ascii="仿宋_GB2312" w:eastAsia="仿宋_GB2312"/>
          <w:color w:val="auto"/>
          <w:sz w:val="32"/>
          <w:szCs w:val="32"/>
          <w:highlight w:val="none"/>
        </w:rPr>
        <w:t>（项）：</w:t>
      </w:r>
      <w:r>
        <w:rPr>
          <w:rFonts w:hint="eastAsia" w:ascii="仿宋" w:hAnsi="仿宋" w:eastAsia="仿宋"/>
          <w:sz w:val="32"/>
          <w:szCs w:val="32"/>
        </w:rPr>
        <w:t>指反映各部门举办的小学教育支出。</w:t>
      </w:r>
    </w:p>
    <w:p w14:paraId="2973D65F">
      <w:pPr>
        <w:ind w:firstLine="640" w:firstLineChars="200"/>
        <w:rPr>
          <w:rFonts w:hint="eastAsia" w:ascii="仿宋" w:hAnsi="仿宋" w:eastAsia="仿宋"/>
          <w:sz w:val="32"/>
          <w:szCs w:val="32"/>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教育（类）</w:t>
      </w:r>
      <w:r>
        <w:rPr>
          <w:rFonts w:hint="eastAsia" w:ascii="仿宋" w:hAnsi="仿宋" w:eastAsia="仿宋"/>
          <w:sz w:val="32"/>
          <w:szCs w:val="32"/>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初中教育</w:t>
      </w:r>
      <w:r>
        <w:rPr>
          <w:rFonts w:hint="eastAsia" w:ascii="仿宋_GB2312" w:eastAsia="仿宋_GB2312"/>
          <w:color w:val="auto"/>
          <w:sz w:val="32"/>
          <w:szCs w:val="32"/>
          <w:highlight w:val="none"/>
        </w:rPr>
        <w:t>（项）：指</w:t>
      </w:r>
      <w:r>
        <w:rPr>
          <w:rFonts w:hint="eastAsia" w:ascii="仿宋" w:hAnsi="仿宋" w:eastAsia="仿宋"/>
          <w:sz w:val="32"/>
          <w:szCs w:val="32"/>
        </w:rPr>
        <w:t>反映各部门举办的初中教育支出</w:t>
      </w:r>
      <w:r>
        <w:rPr>
          <w:rFonts w:hint="eastAsia" w:ascii="仿宋" w:hAnsi="仿宋" w:eastAsia="仿宋"/>
          <w:sz w:val="32"/>
          <w:szCs w:val="32"/>
          <w:lang w:eastAsia="zh-CN"/>
        </w:rPr>
        <w:t>。</w:t>
      </w:r>
    </w:p>
    <w:p w14:paraId="04111F44">
      <w:pPr>
        <w:ind w:firstLine="640" w:firstLineChars="200"/>
        <w:rPr>
          <w:rFonts w:hint="eastAsia" w:ascii="仿宋_GB2312" w:eastAsia="仿宋_GB2312"/>
          <w:color w:val="auto"/>
          <w:sz w:val="32"/>
          <w:szCs w:val="32"/>
          <w:highlight w:val="none"/>
          <w:lang w:eastAsia="zh-CN"/>
        </w:rPr>
      </w:pPr>
      <w:r>
        <w:rPr>
          <w:rFonts w:hint="eastAsia" w:ascii="仿宋" w:hAnsi="仿宋" w:eastAsia="仿宋"/>
          <w:sz w:val="32"/>
          <w:szCs w:val="32"/>
          <w:lang w:val="en-US" w:eastAsia="zh-CN"/>
        </w:rPr>
        <w:t>11.</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 xml:space="preserve">  机关事业单位基本养老保险缴费支出</w:t>
      </w:r>
      <w:r>
        <w:rPr>
          <w:rFonts w:hint="eastAsia" w:ascii="仿宋_GB2312" w:eastAsia="仿宋_GB2312"/>
          <w:color w:val="auto"/>
          <w:sz w:val="32"/>
          <w:szCs w:val="32"/>
          <w:highlight w:val="none"/>
        </w:rPr>
        <w:t>（项）：指</w:t>
      </w:r>
      <w:r>
        <w:rPr>
          <w:rFonts w:hint="eastAsia" w:ascii="仿宋" w:hAnsi="仿宋" w:eastAsia="仿宋" w:cs="宋体"/>
          <w:color w:val="000000"/>
          <w:kern w:val="0"/>
          <w:sz w:val="32"/>
          <w:szCs w:val="32"/>
        </w:rPr>
        <w:t>反映机关事业单位实施养老保险制度由单位缴纳的基本养老保险支出。</w:t>
      </w:r>
    </w:p>
    <w:p w14:paraId="438B07CB">
      <w:pPr>
        <w:numPr>
          <w:ilvl w:val="0"/>
          <w:numId w:val="0"/>
        </w:numP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12. </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（款）机关事业单位职业年金缴费支出（项）：指</w:t>
      </w:r>
      <w:r>
        <w:rPr>
          <w:rFonts w:hint="eastAsia" w:ascii="仿宋" w:hAnsi="仿宋" w:eastAsia="仿宋" w:cs="宋体"/>
          <w:color w:val="000000"/>
          <w:kern w:val="0"/>
          <w:sz w:val="32"/>
          <w:szCs w:val="32"/>
        </w:rPr>
        <w:t>反映机关事业单位实施养老保险制度由单位缴纳的职业年金支出。</w:t>
      </w:r>
      <w:r>
        <w:rPr>
          <w:rFonts w:hint="eastAsia" w:ascii="仿宋_GB2312" w:eastAsia="仿宋_GB2312"/>
          <w:color w:val="auto"/>
          <w:sz w:val="32"/>
          <w:szCs w:val="32"/>
          <w:highlight w:val="none"/>
          <w:lang w:val="en-US" w:eastAsia="zh-CN"/>
        </w:rPr>
        <w:t xml:space="preserve"> </w:t>
      </w:r>
    </w:p>
    <w:p w14:paraId="1AE2C113">
      <w:pPr>
        <w:numPr>
          <w:ilvl w:val="0"/>
          <w:numId w:val="0"/>
        </w:numP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13.</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rPr>
        <w:t>（款）死亡抚恤</w:t>
      </w:r>
      <w:r>
        <w:rPr>
          <w:rFonts w:hint="eastAsia" w:ascii="仿宋_GB2312" w:eastAsia="仿宋_GB2312"/>
          <w:color w:val="auto"/>
          <w:sz w:val="32"/>
          <w:szCs w:val="32"/>
          <w:highlight w:val="none"/>
          <w:lang w:eastAsia="zh-CN"/>
        </w:rPr>
        <w:t>。</w:t>
      </w:r>
    </w:p>
    <w:p w14:paraId="6615CE36">
      <w:pPr>
        <w:numPr>
          <w:ilvl w:val="0"/>
          <w:numId w:val="0"/>
        </w:num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反映按规定用于烈士和牺牲、病故人员家属的一次性和定期抚恤金、丧葬补助费以及烈士褒扬金。</w:t>
      </w:r>
    </w:p>
    <w:p w14:paraId="2BB2651B">
      <w:pPr>
        <w:numPr>
          <w:ilvl w:val="0"/>
          <w:numId w:val="0"/>
        </w:numP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14.</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（项）：指</w:t>
      </w:r>
      <w:r>
        <w:rPr>
          <w:rFonts w:hint="eastAsia" w:ascii="仿宋" w:hAnsi="仿宋" w:eastAsia="仿宋" w:cs="宋体"/>
          <w:color w:val="000000"/>
          <w:kern w:val="0"/>
          <w:sz w:val="32"/>
          <w:szCs w:val="32"/>
        </w:rPr>
        <w:t>反映财政部门安排的事业单位基本医疗保险缴费经费</w:t>
      </w:r>
      <w:r>
        <w:rPr>
          <w:rFonts w:hint="eastAsia" w:ascii="仿宋_GB2312" w:eastAsia="仿宋_GB2312"/>
          <w:color w:val="auto"/>
          <w:sz w:val="32"/>
          <w:szCs w:val="32"/>
          <w:highlight w:val="none"/>
          <w:lang w:val="en-US" w:eastAsia="zh-CN"/>
        </w:rPr>
        <w:t>。</w:t>
      </w:r>
    </w:p>
    <w:p w14:paraId="4B2B9A4D">
      <w:pPr>
        <w:spacing w:line="600" w:lineRule="exact"/>
        <w:ind w:firstLine="640" w:firstLineChars="200"/>
        <w:rPr>
          <w:rStyle w:val="16"/>
          <w:rFonts w:ascii="仿宋" w:hAnsi="仿宋" w:eastAsia="仿宋"/>
          <w:b w:val="0"/>
          <w:bCs/>
          <w:color w:val="000000"/>
          <w:sz w:val="32"/>
          <w:szCs w:val="32"/>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 xml:space="preserve"> 公务员医疗补助公积金</w:t>
      </w:r>
      <w:bookmarkStart w:id="67" w:name="_GoBack"/>
      <w:bookmarkEnd w:id="67"/>
      <w:r>
        <w:rPr>
          <w:rFonts w:hint="eastAsia" w:ascii="仿宋_GB2312" w:eastAsia="仿宋_GB2312"/>
          <w:color w:val="auto"/>
          <w:sz w:val="32"/>
          <w:szCs w:val="32"/>
          <w:highlight w:val="none"/>
        </w:rPr>
        <w:t>（项）：</w:t>
      </w:r>
      <w:r>
        <w:rPr>
          <w:rFonts w:hint="eastAsia" w:ascii="仿宋" w:hAnsi="仿宋" w:eastAsia="仿宋" w:cs="宋体"/>
          <w:color w:val="000000"/>
          <w:kern w:val="0"/>
          <w:sz w:val="32"/>
          <w:szCs w:val="32"/>
        </w:rPr>
        <w:t>反映财政部门安排的公务员医疗补助经费。</w:t>
      </w:r>
    </w:p>
    <w:p w14:paraId="1A579322">
      <w:pPr>
        <w:ind w:firstLine="640" w:firstLineChars="200"/>
        <w:rPr>
          <w:rFonts w:ascii="仿宋" w:hAnsi="仿宋" w:eastAsia="仿宋"/>
          <w:color w:val="000000"/>
          <w:sz w:val="32"/>
          <w:szCs w:val="32"/>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 xml:space="preserve"> 住房公积金</w:t>
      </w:r>
      <w:r>
        <w:rPr>
          <w:rFonts w:hint="eastAsia" w:ascii="仿宋_GB2312" w:eastAsia="仿宋_GB2312"/>
          <w:color w:val="auto"/>
          <w:sz w:val="32"/>
          <w:szCs w:val="32"/>
          <w:highlight w:val="none"/>
        </w:rPr>
        <w:t>（项）：指</w:t>
      </w:r>
      <w:r>
        <w:rPr>
          <w:rFonts w:hint="eastAsia" w:ascii="仿宋" w:hAnsi="仿宋" w:eastAsia="仿宋"/>
          <w:color w:val="000000"/>
          <w:sz w:val="32"/>
          <w:szCs w:val="32"/>
        </w:rPr>
        <w:t>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_GB2312" w:eastAsia="仿宋_GB2312"/>
          <w:color w:val="auto"/>
          <w:sz w:val="32"/>
          <w:szCs w:val="32"/>
          <w:highlight w:val="none"/>
        </w:rPr>
        <w:t>。</w:t>
      </w:r>
      <w:r>
        <w:rPr>
          <w:rStyle w:val="16"/>
          <w:rFonts w:hint="eastAsia" w:ascii="仿宋" w:hAnsi="仿宋" w:eastAsia="仿宋"/>
          <w:b w:val="0"/>
          <w:bCs/>
          <w:color w:val="000000"/>
          <w:sz w:val="32"/>
          <w:szCs w:val="32"/>
        </w:rPr>
        <w:t xml:space="preserve">  </w:t>
      </w:r>
    </w:p>
    <w:p w14:paraId="720D3F4F">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.基本支出：指为保障机构正常运转、完成日常工作任务而发生的人员支出和公用支出。</w:t>
      </w:r>
    </w:p>
    <w:p w14:paraId="7F04D04E">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 xml:space="preserve">.项目支出：指在基本支出之外为完成特定行政任务和事业发展目标所发生的支出。 </w:t>
      </w:r>
    </w:p>
    <w:p w14:paraId="64FDCBFC">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76A54E">
      <w:pPr>
        <w:spacing w:line="600" w:lineRule="exact"/>
        <w:jc w:val="center"/>
        <w:outlineLvl w:val="0"/>
        <w:rPr>
          <w:rStyle w:val="27"/>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14:paraId="6EA713C4">
      <w:pPr>
        <w:spacing w:line="572" w:lineRule="exact"/>
        <w:jc w:val="left"/>
        <w:outlineLvl w:val="0"/>
        <w:rPr>
          <w:rFonts w:ascii="仿宋_GB2312" w:hAnsi="仿宋_GB2312" w:eastAsia="仿宋_GB2312" w:cs="仿宋_GB2312"/>
          <w:sz w:val="32"/>
          <w:szCs w:val="32"/>
        </w:rPr>
      </w:pPr>
    </w:p>
    <w:p w14:paraId="6F239533">
      <w:pPr>
        <w:spacing w:line="600" w:lineRule="exact"/>
        <w:jc w:val="center"/>
        <w:outlineLvl w:val="0"/>
      </w:pPr>
      <w:bookmarkStart w:id="53" w:name="_Toc15396618"/>
      <w:r>
        <w:rPr>
          <w:rFonts w:hint="eastAsia"/>
          <w:sz w:val="32"/>
          <w:szCs w:val="32"/>
        </w:rPr>
        <w:t>部门预算项目支出绩效自评表（2023年度）</w:t>
      </w:r>
    </w:p>
    <w:p w14:paraId="034A0017">
      <w:pPr>
        <w:pStyle w:val="5"/>
        <w:spacing w:before="93"/>
      </w:pPr>
      <w:r>
        <w:drawing>
          <wp:inline distT="0" distB="0" distL="114300" distR="114300">
            <wp:extent cx="5292090" cy="3700145"/>
            <wp:effectExtent l="0" t="0" r="3810" b="146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292090" cy="3700145"/>
                    </a:xfrm>
                    <a:prstGeom prst="rect">
                      <a:avLst/>
                    </a:prstGeom>
                    <a:noFill/>
                    <a:ln w="9525">
                      <a:noFill/>
                    </a:ln>
                  </pic:spPr>
                </pic:pic>
              </a:graphicData>
            </a:graphic>
          </wp:inline>
        </w:drawing>
      </w:r>
      <w:r>
        <w:drawing>
          <wp:inline distT="0" distB="0" distL="114300" distR="114300">
            <wp:extent cx="5292090" cy="3842385"/>
            <wp:effectExtent l="0" t="0" r="3810" b="57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5292090" cy="3842385"/>
                    </a:xfrm>
                    <a:prstGeom prst="rect">
                      <a:avLst/>
                    </a:prstGeom>
                    <a:noFill/>
                    <a:ln w="9525">
                      <a:noFill/>
                    </a:ln>
                  </pic:spPr>
                </pic:pic>
              </a:graphicData>
            </a:graphic>
          </wp:inline>
        </w:drawing>
      </w:r>
      <w:r>
        <w:drawing>
          <wp:inline distT="0" distB="0" distL="114300" distR="114300">
            <wp:extent cx="5292090" cy="3865880"/>
            <wp:effectExtent l="0" t="0" r="3810" b="127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5"/>
                    <a:stretch>
                      <a:fillRect/>
                    </a:stretch>
                  </pic:blipFill>
                  <pic:spPr>
                    <a:xfrm>
                      <a:off x="0" y="0"/>
                      <a:ext cx="5292090" cy="3865880"/>
                    </a:xfrm>
                    <a:prstGeom prst="rect">
                      <a:avLst/>
                    </a:prstGeom>
                    <a:noFill/>
                    <a:ln w="9525">
                      <a:noFill/>
                    </a:ln>
                  </pic:spPr>
                </pic:pic>
              </a:graphicData>
            </a:graphic>
          </wp:inline>
        </w:drawing>
      </w:r>
      <w:r>
        <w:drawing>
          <wp:inline distT="0" distB="0" distL="114300" distR="114300">
            <wp:extent cx="5292090" cy="3714750"/>
            <wp:effectExtent l="0" t="0" r="381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6"/>
                    <a:stretch>
                      <a:fillRect/>
                    </a:stretch>
                  </pic:blipFill>
                  <pic:spPr>
                    <a:xfrm>
                      <a:off x="0" y="0"/>
                      <a:ext cx="5292090" cy="3714750"/>
                    </a:xfrm>
                    <a:prstGeom prst="rect">
                      <a:avLst/>
                    </a:prstGeom>
                    <a:noFill/>
                    <a:ln w="9525">
                      <a:noFill/>
                    </a:ln>
                  </pic:spPr>
                </pic:pic>
              </a:graphicData>
            </a:graphic>
          </wp:inline>
        </w:drawing>
      </w:r>
      <w:r>
        <w:drawing>
          <wp:inline distT="0" distB="0" distL="114300" distR="114300">
            <wp:extent cx="5292090" cy="4286250"/>
            <wp:effectExtent l="0" t="0" r="381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7"/>
                    <a:stretch>
                      <a:fillRect/>
                    </a:stretch>
                  </pic:blipFill>
                  <pic:spPr>
                    <a:xfrm>
                      <a:off x="0" y="0"/>
                      <a:ext cx="5292090" cy="4286250"/>
                    </a:xfrm>
                    <a:prstGeom prst="rect">
                      <a:avLst/>
                    </a:prstGeom>
                    <a:noFill/>
                    <a:ln w="9525">
                      <a:noFill/>
                    </a:ln>
                  </pic:spPr>
                </pic:pic>
              </a:graphicData>
            </a:graphic>
          </wp:inline>
        </w:drawing>
      </w:r>
    </w:p>
    <w:p w14:paraId="3A0AFFCD">
      <w:pPr>
        <w:pStyle w:val="5"/>
        <w:spacing w:before="93"/>
      </w:pPr>
    </w:p>
    <w:p w14:paraId="2F407FEF">
      <w:pPr>
        <w:pStyle w:val="5"/>
        <w:spacing w:before="93"/>
        <w:rPr>
          <w:rFonts w:hAnsi="Calibri" w:cs="仿宋"/>
          <w:sz w:val="32"/>
          <w:szCs w:val="32"/>
        </w:rPr>
      </w:pPr>
    </w:p>
    <w:p w14:paraId="197C178E">
      <w:pPr>
        <w:spacing w:line="600" w:lineRule="exact"/>
        <w:jc w:val="both"/>
        <w:outlineLvl w:val="0"/>
        <w:rPr>
          <w:rFonts w:hint="eastAsia" w:ascii="黑体" w:hAnsi="黑体" w:eastAsia="黑体"/>
          <w:sz w:val="44"/>
          <w:szCs w:val="44"/>
        </w:rPr>
      </w:pPr>
    </w:p>
    <w:p w14:paraId="5F39EA71">
      <w:pPr>
        <w:spacing w:line="600" w:lineRule="exact"/>
        <w:ind w:firstLine="2640" w:firstLineChars="600"/>
        <w:jc w:val="both"/>
        <w:outlineLvl w:val="0"/>
        <w:rPr>
          <w:rFonts w:hint="eastAsia" w:ascii="黑体" w:hAnsi="黑体" w:eastAsia="黑体"/>
          <w:sz w:val="44"/>
          <w:szCs w:val="44"/>
        </w:rPr>
      </w:pPr>
    </w:p>
    <w:p w14:paraId="250BF511">
      <w:pPr>
        <w:spacing w:line="600" w:lineRule="exact"/>
        <w:ind w:firstLine="2640" w:firstLineChars="600"/>
        <w:jc w:val="both"/>
        <w:outlineLvl w:val="0"/>
        <w:rPr>
          <w:rFonts w:hint="eastAsia" w:ascii="黑体" w:hAnsi="黑体" w:eastAsia="黑体"/>
          <w:sz w:val="44"/>
          <w:szCs w:val="44"/>
        </w:rPr>
      </w:pPr>
    </w:p>
    <w:p w14:paraId="12DA93AC">
      <w:pPr>
        <w:spacing w:line="600" w:lineRule="exact"/>
        <w:ind w:firstLine="2640" w:firstLineChars="600"/>
        <w:jc w:val="both"/>
        <w:outlineLvl w:val="0"/>
        <w:rPr>
          <w:rFonts w:hint="eastAsia" w:ascii="黑体" w:hAnsi="黑体" w:eastAsia="黑体"/>
          <w:sz w:val="44"/>
          <w:szCs w:val="44"/>
        </w:rPr>
      </w:pPr>
    </w:p>
    <w:p w14:paraId="104F8F3F">
      <w:pPr>
        <w:spacing w:line="600" w:lineRule="exact"/>
        <w:ind w:firstLine="2640" w:firstLineChars="600"/>
        <w:jc w:val="both"/>
        <w:outlineLvl w:val="0"/>
        <w:rPr>
          <w:rFonts w:hint="eastAsia" w:ascii="黑体" w:hAnsi="黑体" w:eastAsia="黑体"/>
          <w:sz w:val="44"/>
          <w:szCs w:val="44"/>
        </w:rPr>
      </w:pPr>
    </w:p>
    <w:p w14:paraId="3576891F">
      <w:pPr>
        <w:spacing w:line="600" w:lineRule="exact"/>
        <w:ind w:firstLine="2640" w:firstLineChars="600"/>
        <w:jc w:val="both"/>
        <w:outlineLvl w:val="0"/>
        <w:rPr>
          <w:rFonts w:hint="eastAsia" w:ascii="黑体" w:hAnsi="黑体" w:eastAsia="黑体"/>
          <w:sz w:val="44"/>
          <w:szCs w:val="44"/>
        </w:rPr>
      </w:pPr>
    </w:p>
    <w:p w14:paraId="3DCED4EF">
      <w:pPr>
        <w:spacing w:line="600" w:lineRule="exact"/>
        <w:ind w:firstLine="2640" w:firstLineChars="600"/>
        <w:jc w:val="both"/>
        <w:outlineLvl w:val="0"/>
        <w:rPr>
          <w:rFonts w:hint="eastAsia" w:ascii="黑体" w:hAnsi="黑体" w:eastAsia="黑体"/>
          <w:sz w:val="44"/>
          <w:szCs w:val="44"/>
        </w:rPr>
      </w:pPr>
    </w:p>
    <w:p w14:paraId="5CB6D0E9">
      <w:pPr>
        <w:spacing w:line="600" w:lineRule="exact"/>
        <w:ind w:firstLine="2640" w:firstLineChars="600"/>
        <w:jc w:val="both"/>
        <w:outlineLvl w:val="0"/>
        <w:rPr>
          <w:rFonts w:hint="eastAsia" w:ascii="黑体" w:hAnsi="黑体" w:eastAsia="黑体"/>
          <w:sz w:val="44"/>
          <w:szCs w:val="44"/>
        </w:rPr>
      </w:pPr>
    </w:p>
    <w:p w14:paraId="51B4A704">
      <w:pPr>
        <w:spacing w:line="600" w:lineRule="exact"/>
        <w:ind w:firstLine="2640" w:firstLineChars="600"/>
        <w:jc w:val="both"/>
        <w:outlineLvl w:val="0"/>
        <w:rPr>
          <w:rFonts w:hint="eastAsia" w:ascii="黑体" w:hAnsi="黑体" w:eastAsia="黑体"/>
          <w:sz w:val="44"/>
          <w:szCs w:val="44"/>
        </w:rPr>
      </w:pPr>
    </w:p>
    <w:p w14:paraId="3BC97802">
      <w:pPr>
        <w:spacing w:line="600" w:lineRule="exact"/>
        <w:jc w:val="both"/>
        <w:outlineLvl w:val="0"/>
        <w:rPr>
          <w:rFonts w:hint="eastAsia" w:ascii="黑体" w:hAnsi="黑体" w:eastAsia="黑体"/>
          <w:sz w:val="44"/>
          <w:szCs w:val="44"/>
        </w:rPr>
      </w:pPr>
    </w:p>
    <w:p w14:paraId="29DA9079">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14:paraId="665CA3D2">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6468D690">
      <w:pPr>
        <w:pStyle w:val="3"/>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2EF0CFB3">
      <w:pPr>
        <w:pStyle w:val="3"/>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296ACFCC">
      <w:pPr>
        <w:pStyle w:val="3"/>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09344742">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5C9D922E">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0ECC0156">
      <w:pPr>
        <w:pStyle w:val="3"/>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3BD4E90F">
      <w:pPr>
        <w:pStyle w:val="3"/>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700AE0FE">
      <w:pPr>
        <w:pStyle w:val="3"/>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3201768A">
      <w:pPr>
        <w:pStyle w:val="3"/>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720BCC39">
      <w:pPr>
        <w:pStyle w:val="3"/>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3A31B36D">
      <w:pPr>
        <w:pStyle w:val="3"/>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3486C55B">
      <w:pPr>
        <w:pStyle w:val="3"/>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1F399A-CBAB-4BFC-888E-86D6045EB8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AD35363-777F-46E6-BE7F-716D0767592A}"/>
  </w:font>
  <w:font w:name="仿宋">
    <w:panose1 w:val="02010609060101010101"/>
    <w:charset w:val="86"/>
    <w:family w:val="modern"/>
    <w:pitch w:val="default"/>
    <w:sig w:usb0="800002BF" w:usb1="38CF7CFA" w:usb2="00000016" w:usb3="00000000" w:csb0="00040001" w:csb1="00000000"/>
    <w:embedRegular r:id="rId3" w:fontKey="{FCA797E1-C548-434E-9426-202282783604}"/>
  </w:font>
  <w:font w:name="Cambria">
    <w:panose1 w:val="02040503050406030204"/>
    <w:charset w:val="00"/>
    <w:family w:val="roman"/>
    <w:pitch w:val="default"/>
    <w:sig w:usb0="E00002FF" w:usb1="400004FF" w:usb2="00000000" w:usb3="00000000" w:csb0="2000019F" w:csb1="00000000"/>
    <w:embedRegular r:id="rId4" w:fontKey="{F6DA1BAD-43B8-4737-B656-0F0C1C902886}"/>
  </w:font>
  <w:font w:name="仿宋_GB2312">
    <w:panose1 w:val="02010609030101010101"/>
    <w:charset w:val="86"/>
    <w:family w:val="auto"/>
    <w:pitch w:val="default"/>
    <w:sig w:usb0="00000001" w:usb1="080E0000" w:usb2="00000000" w:usb3="00000000" w:csb0="00040000" w:csb1="00000000"/>
    <w:embedRegular r:id="rId5" w:fontKey="{10DBFE6E-2E12-4FD0-BC9F-F7B44CF5D5C0}"/>
  </w:font>
  <w:font w:name="微软雅黑">
    <w:panose1 w:val="020B0503020204020204"/>
    <w:charset w:val="86"/>
    <w:family w:val="auto"/>
    <w:pitch w:val="default"/>
    <w:sig w:usb0="80000287" w:usb1="280F3C52" w:usb2="00000016" w:usb3="00000000" w:csb0="0004001F" w:csb1="00000000"/>
    <w:embedRegular r:id="rId6" w:fontKey="{D1A7FDB4-EBB5-4F81-A879-EE3C56E09CD7}"/>
  </w:font>
  <w:font w:name="方正小标宋简体">
    <w:panose1 w:val="02000000000000000000"/>
    <w:charset w:val="86"/>
    <w:family w:val="auto"/>
    <w:pitch w:val="default"/>
    <w:sig w:usb0="00000001" w:usb1="080E0000" w:usb2="00000000" w:usb3="00000000" w:csb0="00040000" w:csb1="00000000"/>
    <w:embedRegular r:id="rId7" w:fontKey="{FE2F11F8-106F-40D0-B522-687CDBBB65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0DEB5BA">
        <w:pPr>
          <w:pStyle w:val="9"/>
          <w:jc w:val="center"/>
        </w:pPr>
        <w:r>
          <w:fldChar w:fldCharType="begin"/>
        </w:r>
        <w:r>
          <w:instrText xml:space="preserve">PAGE   \* MERGEFORMAT</w:instrText>
        </w:r>
        <w:r>
          <w:fldChar w:fldCharType="separate"/>
        </w:r>
        <w:r>
          <w:rPr>
            <w:lang w:val="zh-CN"/>
          </w:rPr>
          <w:t>15</w:t>
        </w:r>
        <w:r>
          <w:fldChar w:fldCharType="end"/>
        </w:r>
      </w:p>
    </w:sdtContent>
  </w:sdt>
  <w:p w14:paraId="15EE5B5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7B4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56E07"/>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309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AED0816"/>
    <w:rsid w:val="0B536DFE"/>
    <w:rsid w:val="0B8A37D8"/>
    <w:rsid w:val="0CF74AB8"/>
    <w:rsid w:val="0E277314"/>
    <w:rsid w:val="0F5FFB2F"/>
    <w:rsid w:val="0FFFCF60"/>
    <w:rsid w:val="10A6731F"/>
    <w:rsid w:val="10C055FF"/>
    <w:rsid w:val="118107EC"/>
    <w:rsid w:val="11DD6519"/>
    <w:rsid w:val="13B905A3"/>
    <w:rsid w:val="16BB723D"/>
    <w:rsid w:val="16CA42CA"/>
    <w:rsid w:val="18015F3F"/>
    <w:rsid w:val="19F72200"/>
    <w:rsid w:val="1BE8440E"/>
    <w:rsid w:val="1C850D11"/>
    <w:rsid w:val="1D155CEE"/>
    <w:rsid w:val="1EB91E36"/>
    <w:rsid w:val="1EE579FF"/>
    <w:rsid w:val="1FDBBF84"/>
    <w:rsid w:val="20F57F95"/>
    <w:rsid w:val="240371BF"/>
    <w:rsid w:val="25711CC6"/>
    <w:rsid w:val="25C741E6"/>
    <w:rsid w:val="276F80C0"/>
    <w:rsid w:val="27842671"/>
    <w:rsid w:val="28DE6522"/>
    <w:rsid w:val="298764ED"/>
    <w:rsid w:val="29BB475A"/>
    <w:rsid w:val="29FD04D3"/>
    <w:rsid w:val="2ABE7A3E"/>
    <w:rsid w:val="2AFF09B6"/>
    <w:rsid w:val="2BB32091"/>
    <w:rsid w:val="2CA234A8"/>
    <w:rsid w:val="2D1522A6"/>
    <w:rsid w:val="2EFA178C"/>
    <w:rsid w:val="2EFDF86C"/>
    <w:rsid w:val="2F9D17E1"/>
    <w:rsid w:val="30B46D73"/>
    <w:rsid w:val="30E16A06"/>
    <w:rsid w:val="319F7F4E"/>
    <w:rsid w:val="320C7AE2"/>
    <w:rsid w:val="356A28F1"/>
    <w:rsid w:val="357C035A"/>
    <w:rsid w:val="368E000D"/>
    <w:rsid w:val="37AA4398"/>
    <w:rsid w:val="383D272C"/>
    <w:rsid w:val="38ED02B0"/>
    <w:rsid w:val="39AE70AB"/>
    <w:rsid w:val="3A4DCE41"/>
    <w:rsid w:val="3BCB56FA"/>
    <w:rsid w:val="3C0C0783"/>
    <w:rsid w:val="3E504DEF"/>
    <w:rsid w:val="3EE7C2F4"/>
    <w:rsid w:val="3F371B56"/>
    <w:rsid w:val="3F792ED8"/>
    <w:rsid w:val="3F9F3A96"/>
    <w:rsid w:val="3FECA4B2"/>
    <w:rsid w:val="3FF58C48"/>
    <w:rsid w:val="40B878E2"/>
    <w:rsid w:val="4278356F"/>
    <w:rsid w:val="42FF6694"/>
    <w:rsid w:val="48BF60AB"/>
    <w:rsid w:val="48E629B4"/>
    <w:rsid w:val="49040B0B"/>
    <w:rsid w:val="493C27E9"/>
    <w:rsid w:val="496F39ED"/>
    <w:rsid w:val="49FF41D3"/>
    <w:rsid w:val="4B684818"/>
    <w:rsid w:val="4BD21229"/>
    <w:rsid w:val="4BE068DB"/>
    <w:rsid w:val="4BF6002B"/>
    <w:rsid w:val="4BFFC6BE"/>
    <w:rsid w:val="4E6E5989"/>
    <w:rsid w:val="4ECE2238"/>
    <w:rsid w:val="506F66F7"/>
    <w:rsid w:val="51DB4B86"/>
    <w:rsid w:val="51F64DB0"/>
    <w:rsid w:val="55333C3E"/>
    <w:rsid w:val="5C184230"/>
    <w:rsid w:val="5C8F7192"/>
    <w:rsid w:val="5CDB7F0B"/>
    <w:rsid w:val="5EB46C8D"/>
    <w:rsid w:val="5F67802D"/>
    <w:rsid w:val="5F7DC4F2"/>
    <w:rsid w:val="5F887C17"/>
    <w:rsid w:val="5FB36814"/>
    <w:rsid w:val="5FBB8E56"/>
    <w:rsid w:val="5FFB5535"/>
    <w:rsid w:val="616E50FF"/>
    <w:rsid w:val="63A751F8"/>
    <w:rsid w:val="64CA39A1"/>
    <w:rsid w:val="69630ADE"/>
    <w:rsid w:val="69BD5F13"/>
    <w:rsid w:val="69FB0B4B"/>
    <w:rsid w:val="6BFFE1FB"/>
    <w:rsid w:val="6C4A05C8"/>
    <w:rsid w:val="6C57372C"/>
    <w:rsid w:val="6D3B1A89"/>
    <w:rsid w:val="6DB7D8A3"/>
    <w:rsid w:val="6EC78701"/>
    <w:rsid w:val="6F7A5481"/>
    <w:rsid w:val="6FFE07A9"/>
    <w:rsid w:val="71BF4EC2"/>
    <w:rsid w:val="71DC57AF"/>
    <w:rsid w:val="723D313B"/>
    <w:rsid w:val="72734D90"/>
    <w:rsid w:val="73E75B71"/>
    <w:rsid w:val="741131CA"/>
    <w:rsid w:val="7412278C"/>
    <w:rsid w:val="74BB5856"/>
    <w:rsid w:val="74C017D0"/>
    <w:rsid w:val="74EE0D1F"/>
    <w:rsid w:val="75DDCDA9"/>
    <w:rsid w:val="75FF44B1"/>
    <w:rsid w:val="76CA7584"/>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12842428551"/>
          <c:y val="0.0697742812134743"/>
          <c:w val="0.874143960031095"/>
          <c:h val="0.823128823926743"/>
        </c:manualLayout>
      </c:layout>
      <c:barChart>
        <c:barDir val="col"/>
        <c:grouping val="clustered"/>
        <c:varyColors val="0"/>
        <c:ser>
          <c:idx val="0"/>
          <c:order val="0"/>
          <c:tx>
            <c:strRef>
              <c:f>Sheet1!$B$1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731.35</c:v>
                </c:pt>
              </c:numCache>
            </c:numRef>
          </c:val>
        </c:ser>
        <c:ser>
          <c:idx val="1"/>
          <c:order val="1"/>
          <c:tx>
            <c:strRef>
              <c:f>Sheet1!$C$1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0.00_ </c:formatCode>
                <c:ptCount val="1"/>
                <c:pt idx="0">
                  <c:v>791.13</c:v>
                </c:pt>
              </c:numCache>
            </c:numRef>
          </c:val>
        </c:ser>
        <c:dLbls>
          <c:showLegendKey val="0"/>
          <c:showVal val="1"/>
          <c:showCatName val="0"/>
          <c:showSerName val="0"/>
          <c:showPercent val="0"/>
          <c:showBubbleSize val="0"/>
        </c:dLbls>
        <c:gapWidth val="75"/>
        <c:overlap val="-25"/>
        <c:axId val="122409344"/>
        <c:axId val="122410880"/>
      </c:barChart>
      <c:catAx>
        <c:axId val="12240934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410880"/>
        <c:crosses val="autoZero"/>
        <c:auto val="1"/>
        <c:lblAlgn val="ctr"/>
        <c:lblOffset val="100"/>
        <c:noMultiLvlLbl val="0"/>
      </c:catAx>
      <c:valAx>
        <c:axId val="1224108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409344"/>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f599815-7ae4-4dc3-98aa-5604e5e4c3d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一般公共预算财政拨款收入9</a:t>
                    </a:r>
                    <a:r>
                      <a:rPr lang="en-US" altLang="zh-CN"/>
                      <a:t>6.68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94044144795821"/>
                  <c:y val="0.2931596091205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其他收入3</a:t>
                    </a:r>
                    <a:r>
                      <a:rPr lang="en-US" altLang="zh-CN"/>
                      <a:t>.32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732.29</c:v>
                </c:pt>
                <c:pt idx="1">
                  <c:v>25.12</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52576647097195"/>
          <c:y val="0.14049945711183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3fdf104-04ef-4f45-9e3e-fcd970141d45}"/>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1660468730385"/>
                  <c:y val="-0.072884499323014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79.5</a:t>
                    </a:r>
                    <a:r>
                      <a:rPr lang="en-US" altLang="zh-CN"/>
                      <a:t>7</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2869294760562"/>
                  <c:y val="0.00803809181934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0.7956</c:v>
                </c:pt>
                <c:pt idx="1">
                  <c:v>0.2043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65c7c0c-250a-4639-ad5c-8fbbc65a5cf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91164658635"/>
          <c:y val="0.169049815498155"/>
          <c:w val="0.860943775100402"/>
          <c:h val="0.716789667896679"/>
        </c:manualLayout>
      </c:layout>
      <c:barChart>
        <c:barDir val="col"/>
        <c:grouping val="clustered"/>
        <c:varyColors val="0"/>
        <c:ser>
          <c:idx val="0"/>
          <c:order val="0"/>
          <c:tx>
            <c:strRef>
              <c:f>Sheet1!$B$1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760.18</c:v>
                </c:pt>
              </c:numCache>
            </c:numRef>
          </c:val>
        </c:ser>
        <c:ser>
          <c:idx val="1"/>
          <c:order val="1"/>
          <c:tx>
            <c:strRef>
              <c:f>Sheet1!$C$1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General</c:formatCode>
                <c:ptCount val="1"/>
                <c:pt idx="0">
                  <c:v>697.63</c:v>
                </c:pt>
              </c:numCache>
            </c:numRef>
          </c:val>
        </c:ser>
        <c:dLbls>
          <c:showLegendKey val="0"/>
          <c:showVal val="1"/>
          <c:showCatName val="0"/>
          <c:showSerName val="0"/>
          <c:showPercent val="0"/>
          <c:showBubbleSize val="0"/>
        </c:dLbls>
        <c:gapWidth val="75"/>
        <c:overlap val="-25"/>
        <c:axId val="124245504"/>
        <c:axId val="124247040"/>
      </c:barChart>
      <c:catAx>
        <c:axId val="12424550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247040"/>
        <c:crosses val="autoZero"/>
        <c:auto val="1"/>
        <c:lblAlgn val="ctr"/>
        <c:lblOffset val="100"/>
        <c:noMultiLvlLbl val="0"/>
      </c:catAx>
      <c:valAx>
        <c:axId val="12424704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245504"/>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6ca84d-4b02-45cf-bef8-de2c08735d8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97047801128"/>
          <c:y val="0.0339936414771338"/>
          <c:w val="0.890019417475728"/>
          <c:h val="0.810764872521246"/>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735.0</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735.06</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Sheet1!$C$2</c:f>
              <c:numCache>
                <c:formatCode>General</c:formatCode>
                <c:ptCount val="1"/>
                <c:pt idx="0">
                  <c:v>684.56</c:v>
                </c:pt>
              </c:numCache>
            </c:numRef>
          </c:val>
        </c:ser>
        <c:dLbls>
          <c:showLegendKey val="0"/>
          <c:showVal val="1"/>
          <c:showCatName val="0"/>
          <c:showSerName val="0"/>
          <c:showPercent val="0"/>
          <c:showBubbleSize val="0"/>
        </c:dLbls>
        <c:gapWidth val="75"/>
        <c:overlap val="-25"/>
        <c:axId val="128754048"/>
        <c:axId val="128755584"/>
      </c:barChart>
      <c:catAx>
        <c:axId val="128754048"/>
        <c:scaling>
          <c:orientation val="minMax"/>
        </c:scaling>
        <c:delete val="0"/>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755584"/>
        <c:crosses val="autoZero"/>
        <c:auto val="1"/>
        <c:lblAlgn val="ctr"/>
        <c:lblOffset val="100"/>
        <c:noMultiLvlLbl val="0"/>
      </c:catAx>
      <c:valAx>
        <c:axId val="128755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75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c0ce11-faac-4a6d-9cfa-9c95d5b6f5e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3645655877342"/>
          <c:y val="0.123067173637516"/>
          <c:w val="0.571379897785349"/>
          <c:h val="0.850190114068441"/>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t>7</a:t>
                    </a:r>
                    <a:r>
                      <a:rPr lang="en-US" altLang="zh-CN"/>
                      <a:t>8.32</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
                  <c:y val="-0.0815467464843272"/>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lang="en-US" altLang="zh-CN"/>
                      <a:t>12.9</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638464305994634"/>
                  <c:y val="-0.0283472586779328"/>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lang="en-US" altLang="zh-CN"/>
                      <a:t>2.66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lang="en-US" altLang="zh-CN"/>
                      <a:t>6.12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General</c:formatCode>
                <c:ptCount val="4"/>
                <c:pt idx="0">
                  <c:v>535.32</c:v>
                </c:pt>
                <c:pt idx="1">
                  <c:v>83.36</c:v>
                </c:pt>
                <c:pt idx="2">
                  <c:v>46.77</c:v>
                </c:pt>
                <c:pt idx="3">
                  <c:v>84.15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1669505962521"/>
          <c:y val="0.376045627376426"/>
        </c:manualLayout>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015ca57-d430-45b0-be32-fd45ef81198f}"/>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e02e2e1-f3f0-4e7b-ad27-e1b6e54393b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4589</Words>
  <Characters>6095</Characters>
  <Lines>54</Lines>
  <Paragraphs>15</Paragraphs>
  <TotalTime>3</TotalTime>
  <ScaleCrop>false</ScaleCrop>
  <LinksUpToDate>false</LinksUpToDate>
  <CharactersWithSpaces>6156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2024-10-31T00:38:36Z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C7FA1A11DC454F9DB846433B31672A63_13</vt:lpwstr>
  </property>
</Properties>
</file>