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5414F">
      <w:pPr>
        <w:spacing w:line="600" w:lineRule="exact"/>
        <w:jc w:val="left"/>
        <w:outlineLvl w:val="0"/>
        <w:rPr>
          <w:rFonts w:ascii="方正小标宋简体" w:hAnsi="宋体" w:eastAsia="方正小标宋简体"/>
          <w:szCs w:val="21"/>
        </w:rPr>
      </w:pPr>
      <w:bookmarkStart w:id="0" w:name="_Toc15306267"/>
    </w:p>
    <w:p w14:paraId="29C25D34">
      <w:pPr>
        <w:pStyle w:val="2"/>
        <w:spacing w:before="93"/>
      </w:pPr>
    </w:p>
    <w:p w14:paraId="5E33EA77">
      <w:pPr>
        <w:spacing w:line="600" w:lineRule="exact"/>
        <w:jc w:val="center"/>
        <w:outlineLvl w:val="0"/>
        <w:rPr>
          <w:rFonts w:ascii="方正小标宋简体" w:hAnsi="宋体" w:eastAsia="方正小标宋简体"/>
          <w:sz w:val="72"/>
          <w:szCs w:val="72"/>
        </w:rPr>
      </w:pPr>
    </w:p>
    <w:p w14:paraId="3D1CF31F">
      <w:pPr>
        <w:spacing w:line="600" w:lineRule="exact"/>
        <w:jc w:val="center"/>
        <w:outlineLvl w:val="0"/>
        <w:rPr>
          <w:rFonts w:ascii="方正小标宋简体" w:hAnsi="宋体" w:eastAsia="方正小标宋简体"/>
          <w:sz w:val="72"/>
          <w:szCs w:val="72"/>
        </w:rPr>
      </w:pPr>
    </w:p>
    <w:p w14:paraId="5A4B098E">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1" w:name="_Toc15377193"/>
      <w:bookmarkStart w:id="2" w:name="_Toc15396475"/>
      <w:bookmarkStart w:id="3" w:name="_Toc15377425"/>
      <w:bookmarkStart w:id="4" w:name="_Toc15396597"/>
      <w:bookmarkStart w:id="5" w:name="_Toc15378441"/>
    </w:p>
    <w:p w14:paraId="19DB1058">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p>
    <w:p w14:paraId="0F704C18">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bookmarkEnd w:id="0"/>
    <w:p w14:paraId="52912545">
      <w:pPr>
        <w:adjustRightInd w:val="0"/>
        <w:snapToGrid w:val="0"/>
        <w:spacing w:line="360" w:lineRule="auto"/>
        <w:jc w:val="center"/>
        <w:outlineLvl w:val="0"/>
        <w:rPr>
          <w:rFonts w:hint="eastAsia" w:ascii="方正小标宋简体" w:hAnsi="方正小标宋简体" w:eastAsia="方正小标宋简体" w:cs="方正小标宋简体"/>
          <w:sz w:val="72"/>
          <w:szCs w:val="72"/>
          <w:lang w:val="en-US" w:eastAsia="zh-CN"/>
        </w:rPr>
      </w:pPr>
      <w:bookmarkStart w:id="6" w:name="_Toc15377194"/>
      <w:bookmarkStart w:id="7" w:name="_Toc15396598"/>
      <w:bookmarkStart w:id="8" w:name="_Toc15396476"/>
      <w:bookmarkStart w:id="9" w:name="_Toc15306268"/>
      <w:bookmarkStart w:id="10" w:name="_Toc15378442"/>
      <w:bookmarkStart w:id="11" w:name="_Toc15377426"/>
      <w:r>
        <w:rPr>
          <w:rFonts w:hint="eastAsia" w:ascii="方正小标宋简体" w:hAnsi="方正小标宋简体" w:eastAsia="方正小标宋简体" w:cs="方正小标宋简体"/>
          <w:sz w:val="72"/>
          <w:szCs w:val="72"/>
          <w:lang w:val="en-US" w:eastAsia="zh-CN"/>
        </w:rPr>
        <w:t>峨边彝族自治县金岩乡</w:t>
      </w:r>
    </w:p>
    <w:p w14:paraId="7CE05A44">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lang w:val="en-US" w:eastAsia="zh-CN"/>
        </w:rPr>
        <w:t>中心小学</w:t>
      </w:r>
      <w:r>
        <w:rPr>
          <w:rFonts w:hint="eastAsia" w:ascii="方正小标宋简体" w:hAnsi="方正小标宋简体" w:eastAsia="方正小标宋简体" w:cs="方正小标宋简体"/>
          <w:sz w:val="72"/>
          <w:szCs w:val="72"/>
        </w:rPr>
        <w:t>单位决算</w:t>
      </w:r>
      <w:bookmarkEnd w:id="6"/>
      <w:bookmarkEnd w:id="7"/>
      <w:bookmarkEnd w:id="8"/>
      <w:bookmarkEnd w:id="9"/>
      <w:bookmarkEnd w:id="10"/>
      <w:bookmarkEnd w:id="11"/>
    </w:p>
    <w:p w14:paraId="3D24332C">
      <w:pPr>
        <w:widowControl/>
        <w:jc w:val="center"/>
        <w:rPr>
          <w:rFonts w:ascii="方正小标宋简体" w:hAnsi="宋体" w:eastAsia="方正小标宋简体"/>
          <w:sz w:val="36"/>
          <w:szCs w:val="36"/>
        </w:rPr>
      </w:pPr>
    </w:p>
    <w:p w14:paraId="6681BADA">
      <w:pPr>
        <w:bidi w:val="0"/>
        <w:rPr>
          <w:rFonts w:ascii="方正小标宋简体" w:hAnsi="宋体" w:eastAsia="方正小标宋简体"/>
          <w:sz w:val="36"/>
          <w:szCs w:val="36"/>
        </w:rPr>
      </w:pPr>
    </w:p>
    <w:p w14:paraId="29E70114">
      <w:pPr>
        <w:bidi w:val="0"/>
        <w:rPr>
          <w:rFonts w:ascii="方正小标宋简体" w:hAnsi="宋体" w:eastAsia="方正小标宋简体"/>
          <w:sz w:val="36"/>
          <w:szCs w:val="36"/>
        </w:rPr>
      </w:pPr>
    </w:p>
    <w:p w14:paraId="33A28C7F">
      <w:pPr>
        <w:bidi w:val="0"/>
        <w:rPr>
          <w:rFonts w:ascii="方正小标宋简体" w:hAnsi="宋体" w:eastAsia="方正小标宋简体"/>
          <w:sz w:val="36"/>
          <w:szCs w:val="36"/>
        </w:rPr>
      </w:pPr>
    </w:p>
    <w:p w14:paraId="496A70E6">
      <w:pPr>
        <w:bidi w:val="0"/>
        <w:rPr>
          <w:rFonts w:ascii="方正小标宋简体" w:hAnsi="宋体" w:eastAsia="方正小标宋简体"/>
          <w:sz w:val="36"/>
          <w:szCs w:val="36"/>
        </w:rPr>
      </w:pPr>
    </w:p>
    <w:p w14:paraId="5E49C47E">
      <w:pPr>
        <w:bidi w:val="0"/>
        <w:jc w:val="center"/>
        <w:rPr>
          <w:rFonts w:ascii="黑体" w:hAnsi="黑体" w:eastAsia="黑体"/>
          <w:sz w:val="48"/>
          <w:szCs w:val="48"/>
        </w:rPr>
      </w:pPr>
      <w:r>
        <w:rPr>
          <w:rFonts w:hint="eastAsia" w:ascii="黑体" w:hAnsi="黑体" w:eastAsia="黑体"/>
          <w:sz w:val="48"/>
          <w:szCs w:val="48"/>
        </w:rPr>
        <w:t>目录</w:t>
      </w:r>
    </w:p>
    <w:p w14:paraId="1F4CD7B9">
      <w:pPr>
        <w:pStyle w:val="11"/>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月</w:t>
      </w:r>
      <w:r>
        <w:rPr>
          <w:rFonts w:hint="eastAsia"/>
          <w:lang w:val="en-US" w:eastAsia="zh-CN"/>
        </w:rPr>
        <w:t>29</w:t>
      </w:r>
      <w:r>
        <w:rPr>
          <w:rFonts w:hint="eastAsia"/>
        </w:rPr>
        <w:t>日</w:t>
      </w:r>
    </w:p>
    <w:p w14:paraId="5EBF6FB1">
      <w:pPr>
        <w:widowControl/>
        <w:jc w:val="center"/>
        <w:rPr>
          <w:rFonts w:ascii="黑体" w:hAnsi="黑体" w:eastAsia="黑体" w:cstheme="minorBidi"/>
          <w:sz w:val="28"/>
          <w:szCs w:val="28"/>
        </w:rPr>
      </w:pPr>
    </w:p>
    <w:p w14:paraId="1E95D49E"/>
    <w:p w14:paraId="018A6F4B">
      <w:pPr>
        <w:pStyle w:val="11"/>
        <w:adjustRightInd w:val="0"/>
        <w:snapToGrid w:val="0"/>
        <w:spacing w:before="0" w:line="440" w:lineRule="exact"/>
        <w:jc w:val="left"/>
        <w:rPr>
          <w:rFonts w:hint="default" w:eastAsia="仿宋" w:cstheme="minorBidi"/>
          <w:sz w:val="24"/>
          <w:szCs w:val="24"/>
          <w:lang w:val="en-US" w:eastAsia="zh-CN"/>
        </w:rPr>
      </w:pPr>
      <w:r>
        <w:rPr>
          <w:rFonts w:hint="eastAsia"/>
          <w:sz w:val="24"/>
        </w:rPr>
        <w:t>第一部分</w:t>
      </w:r>
      <w:r>
        <w:rPr>
          <w:sz w:val="24"/>
        </w:rPr>
        <w:t xml:space="preserve"> </w:t>
      </w:r>
      <w:r>
        <w:rPr>
          <w:rFonts w:hint="eastAsia"/>
          <w:sz w:val="24"/>
        </w:rPr>
        <w:t>单位概况</w:t>
      </w:r>
      <w:r>
        <w:rPr>
          <w:rFonts w:hint="eastAsia"/>
          <w:sz w:val="24"/>
          <w:lang w:val="en-US" w:eastAsia="zh-CN"/>
        </w:rPr>
        <w:t>.............................................4</w:t>
      </w:r>
    </w:p>
    <w:p w14:paraId="27B83938">
      <w:pPr>
        <w:pStyle w:val="12"/>
        <w:adjustRightInd w:val="0"/>
        <w:snapToGrid w:val="0"/>
        <w:spacing w:line="440" w:lineRule="exact"/>
        <w:jc w:val="left"/>
        <w:rPr>
          <w:rFonts w:hint="default"/>
          <w:sz w:val="24"/>
          <w:lang w:val="en-US"/>
        </w:rPr>
      </w:pPr>
      <w:r>
        <w:rPr>
          <w:rFonts w:hint="eastAsia"/>
          <w:sz w:val="24"/>
        </w:rPr>
        <w:t>一、主要职责</w:t>
      </w:r>
      <w:r>
        <w:rPr>
          <w:rFonts w:hint="eastAsia"/>
          <w:sz w:val="24"/>
          <w:lang w:val="en-US" w:eastAsia="zh-CN"/>
        </w:rPr>
        <w:t>.............................................................................................4</w:t>
      </w:r>
    </w:p>
    <w:p w14:paraId="1EDA5BAF">
      <w:pPr>
        <w:pStyle w:val="12"/>
        <w:adjustRightInd w:val="0"/>
        <w:snapToGrid w:val="0"/>
        <w:spacing w:line="440" w:lineRule="exact"/>
        <w:jc w:val="left"/>
        <w:rPr>
          <w:rFonts w:hint="default"/>
          <w:lang w:val="en-US"/>
        </w:rPr>
      </w:pPr>
      <w:r>
        <w:rPr>
          <w:rFonts w:hint="eastAsia"/>
          <w:sz w:val="24"/>
        </w:rPr>
        <w:t>二、机构设置</w:t>
      </w:r>
      <w:r>
        <w:rPr>
          <w:rFonts w:hint="eastAsia"/>
          <w:sz w:val="24"/>
          <w:lang w:val="en-US" w:eastAsia="zh-CN"/>
        </w:rPr>
        <w:t>.............................................................................................5</w:t>
      </w:r>
    </w:p>
    <w:p w14:paraId="67036756">
      <w:pPr>
        <w:pStyle w:val="11"/>
        <w:adjustRightInd w:val="0"/>
        <w:snapToGrid w:val="0"/>
        <w:spacing w:before="0" w:line="440" w:lineRule="exact"/>
        <w:jc w:val="left"/>
        <w:rPr>
          <w:rFonts w:hint="default"/>
          <w:sz w:val="24"/>
          <w:szCs w:val="24"/>
          <w:lang w:val="en-US"/>
        </w:rPr>
      </w:pPr>
      <w:r>
        <w:rPr>
          <w:rFonts w:hint="eastAsia"/>
          <w:sz w:val="24"/>
        </w:rPr>
        <w:t>第二部分 2023年度单位决算情况说明</w:t>
      </w:r>
      <w:r>
        <w:rPr>
          <w:rFonts w:hint="eastAsia"/>
          <w:sz w:val="24"/>
          <w:lang w:val="en-US" w:eastAsia="zh-CN"/>
        </w:rPr>
        <w:t>.............................6</w:t>
      </w:r>
    </w:p>
    <w:p w14:paraId="2FDB73B3">
      <w:pPr>
        <w:pStyle w:val="12"/>
        <w:adjustRightInd w:val="0"/>
        <w:snapToGrid w:val="0"/>
        <w:spacing w:line="440" w:lineRule="exact"/>
        <w:jc w:val="left"/>
        <w:rPr>
          <w:rFonts w:hint="default" w:ascii="仿宋" w:hAnsi="仿宋" w:eastAsia="仿宋" w:cstheme="minorBidi"/>
          <w:sz w:val="24"/>
          <w:lang w:val="en-US"/>
        </w:rPr>
      </w:pPr>
      <w:r>
        <w:rPr>
          <w:rFonts w:hint="eastAsia"/>
          <w:sz w:val="24"/>
        </w:rPr>
        <w:t>一、收入支出决算总体情况说明</w:t>
      </w:r>
      <w:r>
        <w:rPr>
          <w:rFonts w:hint="eastAsia"/>
          <w:sz w:val="24"/>
          <w:lang w:val="en-US" w:eastAsia="zh-CN"/>
        </w:rPr>
        <w:t>..............................................................6</w:t>
      </w:r>
    </w:p>
    <w:p w14:paraId="21604721">
      <w:pPr>
        <w:pStyle w:val="12"/>
        <w:adjustRightInd w:val="0"/>
        <w:snapToGrid w:val="0"/>
        <w:spacing w:line="440" w:lineRule="exact"/>
        <w:jc w:val="left"/>
        <w:rPr>
          <w:rFonts w:hint="default" w:ascii="仿宋" w:hAnsi="仿宋" w:eastAsia="仿宋" w:cstheme="minorBidi"/>
          <w:sz w:val="24"/>
          <w:lang w:val="en-US"/>
        </w:rPr>
      </w:pPr>
      <w:r>
        <w:rPr>
          <w:rFonts w:hint="eastAsia"/>
          <w:sz w:val="24"/>
        </w:rPr>
        <w:t>二、收入决算情况说明</w:t>
      </w:r>
      <w:r>
        <w:rPr>
          <w:rFonts w:hint="eastAsia"/>
          <w:sz w:val="24"/>
          <w:lang w:val="en-US" w:eastAsia="zh-CN"/>
        </w:rPr>
        <w:t>..............................................................................6</w:t>
      </w:r>
    </w:p>
    <w:p w14:paraId="7793D9D5">
      <w:pPr>
        <w:pStyle w:val="12"/>
        <w:adjustRightInd w:val="0"/>
        <w:snapToGrid w:val="0"/>
        <w:spacing w:line="440" w:lineRule="exact"/>
        <w:jc w:val="left"/>
        <w:rPr>
          <w:rFonts w:hint="default" w:ascii="仿宋" w:hAnsi="仿宋" w:eastAsia="仿宋" w:cstheme="minorBidi"/>
          <w:sz w:val="24"/>
          <w:lang w:val="en-US"/>
        </w:rPr>
      </w:pPr>
      <w:r>
        <w:rPr>
          <w:rFonts w:hint="eastAsia"/>
          <w:sz w:val="24"/>
        </w:rPr>
        <w:t>三、支出决算情况说明</w:t>
      </w:r>
      <w:r>
        <w:rPr>
          <w:rFonts w:hint="eastAsia"/>
          <w:sz w:val="24"/>
          <w:lang w:val="en-US" w:eastAsia="zh-CN"/>
        </w:rPr>
        <w:t>..............................................................................7</w:t>
      </w:r>
    </w:p>
    <w:p w14:paraId="56C28C38">
      <w:pPr>
        <w:pStyle w:val="12"/>
        <w:adjustRightInd w:val="0"/>
        <w:snapToGrid w:val="0"/>
        <w:spacing w:line="440" w:lineRule="exact"/>
        <w:jc w:val="left"/>
        <w:rPr>
          <w:rFonts w:hint="default" w:ascii="仿宋" w:hAnsi="仿宋" w:eastAsia="仿宋" w:cstheme="minorBidi"/>
          <w:sz w:val="24"/>
          <w:lang w:val="en-US"/>
        </w:rPr>
      </w:pPr>
      <w:r>
        <w:rPr>
          <w:rFonts w:hint="eastAsia"/>
          <w:sz w:val="24"/>
        </w:rPr>
        <w:t>四、财政拨款收入支出决算总体情况说明</w:t>
      </w:r>
      <w:r>
        <w:rPr>
          <w:rFonts w:hint="eastAsia"/>
          <w:sz w:val="24"/>
          <w:lang w:val="en-US" w:eastAsia="zh-CN"/>
        </w:rPr>
        <w:t>...............................................8</w:t>
      </w:r>
    </w:p>
    <w:p w14:paraId="3A6CDB65">
      <w:pPr>
        <w:pStyle w:val="12"/>
        <w:adjustRightInd w:val="0"/>
        <w:snapToGrid w:val="0"/>
        <w:spacing w:line="440" w:lineRule="exact"/>
        <w:jc w:val="left"/>
        <w:rPr>
          <w:rFonts w:hint="default" w:ascii="仿宋" w:hAnsi="仿宋" w:eastAsia="仿宋" w:cstheme="minorBidi"/>
          <w:sz w:val="24"/>
          <w:lang w:val="en-US"/>
        </w:rPr>
      </w:pPr>
      <w:r>
        <w:rPr>
          <w:rFonts w:hint="eastAsia"/>
          <w:sz w:val="24"/>
        </w:rPr>
        <w:t>五、一般公共预算财政拨款支出决算情况说明</w:t>
      </w:r>
      <w:r>
        <w:rPr>
          <w:rFonts w:hint="eastAsia"/>
          <w:sz w:val="24"/>
          <w:lang w:val="en-US" w:eastAsia="zh-CN"/>
        </w:rPr>
        <w:t>.......................................9</w:t>
      </w:r>
    </w:p>
    <w:p w14:paraId="5F567E19">
      <w:pPr>
        <w:pStyle w:val="12"/>
        <w:adjustRightInd w:val="0"/>
        <w:snapToGrid w:val="0"/>
        <w:spacing w:line="440" w:lineRule="exact"/>
        <w:jc w:val="left"/>
        <w:rPr>
          <w:rFonts w:hint="default" w:ascii="仿宋" w:hAnsi="仿宋" w:eastAsia="仿宋" w:cstheme="minorBidi"/>
          <w:sz w:val="24"/>
          <w:lang w:val="en-US"/>
        </w:rPr>
      </w:pPr>
      <w:r>
        <w:rPr>
          <w:rFonts w:hint="eastAsia"/>
          <w:sz w:val="24"/>
        </w:rPr>
        <w:t>六、一般公共预算财政拨款基本支出决算情况说明</w:t>
      </w:r>
      <w:r>
        <w:rPr>
          <w:rFonts w:hint="eastAsia"/>
          <w:sz w:val="24"/>
          <w:lang w:val="en-US" w:eastAsia="zh-CN"/>
        </w:rPr>
        <w:t>.............................12</w:t>
      </w:r>
    </w:p>
    <w:p w14:paraId="78475865">
      <w:pPr>
        <w:pStyle w:val="12"/>
        <w:adjustRightInd w:val="0"/>
        <w:snapToGrid w:val="0"/>
        <w:spacing w:line="440" w:lineRule="exact"/>
        <w:jc w:val="left"/>
        <w:rPr>
          <w:rFonts w:hint="default" w:ascii="仿宋" w:hAnsi="仿宋" w:eastAsia="仿宋" w:cstheme="minorBidi"/>
          <w:sz w:val="24"/>
          <w:lang w:val="en-US"/>
        </w:rPr>
      </w:pPr>
      <w:r>
        <w:rPr>
          <w:rFonts w:hint="eastAsia"/>
          <w:sz w:val="24"/>
        </w:rPr>
        <w:t>七、财政拨款“三公”经费支出决算情况说明</w:t>
      </w:r>
      <w:r>
        <w:rPr>
          <w:rFonts w:hint="eastAsia"/>
          <w:sz w:val="24"/>
          <w:lang w:val="en-US" w:eastAsia="zh-CN"/>
        </w:rPr>
        <w:t>.....................................12</w:t>
      </w:r>
    </w:p>
    <w:p w14:paraId="1F2DF08F">
      <w:pPr>
        <w:pStyle w:val="12"/>
        <w:adjustRightInd w:val="0"/>
        <w:snapToGrid w:val="0"/>
        <w:spacing w:line="440" w:lineRule="exact"/>
        <w:jc w:val="left"/>
        <w:rPr>
          <w:rFonts w:hint="default" w:ascii="仿宋" w:hAnsi="仿宋" w:eastAsia="仿宋" w:cstheme="minorBidi"/>
          <w:sz w:val="24"/>
          <w:lang w:val="en-US"/>
        </w:rPr>
      </w:pPr>
      <w:r>
        <w:rPr>
          <w:rFonts w:hint="eastAsia"/>
          <w:sz w:val="24"/>
        </w:rPr>
        <w:t>八、政府性基金预算支出决算情况说明</w:t>
      </w:r>
      <w:r>
        <w:rPr>
          <w:rFonts w:hint="eastAsia"/>
          <w:sz w:val="24"/>
          <w:lang w:val="en-US" w:eastAsia="zh-CN"/>
        </w:rPr>
        <w:t>.................................................14</w:t>
      </w:r>
    </w:p>
    <w:p w14:paraId="1E387E69">
      <w:pPr>
        <w:pStyle w:val="12"/>
        <w:adjustRightInd w:val="0"/>
        <w:snapToGrid w:val="0"/>
        <w:spacing w:line="440" w:lineRule="exact"/>
        <w:jc w:val="left"/>
        <w:rPr>
          <w:rFonts w:hint="default"/>
          <w:sz w:val="24"/>
          <w:lang w:val="en-US"/>
        </w:rPr>
      </w:pPr>
      <w:r>
        <w:rPr>
          <w:rFonts w:hint="eastAsia"/>
          <w:sz w:val="24"/>
        </w:rPr>
        <w:t>九、国有资本经营预算支出决算情况说明</w:t>
      </w:r>
      <w:r>
        <w:rPr>
          <w:rFonts w:hint="eastAsia"/>
          <w:sz w:val="24"/>
          <w:lang w:val="en-US" w:eastAsia="zh-CN"/>
        </w:rPr>
        <w:t>.............................................14</w:t>
      </w:r>
    </w:p>
    <w:p w14:paraId="1E57AA5E">
      <w:pPr>
        <w:pStyle w:val="12"/>
        <w:adjustRightInd w:val="0"/>
        <w:snapToGrid w:val="0"/>
        <w:spacing w:line="440" w:lineRule="exact"/>
        <w:jc w:val="left"/>
        <w:rPr>
          <w:rFonts w:hint="default"/>
          <w:sz w:val="24"/>
          <w:lang w:val="en-US"/>
        </w:rPr>
      </w:pPr>
      <w:r>
        <w:rPr>
          <w:rFonts w:hint="eastAsia"/>
          <w:sz w:val="24"/>
        </w:rPr>
        <w:t>十、其他重要事项的情况说明</w:t>
      </w:r>
      <w:r>
        <w:rPr>
          <w:rFonts w:hint="eastAsia"/>
          <w:sz w:val="24"/>
          <w:lang w:val="en-US" w:eastAsia="zh-CN"/>
        </w:rPr>
        <w:t>.................................................................14</w:t>
      </w:r>
    </w:p>
    <w:p w14:paraId="3126A25E">
      <w:pPr>
        <w:pStyle w:val="11"/>
        <w:adjustRightInd w:val="0"/>
        <w:snapToGrid w:val="0"/>
        <w:spacing w:before="0" w:line="440" w:lineRule="exact"/>
        <w:jc w:val="left"/>
        <w:rPr>
          <w:rFonts w:hint="default" w:cstheme="minorBidi"/>
          <w:sz w:val="24"/>
          <w:szCs w:val="24"/>
          <w:lang w:val="en-US"/>
        </w:rPr>
      </w:pPr>
      <w:r>
        <w:rPr>
          <w:rFonts w:hint="eastAsia"/>
          <w:sz w:val="24"/>
        </w:rPr>
        <w:t>第三部分</w:t>
      </w:r>
      <w:r>
        <w:rPr>
          <w:sz w:val="24"/>
        </w:rPr>
        <w:t xml:space="preserve"> </w:t>
      </w:r>
      <w:r>
        <w:rPr>
          <w:rFonts w:hint="eastAsia"/>
          <w:sz w:val="24"/>
        </w:rPr>
        <w:t>名词解释</w:t>
      </w:r>
      <w:r>
        <w:rPr>
          <w:rFonts w:hint="eastAsia"/>
          <w:sz w:val="24"/>
          <w:lang w:val="en-US" w:eastAsia="zh-CN"/>
        </w:rPr>
        <w:t>.............................................15</w:t>
      </w:r>
    </w:p>
    <w:p w14:paraId="3A15DCE3">
      <w:pPr>
        <w:pStyle w:val="11"/>
        <w:adjustRightInd w:val="0"/>
        <w:snapToGrid w:val="0"/>
        <w:spacing w:before="0" w:line="440" w:lineRule="exact"/>
        <w:jc w:val="left"/>
        <w:rPr>
          <w:rFonts w:hint="default" w:cstheme="minorBidi"/>
          <w:sz w:val="24"/>
          <w:szCs w:val="24"/>
          <w:lang w:val="en-US"/>
        </w:rPr>
      </w:pPr>
      <w:r>
        <w:rPr>
          <w:rFonts w:hint="eastAsia"/>
          <w:sz w:val="24"/>
        </w:rPr>
        <w:t>第四部分</w:t>
      </w:r>
      <w:r>
        <w:rPr>
          <w:sz w:val="24"/>
        </w:rPr>
        <w:t xml:space="preserve"> </w:t>
      </w:r>
      <w:r>
        <w:rPr>
          <w:rFonts w:hint="eastAsia"/>
          <w:sz w:val="24"/>
        </w:rPr>
        <w:t>附件</w:t>
      </w:r>
      <w:r>
        <w:rPr>
          <w:rFonts w:hint="eastAsia"/>
          <w:sz w:val="24"/>
          <w:lang w:val="en-US" w:eastAsia="zh-CN"/>
        </w:rPr>
        <w:t>.................................................19</w:t>
      </w:r>
    </w:p>
    <w:p w14:paraId="3CD9380B">
      <w:pPr>
        <w:pStyle w:val="11"/>
        <w:adjustRightInd w:val="0"/>
        <w:snapToGrid w:val="0"/>
        <w:spacing w:before="0" w:line="440" w:lineRule="exact"/>
        <w:jc w:val="left"/>
        <w:rPr>
          <w:rFonts w:hint="eastAsia"/>
          <w:sz w:val="24"/>
          <w:lang w:val="en-US" w:eastAsia="zh-CN"/>
        </w:rPr>
      </w:pPr>
      <w:r>
        <w:rPr>
          <w:rFonts w:hint="eastAsia"/>
          <w:sz w:val="24"/>
        </w:rPr>
        <w:t>第五部分</w:t>
      </w:r>
      <w:r>
        <w:rPr>
          <w:sz w:val="24"/>
        </w:rPr>
        <w:t xml:space="preserve"> </w:t>
      </w:r>
      <w:r>
        <w:rPr>
          <w:rFonts w:hint="eastAsia"/>
          <w:sz w:val="24"/>
        </w:rPr>
        <w:t>附表</w:t>
      </w:r>
      <w:r>
        <w:rPr>
          <w:rFonts w:hint="eastAsia"/>
          <w:sz w:val="24"/>
          <w:lang w:val="en-US" w:eastAsia="zh-CN"/>
        </w:rPr>
        <w:t>.................................................26</w:t>
      </w:r>
    </w:p>
    <w:p w14:paraId="36887844">
      <w:pPr>
        <w:pStyle w:val="12"/>
        <w:adjustRightInd w:val="0"/>
        <w:snapToGrid w:val="0"/>
        <w:spacing w:line="440" w:lineRule="exact"/>
        <w:jc w:val="left"/>
        <w:rPr>
          <w:rFonts w:hint="default" w:eastAsia="宋体"/>
          <w:sz w:val="24"/>
          <w:lang w:val="en-US" w:eastAsia="zh-CN"/>
        </w:rPr>
      </w:pPr>
      <w:r>
        <w:rPr>
          <w:rFonts w:hint="eastAsia"/>
          <w:sz w:val="24"/>
        </w:rPr>
        <w:t>一、收入支出决算总表</w:t>
      </w:r>
      <w:r>
        <w:rPr>
          <w:rFonts w:hint="eastAsia"/>
          <w:sz w:val="24"/>
          <w:lang w:val="en-US" w:eastAsia="zh-CN"/>
        </w:rPr>
        <w:t>.............................................................................26</w:t>
      </w:r>
    </w:p>
    <w:p w14:paraId="0B2AA144">
      <w:pPr>
        <w:pStyle w:val="12"/>
        <w:adjustRightInd w:val="0"/>
        <w:snapToGrid w:val="0"/>
        <w:spacing w:line="440" w:lineRule="exact"/>
        <w:jc w:val="left"/>
        <w:rPr>
          <w:rFonts w:hint="default" w:eastAsia="宋体"/>
          <w:sz w:val="24"/>
          <w:lang w:val="en-US" w:eastAsia="zh-CN"/>
        </w:rPr>
      </w:pPr>
      <w:r>
        <w:rPr>
          <w:rFonts w:hint="eastAsia"/>
          <w:sz w:val="24"/>
        </w:rPr>
        <w:t>二、收入决算表</w:t>
      </w:r>
      <w:r>
        <w:rPr>
          <w:rFonts w:hint="eastAsia"/>
          <w:sz w:val="24"/>
          <w:lang w:val="en-US" w:eastAsia="zh-CN"/>
        </w:rPr>
        <w:t>.........................................................................................26</w:t>
      </w:r>
    </w:p>
    <w:p w14:paraId="6E1ACFE5">
      <w:pPr>
        <w:pStyle w:val="12"/>
        <w:adjustRightInd w:val="0"/>
        <w:snapToGrid w:val="0"/>
        <w:spacing w:line="440" w:lineRule="exact"/>
        <w:jc w:val="left"/>
        <w:rPr>
          <w:rFonts w:hint="default" w:eastAsia="宋体"/>
          <w:sz w:val="24"/>
          <w:lang w:val="en-US" w:eastAsia="zh-CN"/>
        </w:rPr>
      </w:pPr>
      <w:r>
        <w:rPr>
          <w:rFonts w:hint="eastAsia"/>
          <w:sz w:val="24"/>
        </w:rPr>
        <w:t>三、支出决算表</w:t>
      </w:r>
      <w:r>
        <w:rPr>
          <w:rFonts w:hint="eastAsia"/>
          <w:sz w:val="24"/>
          <w:lang w:val="en-US" w:eastAsia="zh-CN"/>
        </w:rPr>
        <w:t>..........................................................................................26</w:t>
      </w:r>
    </w:p>
    <w:p w14:paraId="10372F0C">
      <w:pPr>
        <w:pStyle w:val="12"/>
        <w:adjustRightInd w:val="0"/>
        <w:snapToGrid w:val="0"/>
        <w:spacing w:line="440" w:lineRule="exact"/>
        <w:jc w:val="left"/>
        <w:rPr>
          <w:rFonts w:hint="default" w:eastAsia="宋体"/>
          <w:sz w:val="24"/>
          <w:lang w:val="en-US" w:eastAsia="zh-CN"/>
        </w:rPr>
      </w:pPr>
      <w:r>
        <w:rPr>
          <w:rFonts w:hint="eastAsia"/>
          <w:sz w:val="24"/>
        </w:rPr>
        <w:t>四、财政拨款收入支出决算总表</w:t>
      </w:r>
      <w:r>
        <w:rPr>
          <w:rFonts w:hint="eastAsia"/>
          <w:sz w:val="24"/>
          <w:lang w:val="en-US" w:eastAsia="zh-CN"/>
        </w:rPr>
        <w:t>..............................................................26</w:t>
      </w:r>
    </w:p>
    <w:p w14:paraId="13AD98D7">
      <w:pPr>
        <w:pStyle w:val="12"/>
        <w:adjustRightInd w:val="0"/>
        <w:snapToGrid w:val="0"/>
        <w:spacing w:line="440" w:lineRule="exact"/>
        <w:jc w:val="left"/>
        <w:rPr>
          <w:rFonts w:hint="default" w:eastAsia="宋体"/>
          <w:sz w:val="24"/>
          <w:lang w:val="en-US" w:eastAsia="zh-CN"/>
        </w:rPr>
      </w:pPr>
      <w:r>
        <w:rPr>
          <w:rFonts w:hint="eastAsia"/>
          <w:sz w:val="24"/>
        </w:rPr>
        <w:t>五、财政拨款支出决算明细表</w:t>
      </w:r>
      <w:r>
        <w:rPr>
          <w:rFonts w:hint="eastAsia"/>
          <w:sz w:val="24"/>
          <w:lang w:val="en-US" w:eastAsia="zh-CN"/>
        </w:rPr>
        <w:t>..................................................................26</w:t>
      </w:r>
    </w:p>
    <w:p w14:paraId="480ACFE6">
      <w:pPr>
        <w:pStyle w:val="12"/>
        <w:adjustRightInd w:val="0"/>
        <w:snapToGrid w:val="0"/>
        <w:spacing w:line="440" w:lineRule="exact"/>
        <w:jc w:val="left"/>
        <w:rPr>
          <w:rFonts w:hint="default" w:eastAsia="宋体"/>
          <w:sz w:val="24"/>
          <w:lang w:val="en-US" w:eastAsia="zh-CN"/>
        </w:rPr>
      </w:pPr>
      <w:r>
        <w:rPr>
          <w:rFonts w:hint="eastAsia"/>
          <w:sz w:val="24"/>
        </w:rPr>
        <w:t>六、一般公共预算财政拨款支出决算表</w:t>
      </w:r>
      <w:r>
        <w:rPr>
          <w:rFonts w:hint="eastAsia"/>
          <w:sz w:val="24"/>
          <w:lang w:val="en-US" w:eastAsia="zh-CN"/>
        </w:rPr>
        <w:t>..................................................26</w:t>
      </w:r>
    </w:p>
    <w:p w14:paraId="676300DC">
      <w:pPr>
        <w:pStyle w:val="12"/>
        <w:adjustRightInd w:val="0"/>
        <w:snapToGrid w:val="0"/>
        <w:spacing w:line="440" w:lineRule="exact"/>
        <w:jc w:val="left"/>
        <w:rPr>
          <w:rFonts w:hint="default" w:eastAsia="宋体"/>
          <w:sz w:val="24"/>
          <w:lang w:val="en-US" w:eastAsia="zh-CN"/>
        </w:rPr>
      </w:pPr>
      <w:r>
        <w:rPr>
          <w:rFonts w:hint="eastAsia"/>
          <w:sz w:val="24"/>
        </w:rPr>
        <w:t>七、一般公共预算财政拨款支出决算明细表</w:t>
      </w:r>
      <w:r>
        <w:rPr>
          <w:rFonts w:hint="eastAsia"/>
          <w:sz w:val="24"/>
          <w:lang w:val="en-US" w:eastAsia="zh-CN"/>
        </w:rPr>
        <w:t>..........................................26</w:t>
      </w:r>
    </w:p>
    <w:p w14:paraId="6E33E9D1">
      <w:pPr>
        <w:pStyle w:val="12"/>
        <w:adjustRightInd w:val="0"/>
        <w:snapToGrid w:val="0"/>
        <w:spacing w:line="440" w:lineRule="exact"/>
        <w:jc w:val="left"/>
        <w:rPr>
          <w:rFonts w:hint="default" w:eastAsia="宋体"/>
          <w:sz w:val="24"/>
          <w:lang w:val="en-US" w:eastAsia="zh-CN"/>
        </w:rPr>
      </w:pPr>
      <w:r>
        <w:rPr>
          <w:rFonts w:hint="eastAsia"/>
          <w:sz w:val="24"/>
        </w:rPr>
        <w:t>八、一般公共预算财政拨款基本支出决算明细表</w:t>
      </w:r>
      <w:r>
        <w:rPr>
          <w:rFonts w:hint="eastAsia"/>
          <w:sz w:val="24"/>
          <w:lang w:val="en-US" w:eastAsia="zh-CN"/>
        </w:rPr>
        <w:t>..................................26</w:t>
      </w:r>
    </w:p>
    <w:p w14:paraId="4E1B5E4A">
      <w:pPr>
        <w:pStyle w:val="12"/>
        <w:adjustRightInd w:val="0"/>
        <w:snapToGrid w:val="0"/>
        <w:spacing w:line="440" w:lineRule="exact"/>
        <w:jc w:val="left"/>
        <w:rPr>
          <w:rFonts w:hint="eastAsia"/>
          <w:sz w:val="24"/>
          <w:lang w:val="en-US" w:eastAsia="zh-CN"/>
        </w:rPr>
      </w:pPr>
      <w:r>
        <w:rPr>
          <w:rFonts w:hint="eastAsia"/>
          <w:sz w:val="24"/>
        </w:rPr>
        <w:t>九、一般公共预算财政拨款项目支出决算表</w:t>
      </w:r>
      <w:r>
        <w:rPr>
          <w:rFonts w:hint="eastAsia"/>
          <w:sz w:val="24"/>
          <w:lang w:val="en-US" w:eastAsia="zh-CN"/>
        </w:rPr>
        <w:t>..........................................26</w:t>
      </w:r>
    </w:p>
    <w:p w14:paraId="013BBEEA">
      <w:pPr>
        <w:pStyle w:val="12"/>
        <w:adjustRightInd w:val="0"/>
        <w:snapToGrid w:val="0"/>
        <w:spacing w:line="440" w:lineRule="exact"/>
        <w:ind w:left="0" w:leftChars="0" w:firstLine="480" w:firstLineChars="200"/>
        <w:jc w:val="left"/>
        <w:rPr>
          <w:rFonts w:hint="default" w:eastAsia="宋体"/>
          <w:sz w:val="24"/>
          <w:lang w:val="en-US" w:eastAsia="zh-CN"/>
        </w:rPr>
      </w:pPr>
      <w:r>
        <w:rPr>
          <w:rFonts w:hint="eastAsia"/>
          <w:sz w:val="24"/>
        </w:rPr>
        <w:t>十、政府性基金预算财政拨款收入支出决算表</w:t>
      </w:r>
      <w:r>
        <w:rPr>
          <w:rFonts w:hint="eastAsia"/>
          <w:sz w:val="24"/>
          <w:lang w:val="en-US" w:eastAsia="zh-CN"/>
        </w:rPr>
        <w:t>.......................................26</w:t>
      </w:r>
    </w:p>
    <w:p w14:paraId="13EDC803">
      <w:pPr>
        <w:pStyle w:val="12"/>
        <w:adjustRightInd w:val="0"/>
        <w:snapToGrid w:val="0"/>
        <w:spacing w:line="440" w:lineRule="exact"/>
        <w:ind w:left="0" w:leftChars="0" w:firstLine="480" w:firstLineChars="200"/>
        <w:jc w:val="left"/>
        <w:rPr>
          <w:rFonts w:hint="default" w:eastAsia="宋体"/>
          <w:sz w:val="24"/>
          <w:lang w:val="en-US" w:eastAsia="zh-CN"/>
        </w:rPr>
      </w:pPr>
      <w:r>
        <w:rPr>
          <w:rFonts w:hint="eastAsia"/>
          <w:sz w:val="24"/>
        </w:rPr>
        <w:t>十一、国有资本经营预算财政拨款收入支出决算表</w:t>
      </w:r>
      <w:r>
        <w:rPr>
          <w:rFonts w:hint="eastAsia"/>
          <w:sz w:val="24"/>
          <w:lang w:val="en-US" w:eastAsia="zh-CN"/>
        </w:rPr>
        <w:t>...............................26</w:t>
      </w:r>
    </w:p>
    <w:p w14:paraId="718FC239">
      <w:pPr>
        <w:pStyle w:val="12"/>
        <w:adjustRightInd w:val="0"/>
        <w:snapToGrid w:val="0"/>
        <w:spacing w:line="440" w:lineRule="exact"/>
        <w:ind w:left="0" w:leftChars="0" w:firstLine="480" w:firstLineChars="200"/>
        <w:jc w:val="left"/>
        <w:rPr>
          <w:rFonts w:hint="default" w:eastAsia="宋体"/>
          <w:sz w:val="24"/>
          <w:lang w:val="en-US" w:eastAsia="zh-CN"/>
        </w:rPr>
      </w:pPr>
      <w:r>
        <w:rPr>
          <w:rFonts w:hint="eastAsia"/>
          <w:sz w:val="24"/>
        </w:rPr>
        <w:t>十二、国有资本经营预算财政拨款支出决算表</w:t>
      </w:r>
      <w:r>
        <w:rPr>
          <w:rFonts w:hint="eastAsia"/>
          <w:sz w:val="24"/>
          <w:lang w:val="en-US" w:eastAsia="zh-CN"/>
        </w:rPr>
        <w:t>.......................................26</w:t>
      </w:r>
    </w:p>
    <w:p w14:paraId="4D1AAA8C">
      <w:pPr>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十三、财政拨款“三公”经费支出决算表......................................</w:t>
      </w:r>
      <w:r>
        <w:rPr>
          <w:rFonts w:hint="eastAsia"/>
          <w:sz w:val="24"/>
          <w:lang w:val="en-US" w:eastAsia="zh-CN"/>
        </w:rPr>
        <w:t>..</w:t>
      </w:r>
      <w:r>
        <w:rPr>
          <w:rFonts w:hint="eastAsia" w:ascii="Times New Roman" w:hAnsi="Times New Roman" w:eastAsia="宋体" w:cs="Times New Roman"/>
          <w:kern w:val="2"/>
          <w:sz w:val="24"/>
          <w:szCs w:val="24"/>
          <w:lang w:val="en-US" w:eastAsia="zh-CN" w:bidi="ar-SA"/>
        </w:rPr>
        <w:t>.......26</w:t>
      </w:r>
    </w:p>
    <w:p w14:paraId="4668E243">
      <w:pPr>
        <w:pStyle w:val="3"/>
        <w:jc w:val="center"/>
        <w:rPr>
          <w:rFonts w:hint="eastAsia" w:ascii="黑体" w:hAnsi="黑体" w:eastAsia="黑体"/>
          <w:b w:val="0"/>
        </w:rPr>
      </w:pPr>
      <w:bookmarkStart w:id="12" w:name="_Toc15377196"/>
      <w:bookmarkStart w:id="13" w:name="_Toc15396599"/>
    </w:p>
    <w:p w14:paraId="657FA963">
      <w:pPr>
        <w:pStyle w:val="3"/>
        <w:jc w:val="center"/>
        <w:rPr>
          <w:rFonts w:hint="eastAsia" w:ascii="黑体" w:hAnsi="黑体" w:eastAsia="黑体"/>
          <w:b w:val="0"/>
        </w:rPr>
      </w:pPr>
    </w:p>
    <w:p w14:paraId="67D6A12B">
      <w:pPr>
        <w:rPr>
          <w:rFonts w:hint="eastAsia" w:ascii="黑体" w:hAnsi="黑体" w:eastAsia="黑体"/>
          <w:b w:val="0"/>
        </w:rPr>
      </w:pPr>
    </w:p>
    <w:p w14:paraId="7403206E">
      <w:pPr>
        <w:pStyle w:val="2"/>
        <w:rPr>
          <w:rFonts w:hint="eastAsia" w:ascii="黑体" w:hAnsi="黑体" w:eastAsia="黑体"/>
          <w:b w:val="0"/>
        </w:rPr>
      </w:pPr>
    </w:p>
    <w:p w14:paraId="0D1A8B78">
      <w:pPr>
        <w:pStyle w:val="2"/>
        <w:rPr>
          <w:rFonts w:hint="eastAsia" w:ascii="黑体" w:hAnsi="黑体" w:eastAsia="黑体"/>
          <w:b w:val="0"/>
        </w:rPr>
      </w:pPr>
    </w:p>
    <w:p w14:paraId="76C604C9">
      <w:pPr>
        <w:pStyle w:val="2"/>
        <w:rPr>
          <w:rFonts w:hint="eastAsia" w:ascii="黑体" w:hAnsi="黑体" w:eastAsia="黑体"/>
          <w:b w:val="0"/>
        </w:rPr>
      </w:pPr>
    </w:p>
    <w:p w14:paraId="0A8E593B">
      <w:pPr>
        <w:pStyle w:val="3"/>
        <w:jc w:val="center"/>
        <w:rPr>
          <w:rFonts w:hint="eastAsia" w:ascii="黑体" w:hAnsi="黑体" w:eastAsia="黑体"/>
          <w:b w:val="0"/>
        </w:rPr>
      </w:pPr>
    </w:p>
    <w:p w14:paraId="29E2E435">
      <w:pPr>
        <w:pStyle w:val="3"/>
        <w:jc w:val="center"/>
        <w:rPr>
          <w:rFonts w:hint="eastAsia" w:ascii="黑体" w:hAnsi="黑体" w:eastAsia="黑体"/>
          <w:b w:val="0"/>
        </w:rPr>
      </w:pPr>
    </w:p>
    <w:p w14:paraId="3E8ADC0E">
      <w:pPr>
        <w:rPr>
          <w:rFonts w:hint="eastAsia" w:ascii="黑体" w:hAnsi="黑体" w:eastAsia="黑体"/>
          <w:b w:val="0"/>
        </w:rPr>
      </w:pPr>
    </w:p>
    <w:p w14:paraId="79108DC3">
      <w:pPr>
        <w:pStyle w:val="2"/>
        <w:rPr>
          <w:rFonts w:hint="eastAsia"/>
        </w:rPr>
      </w:pPr>
    </w:p>
    <w:p w14:paraId="42BA7DA1">
      <w:pPr>
        <w:pStyle w:val="3"/>
        <w:jc w:val="center"/>
        <w:rPr>
          <w:rFonts w:hint="eastAsia" w:ascii="黑体" w:hAnsi="黑体" w:eastAsia="黑体"/>
          <w:b w:val="0"/>
        </w:rPr>
      </w:pPr>
    </w:p>
    <w:p w14:paraId="7EE846BF">
      <w:pPr>
        <w:rPr>
          <w:rFonts w:hint="eastAsia" w:ascii="黑体" w:hAnsi="黑体" w:eastAsia="黑体"/>
          <w:b w:val="0"/>
        </w:rPr>
      </w:pPr>
    </w:p>
    <w:p w14:paraId="47F2DBB3">
      <w:pPr>
        <w:pStyle w:val="2"/>
        <w:rPr>
          <w:rFonts w:hint="eastAsia"/>
        </w:rPr>
      </w:pPr>
    </w:p>
    <w:p w14:paraId="1EE96F7A">
      <w:pPr>
        <w:pStyle w:val="3"/>
        <w:jc w:val="center"/>
        <w:rPr>
          <w:rStyle w:val="27"/>
          <w:rFonts w:ascii="黑体" w:hAnsi="黑体" w:eastAsia="黑体"/>
          <w:b/>
          <w:bCs w:val="0"/>
        </w:rPr>
      </w:pPr>
      <w:r>
        <w:rPr>
          <w:rFonts w:hint="eastAsia" w:ascii="黑体" w:hAnsi="黑体" w:eastAsia="黑体"/>
          <w:b w:val="0"/>
        </w:rPr>
        <w:t>第一部分 单位</w:t>
      </w:r>
      <w:r>
        <w:rPr>
          <w:rStyle w:val="27"/>
          <w:rFonts w:hint="eastAsia" w:ascii="黑体" w:hAnsi="黑体" w:eastAsia="黑体"/>
          <w:b w:val="0"/>
          <w:bCs w:val="0"/>
        </w:rPr>
        <w:t>概况</w:t>
      </w:r>
      <w:bookmarkEnd w:id="12"/>
      <w:bookmarkEnd w:id="13"/>
    </w:p>
    <w:p w14:paraId="2412F79E">
      <w:pPr>
        <w:widowControl/>
        <w:jc w:val="left"/>
        <w:rPr>
          <w:rFonts w:ascii="黑体" w:eastAsia="黑体"/>
          <w:sz w:val="32"/>
          <w:szCs w:val="32"/>
        </w:rPr>
      </w:pPr>
    </w:p>
    <w:p w14:paraId="7EEFBFFC">
      <w:pPr>
        <w:pStyle w:val="4"/>
        <w:numPr>
          <w:ilvl w:val="0"/>
          <w:numId w:val="0"/>
        </w:numPr>
        <w:ind w:firstLine="640" w:firstLineChars="200"/>
        <w:rPr>
          <w:rStyle w:val="28"/>
          <w:rFonts w:ascii="黑体" w:hAnsi="黑体" w:eastAsia="黑体"/>
          <w:b w:val="0"/>
          <w:bCs w:val="0"/>
        </w:rPr>
      </w:pPr>
      <w:bookmarkStart w:id="14" w:name="_Toc15396600"/>
      <w:bookmarkStart w:id="15" w:name="_Toc15377197"/>
      <w:r>
        <w:rPr>
          <w:rStyle w:val="28"/>
          <w:rFonts w:hint="eastAsia" w:ascii="黑体" w:hAnsi="黑体" w:eastAsia="黑体"/>
          <w:b w:val="0"/>
          <w:bCs w:val="0"/>
          <w:lang w:val="en-US" w:eastAsia="zh-CN"/>
        </w:rPr>
        <w:t>一、</w:t>
      </w:r>
      <w:r>
        <w:rPr>
          <w:rStyle w:val="28"/>
          <w:rFonts w:hint="eastAsia" w:ascii="黑体" w:hAnsi="黑体" w:eastAsia="黑体"/>
          <w:b w:val="0"/>
          <w:bCs w:val="0"/>
        </w:rPr>
        <w:t>主要职责</w:t>
      </w:r>
    </w:p>
    <w:p w14:paraId="5321591C">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一</w:t>
      </w:r>
      <w:r>
        <w:rPr>
          <w:rFonts w:hint="eastAsia" w:ascii="仿宋" w:hAnsi="仿宋" w:eastAsia="仿宋" w:cs="仿宋"/>
          <w:sz w:val="32"/>
          <w:szCs w:val="32"/>
        </w:rPr>
        <w:t>）认真贯彻《四川省中小学办学行为规范》，不断规范学校办学行为，切实</w:t>
      </w:r>
      <w:r>
        <w:rPr>
          <w:rFonts w:hint="eastAsia" w:ascii="仿宋" w:hAnsi="仿宋" w:eastAsia="仿宋" w:cs="仿宋"/>
          <w:sz w:val="32"/>
          <w:szCs w:val="32"/>
          <w:lang w:eastAsia="zh-CN"/>
        </w:rPr>
        <w:t>增强</w:t>
      </w:r>
      <w:r>
        <w:rPr>
          <w:rFonts w:hint="eastAsia" w:ascii="仿宋" w:hAnsi="仿宋" w:eastAsia="仿宋" w:cs="仿宋"/>
          <w:sz w:val="32"/>
          <w:szCs w:val="32"/>
        </w:rPr>
        <w:t>教师规范从教的意识，促进办学水平的不断提升。努力办人民满意的教育。</w:t>
      </w:r>
    </w:p>
    <w:p w14:paraId="03DA83C3">
      <w:pPr>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w:t>
      </w:r>
      <w:r>
        <w:rPr>
          <w:rFonts w:hint="eastAsia" w:ascii="仿宋" w:hAnsi="仿宋" w:eastAsia="仿宋" w:cs="仿宋"/>
          <w:sz w:val="32"/>
          <w:szCs w:val="32"/>
          <w:lang w:val="en-US" w:eastAsia="zh-CN"/>
        </w:rPr>
        <w:t>二</w:t>
      </w:r>
      <w:r>
        <w:rPr>
          <w:rFonts w:hint="eastAsia" w:ascii="仿宋" w:hAnsi="仿宋" w:eastAsia="仿宋" w:cs="仿宋"/>
          <w:sz w:val="32"/>
          <w:szCs w:val="32"/>
        </w:rPr>
        <w:t>）维护学校的正常教育教学秩序，为学生创造良好的学习环境</w:t>
      </w:r>
      <w:r>
        <w:rPr>
          <w:rFonts w:hint="eastAsia" w:ascii="仿宋" w:hAnsi="仿宋" w:eastAsia="仿宋" w:cs="仿宋"/>
          <w:sz w:val="32"/>
          <w:szCs w:val="32"/>
          <w:lang w:eastAsia="zh-CN"/>
        </w:rPr>
        <w:t>。</w:t>
      </w:r>
    </w:p>
    <w:p w14:paraId="18062864">
      <w:pPr>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w:t>
      </w:r>
      <w:r>
        <w:rPr>
          <w:rFonts w:hint="eastAsia" w:ascii="仿宋" w:hAnsi="仿宋" w:eastAsia="仿宋" w:cs="仿宋"/>
          <w:sz w:val="32"/>
          <w:szCs w:val="32"/>
          <w:lang w:val="en-US" w:eastAsia="zh-CN"/>
        </w:rPr>
        <w:t>三</w:t>
      </w:r>
      <w:r>
        <w:rPr>
          <w:rFonts w:hint="eastAsia" w:ascii="仿宋" w:hAnsi="仿宋" w:eastAsia="仿宋" w:cs="仿宋"/>
          <w:sz w:val="32"/>
          <w:szCs w:val="32"/>
        </w:rPr>
        <w:t>）研究拟定学校发展规划和年度计划，组织实施教育体制和办学体制改革。积极稳妥地推进教育改革，按教育规律办事，不断提高教育质量</w:t>
      </w:r>
      <w:r>
        <w:rPr>
          <w:rFonts w:hint="eastAsia" w:ascii="仿宋" w:hAnsi="仿宋" w:eastAsia="仿宋" w:cs="仿宋"/>
          <w:sz w:val="32"/>
          <w:szCs w:val="32"/>
          <w:lang w:eastAsia="zh-CN"/>
        </w:rPr>
        <w:t>。</w:t>
      </w:r>
    </w:p>
    <w:p w14:paraId="4F44BF25">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四</w:t>
      </w:r>
      <w:r>
        <w:rPr>
          <w:rFonts w:hint="eastAsia" w:ascii="仿宋" w:hAnsi="仿宋" w:eastAsia="仿宋" w:cs="仿宋"/>
          <w:sz w:val="32"/>
          <w:szCs w:val="32"/>
        </w:rPr>
        <w:t>）根据学校规模，科学设置学校管理机构，建立健全各项规章制度和岗位责任制。</w:t>
      </w:r>
    </w:p>
    <w:p w14:paraId="6998C362">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五</w:t>
      </w:r>
      <w:r>
        <w:rPr>
          <w:rFonts w:hint="eastAsia" w:ascii="仿宋" w:hAnsi="仿宋" w:eastAsia="仿宋" w:cs="仿宋"/>
          <w:sz w:val="32"/>
          <w:szCs w:val="32"/>
        </w:rPr>
        <w:t>）管理和指导学校基础教育工作，坚持教书育人，服务育人，环境育人方针，规划学校品德教育、体育卫生教育、艺术教育和国防教育等工作，使学生的德智体美</w:t>
      </w:r>
      <w:r>
        <w:rPr>
          <w:rFonts w:hint="eastAsia" w:ascii="仿宋" w:hAnsi="仿宋" w:eastAsia="仿宋" w:cs="仿宋"/>
          <w:sz w:val="32"/>
          <w:szCs w:val="32"/>
          <w:lang w:eastAsia="zh-CN"/>
        </w:rPr>
        <w:t>劳</w:t>
      </w:r>
      <w:r>
        <w:rPr>
          <w:rFonts w:hint="eastAsia" w:ascii="仿宋" w:hAnsi="仿宋" w:eastAsia="仿宋" w:cs="仿宋"/>
          <w:sz w:val="32"/>
          <w:szCs w:val="32"/>
        </w:rPr>
        <w:t xml:space="preserve">全面发展。 </w:t>
      </w:r>
    </w:p>
    <w:p w14:paraId="3212FE8F">
      <w:pPr>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w:t>
      </w:r>
      <w:r>
        <w:rPr>
          <w:rFonts w:hint="eastAsia" w:ascii="仿宋" w:hAnsi="仿宋" w:eastAsia="仿宋" w:cs="仿宋"/>
          <w:sz w:val="32"/>
          <w:szCs w:val="32"/>
          <w:lang w:val="en-US" w:eastAsia="zh-CN"/>
        </w:rPr>
        <w:t>六</w:t>
      </w:r>
      <w:r>
        <w:rPr>
          <w:rFonts w:hint="eastAsia" w:ascii="仿宋" w:hAnsi="仿宋" w:eastAsia="仿宋" w:cs="仿宋"/>
          <w:sz w:val="32"/>
          <w:szCs w:val="32"/>
        </w:rPr>
        <w:t>）抓好教师队伍建设，使每个教师都热心于教育事业</w:t>
      </w:r>
      <w:r>
        <w:rPr>
          <w:rFonts w:hint="eastAsia" w:ascii="仿宋" w:hAnsi="仿宋" w:eastAsia="仿宋" w:cs="仿宋"/>
          <w:sz w:val="32"/>
          <w:szCs w:val="32"/>
          <w:lang w:eastAsia="zh-CN"/>
        </w:rPr>
        <w:t>。</w:t>
      </w:r>
    </w:p>
    <w:p w14:paraId="6ADBB098">
      <w:pPr>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w:t>
      </w:r>
      <w:r>
        <w:rPr>
          <w:rFonts w:hint="eastAsia" w:ascii="仿宋" w:hAnsi="仿宋" w:eastAsia="仿宋" w:cs="仿宋"/>
          <w:sz w:val="32"/>
          <w:szCs w:val="32"/>
          <w:lang w:val="en-US" w:eastAsia="zh-CN"/>
        </w:rPr>
        <w:t>七</w:t>
      </w:r>
      <w:r>
        <w:rPr>
          <w:rFonts w:hint="eastAsia" w:ascii="仿宋" w:hAnsi="仿宋" w:eastAsia="仿宋" w:cs="仿宋"/>
          <w:sz w:val="32"/>
          <w:szCs w:val="32"/>
        </w:rPr>
        <w:t>）负责做好</w:t>
      </w:r>
      <w:r>
        <w:rPr>
          <w:rFonts w:hint="eastAsia" w:ascii="仿宋" w:hAnsi="仿宋" w:eastAsia="仿宋" w:cs="仿宋"/>
          <w:sz w:val="32"/>
          <w:szCs w:val="32"/>
          <w:lang w:eastAsia="zh-CN"/>
        </w:rPr>
        <w:t>学校</w:t>
      </w:r>
      <w:r>
        <w:rPr>
          <w:rFonts w:hint="eastAsia" w:ascii="仿宋" w:hAnsi="仿宋" w:eastAsia="仿宋" w:cs="仿宋"/>
          <w:sz w:val="32"/>
          <w:szCs w:val="32"/>
        </w:rPr>
        <w:t>安全保卫工作，保证师生的人身安全及学校财产安全</w:t>
      </w:r>
      <w:r>
        <w:rPr>
          <w:rFonts w:hint="eastAsia" w:ascii="仿宋" w:hAnsi="仿宋" w:eastAsia="仿宋" w:cs="仿宋"/>
          <w:sz w:val="32"/>
          <w:szCs w:val="32"/>
          <w:lang w:eastAsia="zh-CN"/>
        </w:rPr>
        <w:t>。</w:t>
      </w:r>
    </w:p>
    <w:p w14:paraId="2923C796">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八</w:t>
      </w:r>
      <w:r>
        <w:rPr>
          <w:rFonts w:hint="eastAsia" w:ascii="仿宋" w:hAnsi="仿宋" w:eastAsia="仿宋" w:cs="仿宋"/>
          <w:sz w:val="32"/>
          <w:szCs w:val="32"/>
        </w:rPr>
        <w:t>）严格管理学校教育经费，严格执行财务管理制度。</w:t>
      </w:r>
    </w:p>
    <w:p w14:paraId="5DA0BF1B">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九</w:t>
      </w:r>
      <w:r>
        <w:rPr>
          <w:rFonts w:hint="eastAsia" w:ascii="仿宋" w:hAnsi="仿宋" w:eastAsia="仿宋" w:cs="仿宋"/>
          <w:sz w:val="32"/>
          <w:szCs w:val="32"/>
        </w:rPr>
        <w:t>）做好一切准备迎接国家义务教育均衡验收工作。</w:t>
      </w:r>
    </w:p>
    <w:p w14:paraId="264AC345">
      <w:pPr>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十</w:t>
      </w:r>
      <w:r>
        <w:rPr>
          <w:rFonts w:hint="eastAsia" w:ascii="仿宋" w:hAnsi="仿宋" w:eastAsia="仿宋" w:cs="仿宋"/>
          <w:sz w:val="32"/>
          <w:szCs w:val="32"/>
        </w:rPr>
        <w:t>）做好送教上门，关心、关爱残疾儿童。</w:t>
      </w:r>
    </w:p>
    <w:p w14:paraId="514F3796"/>
    <w:p w14:paraId="7CCEAC2A">
      <w:pPr>
        <w:pStyle w:val="4"/>
        <w:ind w:firstLine="640" w:firstLineChars="200"/>
        <w:rPr>
          <w:rFonts w:ascii="黑体" w:hAnsi="黑体" w:eastAsia="黑体"/>
          <w:b w:val="0"/>
        </w:rPr>
      </w:pPr>
      <w:r>
        <w:rPr>
          <w:rFonts w:hint="eastAsia" w:ascii="黑体" w:hAnsi="黑体" w:eastAsia="黑体"/>
          <w:b w:val="0"/>
        </w:rPr>
        <w:t>二、机构设置</w:t>
      </w:r>
    </w:p>
    <w:bookmarkEnd w:id="14"/>
    <w:bookmarkEnd w:id="15"/>
    <w:p w14:paraId="097BFC46">
      <w:pPr>
        <w:ind w:firstLine="640" w:firstLineChars="200"/>
        <w:rPr>
          <w:rFonts w:hint="eastAsia" w:ascii="仿宋" w:hAnsi="仿宋" w:eastAsia="仿宋" w:cs="仿宋"/>
          <w:color w:val="auto"/>
          <w:sz w:val="32"/>
          <w:szCs w:val="32"/>
          <w:u w:val="none"/>
          <w:shd w:val="clear" w:color="auto" w:fill="auto"/>
        </w:rPr>
      </w:pPr>
      <w:r>
        <w:rPr>
          <w:rFonts w:hint="eastAsia" w:ascii="仿宋" w:hAnsi="仿宋" w:eastAsia="仿宋" w:cs="仿宋"/>
          <w:i w:val="0"/>
          <w:iCs w:val="0"/>
          <w:sz w:val="32"/>
          <w:szCs w:val="32"/>
        </w:rPr>
        <w:t>峨边彝族自治县金岩乡中心小学</w:t>
      </w:r>
      <w:r>
        <w:rPr>
          <w:rFonts w:hint="eastAsia" w:ascii="仿宋" w:hAnsi="仿宋" w:eastAsia="仿宋" w:cs="仿宋"/>
          <w:sz w:val="32"/>
          <w:szCs w:val="32"/>
          <w:lang w:eastAsia="zh-CN"/>
        </w:rPr>
        <w:t>属峨边彝族自治县教育局下设二级单位，单位基本性质为事业单位。</w:t>
      </w:r>
      <w:r>
        <w:rPr>
          <w:rFonts w:hint="eastAsia" w:ascii="仿宋" w:hAnsi="仿宋" w:eastAsia="仿宋" w:cs="仿宋"/>
          <w:color w:val="auto"/>
          <w:sz w:val="32"/>
          <w:szCs w:val="32"/>
          <w:u w:val="none"/>
          <w:shd w:val="clear" w:color="auto" w:fill="auto"/>
        </w:rPr>
        <w:t>一个中心校，</w:t>
      </w:r>
      <w:r>
        <w:rPr>
          <w:rFonts w:hint="eastAsia" w:ascii="仿宋" w:hAnsi="仿宋" w:eastAsia="仿宋" w:cs="仿宋"/>
          <w:color w:val="auto"/>
          <w:sz w:val="32"/>
          <w:szCs w:val="32"/>
          <w:u w:val="none"/>
          <w:shd w:val="clear" w:color="auto" w:fill="auto"/>
          <w:lang w:val="en-US" w:eastAsia="zh-CN"/>
        </w:rPr>
        <w:t>11个</w:t>
      </w:r>
      <w:r>
        <w:rPr>
          <w:rFonts w:hint="eastAsia" w:ascii="仿宋" w:hAnsi="仿宋" w:eastAsia="仿宋" w:cs="仿宋"/>
          <w:color w:val="auto"/>
          <w:sz w:val="32"/>
          <w:szCs w:val="32"/>
          <w:u w:val="none"/>
          <w:shd w:val="clear" w:color="auto" w:fill="auto"/>
        </w:rPr>
        <w:t>幼儿园。核定内设机构为：校长办、教务处、德育处、安全办、后勤办5个部门。</w:t>
      </w:r>
    </w:p>
    <w:p w14:paraId="34282E52">
      <w:pPr>
        <w:widowControl/>
        <w:jc w:val="left"/>
        <w:rPr>
          <w:rFonts w:ascii="仿宋" w:hAnsi="仿宋" w:eastAsia="仿宋"/>
          <w:kern w:val="0"/>
          <w:sz w:val="32"/>
          <w:szCs w:val="32"/>
        </w:rPr>
      </w:pPr>
      <w:r>
        <w:rPr>
          <w:rFonts w:ascii="仿宋" w:hAnsi="仿宋" w:eastAsia="仿宋"/>
          <w:sz w:val="32"/>
          <w:szCs w:val="32"/>
        </w:rPr>
        <w:br w:type="page"/>
      </w:r>
    </w:p>
    <w:p w14:paraId="0E895D09">
      <w:pPr>
        <w:pStyle w:val="3"/>
        <w:ind w:right="440"/>
        <w:jc w:val="center"/>
        <w:rPr>
          <w:rStyle w:val="27"/>
          <w:rFonts w:ascii="黑体" w:hAnsi="黑体" w:eastAsia="黑体"/>
          <w:b w:val="0"/>
          <w:bCs/>
        </w:rPr>
      </w:pPr>
      <w:bookmarkStart w:id="16" w:name="_Toc15396602"/>
      <w:bookmarkStart w:id="17" w:name="_Toc15377204"/>
      <w:r>
        <w:rPr>
          <w:rFonts w:hint="eastAsia" w:ascii="黑体" w:hAnsi="黑体" w:eastAsia="黑体"/>
          <w:b w:val="0"/>
        </w:rPr>
        <w:t>第二部分 2023年度</w:t>
      </w:r>
      <w:r>
        <w:rPr>
          <w:rStyle w:val="27"/>
          <w:rFonts w:hint="eastAsia" w:ascii="黑体" w:hAnsi="黑体" w:eastAsia="黑体"/>
          <w:b w:val="0"/>
          <w:bCs/>
        </w:rPr>
        <w:t>单位决算情况说明</w:t>
      </w:r>
      <w:bookmarkEnd w:id="16"/>
      <w:bookmarkEnd w:id="17"/>
    </w:p>
    <w:p w14:paraId="08C05D7B"/>
    <w:p w14:paraId="6F8C7C40">
      <w:pPr>
        <w:pStyle w:val="26"/>
        <w:numPr>
          <w:ilvl w:val="0"/>
          <w:numId w:val="1"/>
        </w:numPr>
        <w:spacing w:line="600" w:lineRule="exact"/>
        <w:ind w:firstLineChars="0"/>
        <w:outlineLvl w:val="1"/>
        <w:rPr>
          <w:rStyle w:val="28"/>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28"/>
          <w:rFonts w:hint="eastAsia" w:ascii="黑体" w:hAnsi="黑体" w:eastAsia="黑体"/>
          <w:b w:val="0"/>
        </w:rPr>
        <w:t>入支出决算总体情况说明</w:t>
      </w:r>
      <w:bookmarkEnd w:id="18"/>
      <w:bookmarkEnd w:id="19"/>
    </w:p>
    <w:p w14:paraId="3CEF2F63">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sz w:val="32"/>
          <w:szCs w:val="32"/>
        </w:rPr>
        <w:t>2023年度收、支总计均为</w:t>
      </w:r>
      <w:r>
        <w:rPr>
          <w:rFonts w:hint="eastAsia" w:ascii="仿宋" w:hAnsi="仿宋" w:eastAsia="仿宋"/>
          <w:b/>
          <w:sz w:val="32"/>
          <w:szCs w:val="32"/>
        </w:rPr>
        <w:t>932.52</w:t>
      </w:r>
      <w:r>
        <w:rPr>
          <w:rFonts w:hint="eastAsia" w:ascii="仿宋" w:hAnsi="仿宋" w:eastAsia="仿宋"/>
          <w:sz w:val="32"/>
          <w:szCs w:val="32"/>
        </w:rPr>
        <w:t>万元。与2022年度相比，收、支总计各减少</w:t>
      </w:r>
      <w:r>
        <w:rPr>
          <w:rFonts w:hint="eastAsia" w:ascii="仿宋" w:hAnsi="仿宋" w:eastAsia="仿宋"/>
          <w:sz w:val="32"/>
          <w:szCs w:val="32"/>
          <w:lang w:val="en-US" w:eastAsia="zh-CN"/>
        </w:rPr>
        <w:t>92.63</w:t>
      </w:r>
      <w:r>
        <w:rPr>
          <w:rFonts w:hint="eastAsia" w:ascii="仿宋" w:hAnsi="仿宋" w:eastAsia="仿宋"/>
          <w:sz w:val="32"/>
          <w:szCs w:val="32"/>
        </w:rPr>
        <w:t>万元，下降</w:t>
      </w:r>
      <w:r>
        <w:rPr>
          <w:rFonts w:hint="eastAsia" w:ascii="仿宋" w:hAnsi="仿宋" w:eastAsia="仿宋"/>
          <w:sz w:val="32"/>
          <w:szCs w:val="32"/>
          <w:lang w:val="en-US" w:eastAsia="zh-CN"/>
        </w:rPr>
        <w:t>9.04</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cs="仿宋"/>
          <w:color w:val="auto"/>
          <w:sz w:val="32"/>
          <w:szCs w:val="32"/>
          <w:lang w:val="en-US" w:eastAsia="zh-CN"/>
        </w:rPr>
        <w:t>教师和学生数均减少，2022年有建设项目，2023年没有建设项目</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 xml:space="preserve"> </w:t>
      </w:r>
      <w:r>
        <w:rPr>
          <w:rFonts w:hint="eastAsia" w:ascii="仿宋" w:hAnsi="仿宋" w:eastAsia="仿宋" w:cs="仿宋"/>
          <w:sz w:val="32"/>
          <w:szCs w:val="32"/>
          <w:lang w:val="en-US" w:eastAsia="zh-CN"/>
        </w:rPr>
        <w:t xml:space="preserve">    </w:t>
      </w:r>
    </w:p>
    <w:p w14:paraId="26262D73">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14:paraId="1A5057D0">
      <w:pPr>
        <w:spacing w:line="600" w:lineRule="exact"/>
        <w:ind w:firstLine="640" w:firstLineChars="200"/>
        <w:jc w:val="left"/>
        <w:rPr>
          <w:rFonts w:hint="eastAsia" w:ascii="仿宋_GB2312" w:eastAsia="仿宋_GB2312"/>
          <w:sz w:val="32"/>
          <w:szCs w:val="32"/>
          <w:lang w:eastAsia="zh-CN"/>
        </w:rPr>
      </w:pPr>
    </w:p>
    <w:p w14:paraId="713CA61D">
      <w:pPr>
        <w:pStyle w:val="2"/>
        <w:rPr>
          <w:rFonts w:hint="eastAsia" w:ascii="仿宋_GB2312" w:eastAsia="仿宋_GB2312"/>
          <w:sz w:val="32"/>
          <w:szCs w:val="32"/>
          <w:lang w:eastAsia="zh-CN"/>
        </w:rPr>
      </w:pPr>
      <w:r>
        <w:rPr>
          <w:rFonts w:hint="eastAsia"/>
          <w:lang w:val="en-US" w:eastAsia="zh-CN"/>
        </w:rPr>
        <w:t xml:space="preserve"> </w:t>
      </w:r>
      <w:r>
        <w:drawing>
          <wp:inline distT="0" distB="0" distL="114300" distR="114300">
            <wp:extent cx="4826000" cy="2743200"/>
            <wp:effectExtent l="4445" t="4445" r="825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FD3FDC2">
      <w:pPr>
        <w:pStyle w:val="2"/>
        <w:rPr>
          <w:rFonts w:hint="eastAsia" w:ascii="仿宋_GB2312" w:eastAsia="仿宋_GB2312"/>
          <w:sz w:val="32"/>
          <w:szCs w:val="32"/>
          <w:lang w:eastAsia="zh-CN"/>
        </w:rPr>
      </w:pPr>
    </w:p>
    <w:p w14:paraId="138D2A72">
      <w:pPr>
        <w:pStyle w:val="26"/>
        <w:numPr>
          <w:ilvl w:val="0"/>
          <w:numId w:val="1"/>
        </w:numPr>
        <w:spacing w:line="600" w:lineRule="exact"/>
        <w:ind w:firstLineChars="0"/>
        <w:outlineLvl w:val="1"/>
        <w:rPr>
          <w:rStyle w:val="28"/>
          <w:rFonts w:ascii="黑体" w:hAnsi="黑体" w:eastAsia="黑体"/>
          <w:b w:val="0"/>
        </w:rPr>
      </w:pPr>
      <w:bookmarkStart w:id="20" w:name="_Toc15396604"/>
      <w:bookmarkStart w:id="21" w:name="_Toc15377206"/>
      <w:r>
        <w:rPr>
          <w:rFonts w:hint="eastAsia" w:ascii="黑体" w:hAnsi="黑体" w:eastAsia="黑体"/>
          <w:sz w:val="32"/>
          <w:szCs w:val="32"/>
        </w:rPr>
        <w:t>收</w:t>
      </w:r>
      <w:r>
        <w:rPr>
          <w:rStyle w:val="28"/>
          <w:rFonts w:hint="eastAsia" w:ascii="黑体" w:hAnsi="黑体" w:eastAsia="黑体"/>
          <w:b w:val="0"/>
        </w:rPr>
        <w:t>入决算情况说明</w:t>
      </w:r>
      <w:bookmarkEnd w:id="20"/>
      <w:bookmarkEnd w:id="21"/>
    </w:p>
    <w:p w14:paraId="1324F6E2">
      <w:pPr>
        <w:spacing w:line="600" w:lineRule="exact"/>
        <w:ind w:firstLine="640" w:firstLineChars="200"/>
        <w:rPr>
          <w:rFonts w:ascii="仿宋" w:hAnsi="仿宋" w:eastAsia="仿宋"/>
          <w:sz w:val="32"/>
          <w:szCs w:val="32"/>
        </w:rPr>
      </w:pPr>
      <w:r>
        <w:rPr>
          <w:rFonts w:hint="eastAsia" w:ascii="仿宋" w:hAnsi="仿宋" w:eastAsia="仿宋"/>
          <w:sz w:val="32"/>
          <w:szCs w:val="32"/>
        </w:rPr>
        <w:t>2023年度本年收入合计</w:t>
      </w:r>
      <w:r>
        <w:rPr>
          <w:rFonts w:ascii="仿宋" w:hAnsi="仿宋" w:eastAsia="仿宋"/>
          <w:b/>
          <w:sz w:val="32"/>
          <w:szCs w:val="32"/>
        </w:rPr>
        <w:t>862.39</w:t>
      </w:r>
      <w:r>
        <w:rPr>
          <w:rFonts w:hint="eastAsia" w:ascii="仿宋" w:hAnsi="仿宋" w:eastAsia="仿宋"/>
          <w:sz w:val="32"/>
          <w:szCs w:val="32"/>
        </w:rPr>
        <w:t>万元，其中：一般公共预算财政拨款收入</w:t>
      </w:r>
      <w:r>
        <w:rPr>
          <w:rFonts w:ascii="仿宋" w:hAnsi="仿宋" w:eastAsia="仿宋"/>
          <w:b/>
          <w:sz w:val="32"/>
          <w:szCs w:val="32"/>
        </w:rPr>
        <w:t>862.39</w:t>
      </w:r>
      <w:r>
        <w:rPr>
          <w:rFonts w:hint="eastAsia" w:ascii="仿宋" w:hAnsi="仿宋" w:eastAsia="仿宋"/>
          <w:sz w:val="32"/>
          <w:szCs w:val="32"/>
        </w:rPr>
        <w:t>万元，占</w:t>
      </w:r>
      <w:r>
        <w:rPr>
          <w:rFonts w:hint="eastAsia" w:ascii="仿宋" w:hAnsi="仿宋" w:eastAsia="仿宋"/>
          <w:b/>
          <w:sz w:val="32"/>
          <w:szCs w:val="32"/>
          <w:lang w:val="en-US" w:eastAsia="zh-CN"/>
        </w:rPr>
        <w:t>100</w:t>
      </w:r>
      <w:r>
        <w:rPr>
          <w:rFonts w:ascii="仿宋" w:hAnsi="仿宋" w:eastAsia="仿宋"/>
          <w:b/>
          <w:sz w:val="32"/>
          <w:szCs w:val="32"/>
        </w:rPr>
        <w:t>%</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28.17</w:t>
      </w:r>
      <w:r>
        <w:rPr>
          <w:rFonts w:hint="eastAsia" w:ascii="仿宋" w:hAnsi="仿宋" w:eastAsia="仿宋"/>
          <w:sz w:val="32"/>
          <w:szCs w:val="32"/>
        </w:rPr>
        <w:t>万元，占</w:t>
      </w:r>
      <w:r>
        <w:rPr>
          <w:rFonts w:ascii="仿宋" w:hAnsi="仿宋" w:eastAsia="仿宋"/>
          <w:b/>
          <w:sz w:val="32"/>
          <w:szCs w:val="32"/>
        </w:rPr>
        <w:t>3.1</w:t>
      </w:r>
      <w:r>
        <w:rPr>
          <w:rFonts w:hint="eastAsia" w:ascii="仿宋" w:hAnsi="仿宋" w:eastAsia="仿宋"/>
          <w:b/>
          <w:sz w:val="32"/>
          <w:szCs w:val="32"/>
          <w:lang w:val="en-US" w:eastAsia="zh-CN"/>
        </w:rPr>
        <w:t>9</w:t>
      </w:r>
      <w:r>
        <w:rPr>
          <w:rFonts w:ascii="仿宋" w:hAnsi="仿宋" w:eastAsia="仿宋"/>
          <w:sz w:val="32"/>
          <w:szCs w:val="32"/>
        </w:rPr>
        <w:t>%</w:t>
      </w:r>
      <w:r>
        <w:rPr>
          <w:rFonts w:hint="eastAsia" w:ascii="仿宋" w:hAnsi="仿宋" w:eastAsia="仿宋"/>
          <w:sz w:val="32"/>
          <w:szCs w:val="32"/>
          <w:lang w:eastAsia="zh-CN"/>
        </w:rPr>
        <w:t>。</w:t>
      </w:r>
    </w:p>
    <w:p w14:paraId="74DE8124">
      <w:pPr>
        <w:spacing w:line="600" w:lineRule="exact"/>
        <w:ind w:firstLine="640" w:firstLineChars="200"/>
        <w:outlineLvl w:val="1"/>
        <w:rPr>
          <w:rFonts w:hint="eastAsia" w:ascii="仿宋" w:hAnsi="仿宋" w:eastAsia="仿宋"/>
          <w:sz w:val="32"/>
          <w:szCs w:val="32"/>
          <w:lang w:eastAsia="zh-CN"/>
        </w:rPr>
      </w:pPr>
    </w:p>
    <w:p w14:paraId="6E5CF5B2">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w:t>
      </w:r>
    </w:p>
    <w:p w14:paraId="0000AF21">
      <w:pPr>
        <w:spacing w:line="600" w:lineRule="exact"/>
        <w:ind w:firstLine="420" w:firstLineChars="200"/>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230505</wp:posOffset>
            </wp:positionH>
            <wp:positionV relativeFrom="paragraph">
              <wp:posOffset>189230</wp:posOffset>
            </wp:positionV>
            <wp:extent cx="4826000" cy="2743200"/>
            <wp:effectExtent l="4445" t="4445" r="15875" b="10795"/>
            <wp:wrapTopAndBottom/>
            <wp:docPr id="3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15FF3299">
      <w:pPr>
        <w:pStyle w:val="26"/>
        <w:numPr>
          <w:ilvl w:val="0"/>
          <w:numId w:val="1"/>
        </w:numPr>
        <w:spacing w:line="600" w:lineRule="exact"/>
        <w:ind w:firstLineChars="0"/>
        <w:outlineLvl w:val="1"/>
        <w:rPr>
          <w:rStyle w:val="28"/>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28"/>
          <w:rFonts w:hint="eastAsia" w:ascii="黑体" w:hAnsi="黑体" w:eastAsia="黑体"/>
          <w:b w:val="0"/>
        </w:rPr>
        <w:t>出决算情况说明</w:t>
      </w:r>
      <w:bookmarkEnd w:id="22"/>
      <w:bookmarkEnd w:id="23"/>
    </w:p>
    <w:p w14:paraId="3F005A67">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890.56</w:t>
      </w:r>
      <w:r>
        <w:rPr>
          <w:rFonts w:hint="eastAsia" w:ascii="仿宋" w:hAnsi="仿宋" w:eastAsia="仿宋"/>
          <w:sz w:val="32"/>
          <w:szCs w:val="32"/>
        </w:rPr>
        <w:t>万元，其中：基本支出</w:t>
      </w:r>
      <w:r>
        <w:rPr>
          <w:rFonts w:ascii="仿宋" w:hAnsi="仿宋" w:eastAsia="仿宋"/>
          <w:b/>
          <w:sz w:val="32"/>
          <w:szCs w:val="32"/>
        </w:rPr>
        <w:t>583.78</w:t>
      </w:r>
      <w:r>
        <w:rPr>
          <w:rFonts w:hint="eastAsia" w:ascii="仿宋" w:hAnsi="仿宋" w:eastAsia="仿宋"/>
          <w:sz w:val="32"/>
          <w:szCs w:val="32"/>
        </w:rPr>
        <w:t>万元，占</w:t>
      </w:r>
      <w:r>
        <w:rPr>
          <w:rFonts w:ascii="仿宋" w:hAnsi="仿宋" w:eastAsia="仿宋"/>
          <w:b/>
          <w:sz w:val="32"/>
          <w:szCs w:val="32"/>
        </w:rPr>
        <w:t>65.55</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306.78</w:t>
      </w:r>
      <w:r>
        <w:rPr>
          <w:rFonts w:hint="eastAsia" w:ascii="仿宋" w:hAnsi="仿宋" w:eastAsia="仿宋"/>
          <w:sz w:val="32"/>
          <w:szCs w:val="32"/>
        </w:rPr>
        <w:t>万元，占</w:t>
      </w:r>
      <w:r>
        <w:rPr>
          <w:rFonts w:ascii="仿宋" w:hAnsi="仿宋" w:eastAsia="仿宋"/>
          <w:b/>
          <w:sz w:val="32"/>
          <w:szCs w:val="32"/>
        </w:rPr>
        <w:t>34.4</w:t>
      </w:r>
      <w:r>
        <w:rPr>
          <w:rFonts w:hint="eastAsia" w:ascii="仿宋" w:hAnsi="仿宋" w:eastAsia="仿宋"/>
          <w:b/>
          <w:sz w:val="32"/>
          <w:szCs w:val="32"/>
          <w:lang w:val="en-US" w:eastAsia="zh-CN"/>
        </w:rPr>
        <w:t>5</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3C4B803B">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w:t>
      </w:r>
    </w:p>
    <w:p w14:paraId="358436D4">
      <w:pPr>
        <w:spacing w:line="600" w:lineRule="exact"/>
        <w:ind w:firstLine="420" w:firstLineChars="200"/>
        <w:rPr>
          <w:rFonts w:hint="eastAsia" w:ascii="黑体" w:hAnsi="黑体" w:eastAsia="黑体"/>
          <w:sz w:val="32"/>
          <w:szCs w:val="32"/>
        </w:rPr>
      </w:pPr>
      <w:r>
        <w:drawing>
          <wp:anchor distT="0" distB="0" distL="114300" distR="114300" simplePos="0" relativeHeight="251660288" behindDoc="0" locked="0" layoutInCell="1" allowOverlap="1">
            <wp:simplePos x="0" y="0"/>
            <wp:positionH relativeFrom="column">
              <wp:posOffset>195580</wp:posOffset>
            </wp:positionH>
            <wp:positionV relativeFrom="paragraph">
              <wp:posOffset>139700</wp:posOffset>
            </wp:positionV>
            <wp:extent cx="4826000" cy="2288540"/>
            <wp:effectExtent l="5080" t="4445" r="15240" b="8255"/>
            <wp:wrapTopAndBottom/>
            <wp:docPr id="4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bookmarkStart w:id="24" w:name="_Toc15396606"/>
      <w:bookmarkStart w:id="25" w:name="_Toc15377208"/>
    </w:p>
    <w:p w14:paraId="4C02A886">
      <w:pPr>
        <w:spacing w:line="600" w:lineRule="exact"/>
        <w:ind w:firstLine="640" w:firstLineChars="200"/>
        <w:outlineLvl w:val="1"/>
        <w:rPr>
          <w:rStyle w:val="28"/>
          <w:rFonts w:ascii="黑体" w:hAnsi="黑体" w:eastAsia="黑体"/>
          <w:b w:val="0"/>
        </w:rPr>
      </w:pPr>
      <w:r>
        <w:rPr>
          <w:rFonts w:hint="eastAsia" w:ascii="黑体" w:hAnsi="黑体" w:eastAsia="黑体"/>
          <w:sz w:val="32"/>
          <w:szCs w:val="32"/>
        </w:rPr>
        <w:t>四、财</w:t>
      </w:r>
      <w:r>
        <w:rPr>
          <w:rStyle w:val="28"/>
          <w:rFonts w:hint="eastAsia" w:ascii="黑体" w:hAnsi="黑体" w:eastAsia="黑体"/>
          <w:b w:val="0"/>
        </w:rPr>
        <w:t>政拨款收入支出决算总体情况说明</w:t>
      </w:r>
      <w:bookmarkEnd w:id="24"/>
      <w:bookmarkEnd w:id="25"/>
    </w:p>
    <w:p w14:paraId="41D7F3FA">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 w:hAnsi="仿宋" w:eastAsia="仿宋" w:cs="仿宋"/>
          <w:b/>
          <w:color w:val="auto"/>
          <w:sz w:val="32"/>
          <w:szCs w:val="32"/>
        </w:rPr>
      </w:pPr>
      <w:r>
        <w:rPr>
          <w:rFonts w:hint="eastAsia" w:ascii="仿宋" w:hAnsi="仿宋" w:eastAsia="仿宋"/>
          <w:sz w:val="32"/>
          <w:szCs w:val="32"/>
        </w:rPr>
        <w:t>2023年度财政拨款收、支总计均为</w:t>
      </w:r>
      <w:r>
        <w:rPr>
          <w:rFonts w:ascii="仿宋" w:hAnsi="仿宋" w:eastAsia="仿宋"/>
          <w:b/>
          <w:sz w:val="32"/>
          <w:szCs w:val="32"/>
        </w:rPr>
        <w:t>904.34</w:t>
      </w:r>
      <w:r>
        <w:rPr>
          <w:rFonts w:hint="eastAsia" w:ascii="仿宋" w:hAnsi="仿宋" w:eastAsia="仿宋"/>
          <w:sz w:val="32"/>
          <w:szCs w:val="32"/>
        </w:rPr>
        <w:t>万元。与2022年度相比，财政拨款收、支总计各减少</w:t>
      </w:r>
      <w:r>
        <w:rPr>
          <w:rFonts w:hint="eastAsia" w:ascii="仿宋" w:hAnsi="仿宋" w:eastAsia="仿宋"/>
          <w:sz w:val="32"/>
          <w:szCs w:val="32"/>
          <w:lang w:val="en-US" w:eastAsia="zh-CN"/>
        </w:rPr>
        <w:t>101.47</w:t>
      </w:r>
      <w:r>
        <w:rPr>
          <w:rFonts w:hint="eastAsia" w:ascii="仿宋" w:hAnsi="仿宋" w:eastAsia="仿宋"/>
          <w:sz w:val="32"/>
          <w:szCs w:val="32"/>
        </w:rPr>
        <w:t>万元，下降</w:t>
      </w:r>
      <w:r>
        <w:rPr>
          <w:rFonts w:hint="eastAsia" w:ascii="仿宋" w:hAnsi="仿宋" w:eastAsia="仿宋"/>
          <w:sz w:val="32"/>
          <w:szCs w:val="32"/>
          <w:lang w:val="en-US" w:eastAsia="zh-CN"/>
        </w:rPr>
        <w:t>10.09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cs="仿宋"/>
          <w:color w:val="auto"/>
          <w:sz w:val="32"/>
          <w:szCs w:val="32"/>
          <w:lang w:val="en-US" w:eastAsia="zh-CN"/>
        </w:rPr>
        <w:t>教师和学生数均减少，2022年有建设项目，2023年没有建设项目</w:t>
      </w:r>
      <w:r>
        <w:rPr>
          <w:rFonts w:hint="eastAsia" w:ascii="仿宋" w:hAnsi="仿宋" w:eastAsia="仿宋" w:cs="仿宋"/>
          <w:color w:val="auto"/>
          <w:sz w:val="32"/>
          <w:szCs w:val="32"/>
          <w:lang w:eastAsia="zh-CN"/>
        </w:rPr>
        <w:t>。</w:t>
      </w:r>
    </w:p>
    <w:p w14:paraId="294507C4">
      <w:pPr>
        <w:spacing w:line="600" w:lineRule="exact"/>
        <w:rPr>
          <w:rFonts w:hint="eastAsia" w:ascii="仿宋" w:hAnsi="仿宋" w:eastAsia="仿宋"/>
          <w:sz w:val="32"/>
          <w:szCs w:val="32"/>
          <w:lang w:eastAsia="zh-CN"/>
        </w:rPr>
      </w:pPr>
    </w:p>
    <w:p w14:paraId="663326AE">
      <w:pPr>
        <w:spacing w:line="600" w:lineRule="exact"/>
        <w:ind w:firstLine="420" w:firstLineChars="200"/>
        <w:rPr>
          <w:rFonts w:ascii="仿宋" w:hAnsi="仿宋" w:eastAsia="仿宋"/>
          <w:sz w:val="32"/>
          <w:szCs w:val="32"/>
        </w:rPr>
      </w:pPr>
      <w:r>
        <w:drawing>
          <wp:anchor distT="0" distB="0" distL="114300" distR="114300" simplePos="0" relativeHeight="251661312" behindDoc="0" locked="0" layoutInCell="1" allowOverlap="1">
            <wp:simplePos x="0" y="0"/>
            <wp:positionH relativeFrom="column">
              <wp:posOffset>300355</wp:posOffset>
            </wp:positionH>
            <wp:positionV relativeFrom="paragraph">
              <wp:posOffset>414655</wp:posOffset>
            </wp:positionV>
            <wp:extent cx="4826000" cy="2743200"/>
            <wp:effectExtent l="4445" t="4445" r="15875" b="10795"/>
            <wp:wrapTopAndBottom/>
            <wp:docPr id="4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sz w:val="32"/>
          <w:szCs w:val="32"/>
        </w:rPr>
        <w:t>（图4：财政拨款收、支决算总计变动情况）</w:t>
      </w:r>
    </w:p>
    <w:p w14:paraId="71C08EEF">
      <w:pPr>
        <w:spacing w:line="600" w:lineRule="exact"/>
        <w:ind w:firstLine="640"/>
        <w:rPr>
          <w:rFonts w:ascii="仿宋" w:hAnsi="仿宋" w:eastAsia="仿宋"/>
          <w:b/>
          <w:sz w:val="32"/>
          <w:szCs w:val="32"/>
        </w:rPr>
      </w:pPr>
    </w:p>
    <w:p w14:paraId="4ECEB85C">
      <w:pPr>
        <w:spacing w:line="600" w:lineRule="exact"/>
        <w:ind w:firstLine="640" w:firstLineChars="200"/>
        <w:outlineLvl w:val="1"/>
        <w:rPr>
          <w:rStyle w:val="28"/>
          <w:rFonts w:ascii="黑体" w:hAnsi="黑体" w:eastAsia="黑体"/>
          <w:b w:val="0"/>
        </w:rPr>
      </w:pPr>
      <w:bookmarkStart w:id="26" w:name="_Toc15377209"/>
      <w:bookmarkStart w:id="27" w:name="_Toc15396607"/>
      <w:r>
        <w:rPr>
          <w:rFonts w:hint="eastAsia" w:ascii="黑体" w:hAnsi="黑体" w:eastAsia="黑体"/>
          <w:sz w:val="32"/>
          <w:szCs w:val="32"/>
        </w:rPr>
        <w:t>五、</w:t>
      </w:r>
      <w:r>
        <w:rPr>
          <w:rFonts w:hint="eastAsia" w:ascii="黑体" w:hAnsi="黑体" w:eastAsia="黑体"/>
          <w:b/>
          <w:sz w:val="32"/>
          <w:szCs w:val="32"/>
        </w:rPr>
        <w:t>一</w:t>
      </w:r>
      <w:r>
        <w:rPr>
          <w:rStyle w:val="28"/>
          <w:rFonts w:hint="eastAsia" w:ascii="黑体" w:hAnsi="黑体" w:eastAsia="黑体"/>
          <w:b w:val="0"/>
        </w:rPr>
        <w:t>般公共预算财政拨款支出决算情况说明</w:t>
      </w:r>
      <w:bookmarkEnd w:id="26"/>
      <w:bookmarkEnd w:id="27"/>
    </w:p>
    <w:p w14:paraId="472893E1">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12C6B398">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ascii="仿宋" w:hAnsi="仿宋" w:eastAsia="仿宋"/>
          <w:color w:val="auto"/>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862.39</w:t>
      </w:r>
      <w:r>
        <w:rPr>
          <w:rFonts w:hint="eastAsia" w:ascii="仿宋" w:hAnsi="仿宋" w:eastAsia="仿宋"/>
          <w:sz w:val="32"/>
          <w:szCs w:val="32"/>
        </w:rPr>
        <w:t>万元，占本年支出合计的</w:t>
      </w:r>
      <w:r>
        <w:rPr>
          <w:rFonts w:hint="eastAsia" w:ascii="仿宋" w:hAnsi="仿宋" w:eastAsia="仿宋"/>
          <w:sz w:val="32"/>
          <w:szCs w:val="32"/>
          <w:lang w:val="en-US" w:eastAsia="zh-CN"/>
        </w:rPr>
        <w:t>100</w:t>
      </w:r>
      <w:r>
        <w:rPr>
          <w:rFonts w:ascii="仿宋" w:hAnsi="仿宋" w:eastAsia="仿宋"/>
          <w:sz w:val="32"/>
          <w:szCs w:val="32"/>
        </w:rPr>
        <w:t>%</w:t>
      </w:r>
      <w:r>
        <w:rPr>
          <w:rFonts w:hint="eastAsia" w:ascii="仿宋" w:hAnsi="仿宋" w:eastAsia="仿宋"/>
          <w:sz w:val="32"/>
          <w:szCs w:val="32"/>
        </w:rPr>
        <w:t>。与2022年度相比，一般公共预算财政拨款支出减少</w:t>
      </w:r>
      <w:r>
        <w:rPr>
          <w:rFonts w:hint="eastAsia" w:ascii="仿宋" w:hAnsi="仿宋" w:eastAsia="仿宋"/>
          <w:sz w:val="32"/>
          <w:szCs w:val="32"/>
          <w:lang w:val="en-US" w:eastAsia="zh-CN"/>
        </w:rPr>
        <w:t>101.47</w:t>
      </w:r>
      <w:r>
        <w:rPr>
          <w:rFonts w:hint="eastAsia" w:ascii="仿宋" w:hAnsi="仿宋" w:eastAsia="仿宋"/>
          <w:sz w:val="32"/>
          <w:szCs w:val="32"/>
        </w:rPr>
        <w:t>万元，下降</w:t>
      </w:r>
      <w:r>
        <w:rPr>
          <w:rFonts w:hint="eastAsia" w:ascii="仿宋" w:hAnsi="仿宋" w:eastAsia="仿宋"/>
          <w:sz w:val="32"/>
          <w:szCs w:val="32"/>
          <w:lang w:val="en-US" w:eastAsia="zh-CN"/>
        </w:rPr>
        <w:t>10.53</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cs="仿宋"/>
          <w:color w:val="auto"/>
          <w:sz w:val="32"/>
          <w:szCs w:val="32"/>
          <w:lang w:val="en-US" w:eastAsia="zh-CN"/>
        </w:rPr>
        <w:t>教师和学生数均减少，2022年有建设项目，2023年没有建设项目</w:t>
      </w:r>
      <w:r>
        <w:rPr>
          <w:rFonts w:hint="eastAsia" w:ascii="仿宋" w:hAnsi="仿宋" w:eastAsia="仿宋" w:cs="仿宋"/>
          <w:color w:val="auto"/>
          <w:sz w:val="32"/>
          <w:szCs w:val="32"/>
          <w:lang w:eastAsia="zh-CN"/>
        </w:rPr>
        <w:t>。</w:t>
      </w:r>
    </w:p>
    <w:p w14:paraId="4705AC04">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w:t>
      </w:r>
    </w:p>
    <w:p w14:paraId="47F5150B">
      <w:pPr>
        <w:spacing w:line="600" w:lineRule="exact"/>
        <w:ind w:firstLine="420" w:firstLineChars="200"/>
        <w:rPr>
          <w:rFonts w:ascii="仿宋" w:hAnsi="仿宋" w:eastAsia="仿宋"/>
          <w:sz w:val="32"/>
          <w:szCs w:val="32"/>
        </w:rPr>
      </w:pPr>
      <w:r>
        <w:drawing>
          <wp:anchor distT="0" distB="0" distL="114300" distR="114300" simplePos="0" relativeHeight="251662336" behindDoc="0" locked="0" layoutInCell="1" allowOverlap="1">
            <wp:simplePos x="0" y="0"/>
            <wp:positionH relativeFrom="column">
              <wp:posOffset>321945</wp:posOffset>
            </wp:positionH>
            <wp:positionV relativeFrom="paragraph">
              <wp:posOffset>284480</wp:posOffset>
            </wp:positionV>
            <wp:extent cx="4826000" cy="2730500"/>
            <wp:effectExtent l="4445" t="4445" r="15875" b="8255"/>
            <wp:wrapTopAndBottom/>
            <wp:docPr id="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0FCB2CA">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119E9B16">
      <w:pPr>
        <w:spacing w:line="600" w:lineRule="exact"/>
        <w:ind w:firstLine="640"/>
        <w:rPr>
          <w:rFonts w:ascii="仿宋" w:hAnsi="仿宋" w:eastAsia="仿宋"/>
          <w:b/>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862.39</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w:t>
      </w:r>
      <w:r>
        <w:rPr>
          <w:rFonts w:hint="eastAsia" w:ascii="仿宋" w:hAnsi="仿宋" w:eastAsia="仿宋"/>
          <w:sz w:val="32"/>
          <w:szCs w:val="32"/>
          <w:lang w:val="en-US" w:eastAsia="zh-CN"/>
        </w:rPr>
        <w:t>731.82</w:t>
      </w:r>
      <w:r>
        <w:rPr>
          <w:rFonts w:hint="eastAsia" w:ascii="仿宋" w:hAnsi="仿宋" w:eastAsia="仿宋"/>
          <w:sz w:val="32"/>
          <w:szCs w:val="32"/>
        </w:rPr>
        <w:t>万元，占</w:t>
      </w:r>
      <w:r>
        <w:rPr>
          <w:rFonts w:hint="eastAsia" w:ascii="仿宋" w:hAnsi="仿宋" w:eastAsia="仿宋"/>
          <w:sz w:val="32"/>
          <w:szCs w:val="32"/>
          <w:lang w:val="en-US" w:eastAsia="zh-CN"/>
        </w:rPr>
        <w:t>84.86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
          <w:bCs/>
          <w:sz w:val="32"/>
          <w:szCs w:val="32"/>
          <w:lang w:val="en-US" w:eastAsia="zh-CN"/>
        </w:rPr>
        <w:t>0</w:t>
      </w:r>
      <w:r>
        <w:rPr>
          <w:rFonts w:hint="eastAsia" w:ascii="仿宋" w:hAnsi="仿宋" w:eastAsia="仿宋"/>
          <w:b/>
          <w:bCs/>
          <w:sz w:val="32"/>
          <w:szCs w:val="32"/>
        </w:rPr>
        <w:t>万元，占</w:t>
      </w:r>
      <w:r>
        <w:rPr>
          <w:rFonts w:hint="eastAsia" w:ascii="仿宋" w:hAnsi="仿宋" w:eastAsia="仿宋"/>
          <w:b/>
          <w:bCs/>
          <w:sz w:val="32"/>
          <w:szCs w:val="32"/>
          <w:lang w:val="en-US" w:eastAsia="zh-CN"/>
        </w:rPr>
        <w:t>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60.6</w:t>
      </w:r>
      <w:r>
        <w:rPr>
          <w:rFonts w:hint="eastAsia" w:ascii="仿宋" w:hAnsi="仿宋" w:eastAsia="仿宋"/>
          <w:sz w:val="32"/>
          <w:szCs w:val="32"/>
        </w:rPr>
        <w:t>万元，占</w:t>
      </w:r>
      <w:r>
        <w:rPr>
          <w:rFonts w:hint="eastAsia" w:ascii="仿宋" w:hAnsi="仿宋" w:eastAsia="仿宋"/>
          <w:sz w:val="32"/>
          <w:szCs w:val="32"/>
          <w:lang w:val="en-US" w:eastAsia="zh-CN"/>
        </w:rPr>
        <w:t>7.03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16.36</w:t>
      </w:r>
      <w:r>
        <w:rPr>
          <w:rFonts w:hint="eastAsia" w:ascii="仿宋" w:hAnsi="仿宋" w:eastAsia="仿宋"/>
          <w:sz w:val="32"/>
          <w:szCs w:val="32"/>
        </w:rPr>
        <w:t>万元，占</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37.57</w:t>
      </w:r>
      <w:r>
        <w:rPr>
          <w:rFonts w:hint="eastAsia" w:ascii="仿宋" w:hAnsi="仿宋" w:eastAsia="仿宋"/>
          <w:sz w:val="32"/>
          <w:szCs w:val="32"/>
        </w:rPr>
        <w:t>万元，占</w:t>
      </w:r>
      <w:r>
        <w:rPr>
          <w:rFonts w:hint="eastAsia" w:ascii="仿宋" w:hAnsi="仿宋" w:eastAsia="仿宋"/>
          <w:sz w:val="32"/>
          <w:szCs w:val="32"/>
          <w:lang w:val="en-US" w:eastAsia="zh-CN"/>
        </w:rPr>
        <w:t>4.36</w:t>
      </w:r>
      <w:r>
        <w:rPr>
          <w:rFonts w:ascii="仿宋" w:hAnsi="仿宋" w:eastAsia="仿宋"/>
          <w:sz w:val="32"/>
          <w:szCs w:val="32"/>
        </w:rPr>
        <w:t>%</w:t>
      </w:r>
      <w:r>
        <w:rPr>
          <w:rFonts w:hint="eastAsia" w:ascii="仿宋" w:hAnsi="仿宋" w:eastAsia="仿宋"/>
          <w:sz w:val="32"/>
          <w:szCs w:val="32"/>
        </w:rPr>
        <w:t>。</w:t>
      </w:r>
    </w:p>
    <w:p w14:paraId="6C8DDD60">
      <w:pPr>
        <w:spacing w:line="600" w:lineRule="exact"/>
        <w:ind w:firstLine="640"/>
        <w:rPr>
          <w:rFonts w:ascii="仿宋" w:hAnsi="仿宋" w:eastAsia="仿宋"/>
          <w:sz w:val="32"/>
          <w:szCs w:val="32"/>
        </w:rPr>
      </w:pPr>
    </w:p>
    <w:p w14:paraId="3A81CFAC">
      <w:pPr>
        <w:spacing w:line="600" w:lineRule="exact"/>
        <w:ind w:firstLine="420" w:firstLineChars="200"/>
        <w:rPr>
          <w:rFonts w:ascii="仿宋" w:hAnsi="仿宋" w:eastAsia="仿宋"/>
          <w:sz w:val="32"/>
          <w:szCs w:val="32"/>
        </w:rPr>
      </w:pPr>
      <w:r>
        <w:drawing>
          <wp:anchor distT="0" distB="0" distL="114300" distR="114300" simplePos="0" relativeHeight="251663360" behindDoc="0" locked="0" layoutInCell="1" allowOverlap="1">
            <wp:simplePos x="0" y="0"/>
            <wp:positionH relativeFrom="column">
              <wp:posOffset>237490</wp:posOffset>
            </wp:positionH>
            <wp:positionV relativeFrom="paragraph">
              <wp:posOffset>701040</wp:posOffset>
            </wp:positionV>
            <wp:extent cx="4826000" cy="3630930"/>
            <wp:effectExtent l="4445" t="4445" r="15875" b="6985"/>
            <wp:wrapTopAndBottom/>
            <wp:docPr id="4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sz w:val="32"/>
          <w:szCs w:val="32"/>
        </w:rPr>
        <w:t>（图6：一般公共预算财政拨款支出决算结构）</w:t>
      </w:r>
    </w:p>
    <w:p w14:paraId="59FED24D">
      <w:pPr>
        <w:spacing w:line="600" w:lineRule="exact"/>
        <w:ind w:firstLine="640" w:firstLineChars="200"/>
        <w:rPr>
          <w:rFonts w:ascii="仿宋" w:hAnsi="仿宋" w:eastAsia="仿宋"/>
          <w:sz w:val="32"/>
          <w:szCs w:val="32"/>
        </w:rPr>
      </w:pPr>
    </w:p>
    <w:p w14:paraId="4AA43EAA">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712D7E75">
      <w:pPr>
        <w:spacing w:line="600" w:lineRule="exact"/>
        <w:ind w:firstLine="643" w:firstLineChars="200"/>
        <w:outlineLvl w:val="2"/>
        <w:rPr>
          <w:rFonts w:ascii="仿宋" w:hAnsi="仿宋" w:eastAsia="仿宋"/>
          <w:sz w:val="32"/>
          <w:szCs w:val="32"/>
        </w:rPr>
      </w:pPr>
      <w:bookmarkStart w:id="31" w:name="_Toc15378460"/>
      <w:bookmarkStart w:id="32" w:name="_Toc15377213"/>
      <w:bookmarkStart w:id="33" w:name="_Toc15377444"/>
      <w:r>
        <w:rPr>
          <w:rFonts w:hint="eastAsia" w:ascii="仿宋" w:hAnsi="仿宋" w:eastAsia="仿宋"/>
          <w:b/>
          <w:sz w:val="32"/>
          <w:szCs w:val="32"/>
        </w:rPr>
        <w:t>2023年度一般公共预算支出决算数为</w:t>
      </w:r>
      <w:r>
        <w:rPr>
          <w:rFonts w:ascii="仿宋" w:hAnsi="仿宋" w:eastAsia="仿宋"/>
          <w:b/>
          <w:sz w:val="32"/>
          <w:szCs w:val="32"/>
        </w:rPr>
        <w:t>862.39</w:t>
      </w:r>
      <w:r>
        <w:rPr>
          <w:rFonts w:hint="eastAsia" w:ascii="仿宋" w:hAnsi="仿宋" w:eastAsia="仿宋"/>
          <w:sz w:val="32"/>
          <w:szCs w:val="32"/>
        </w:rPr>
        <w:t>，</w:t>
      </w:r>
      <w:r>
        <w:rPr>
          <w:rStyle w:val="16"/>
          <w:rFonts w:hint="eastAsia" w:ascii="仿宋" w:hAnsi="仿宋" w:eastAsia="仿宋"/>
          <w:bCs/>
          <w:sz w:val="32"/>
          <w:szCs w:val="32"/>
        </w:rPr>
        <w:t>完成预算</w:t>
      </w:r>
      <w:r>
        <w:rPr>
          <w:rStyle w:val="16"/>
          <w:rFonts w:hint="eastAsia" w:ascii="仿宋" w:hAnsi="仿宋" w:eastAsia="仿宋"/>
          <w:bCs/>
          <w:sz w:val="32"/>
          <w:szCs w:val="32"/>
          <w:lang w:val="en-US" w:eastAsia="zh-CN"/>
        </w:rPr>
        <w:t>100</w:t>
      </w:r>
      <w:r>
        <w:rPr>
          <w:rStyle w:val="16"/>
          <w:rFonts w:ascii="仿宋" w:hAnsi="仿宋" w:eastAsia="仿宋"/>
          <w:bCs/>
          <w:sz w:val="32"/>
          <w:szCs w:val="32"/>
        </w:rPr>
        <w:t>%</w:t>
      </w:r>
      <w:r>
        <w:rPr>
          <w:rStyle w:val="16"/>
          <w:rFonts w:hint="eastAsia" w:ascii="仿宋" w:hAnsi="仿宋" w:eastAsia="仿宋"/>
          <w:bCs/>
          <w:sz w:val="32"/>
          <w:szCs w:val="32"/>
        </w:rPr>
        <w:t>。其中：</w:t>
      </w:r>
      <w:bookmarkEnd w:id="31"/>
      <w:bookmarkEnd w:id="32"/>
      <w:bookmarkEnd w:id="33"/>
    </w:p>
    <w:p w14:paraId="410DD702">
      <w:pPr>
        <w:spacing w:line="600" w:lineRule="exact"/>
        <w:ind w:firstLine="643" w:firstLineChars="200"/>
        <w:rPr>
          <w:rStyle w:val="16"/>
          <w:rFonts w:hint="eastAsia" w:ascii="仿宋" w:hAnsi="仿宋" w:eastAsia="仿宋" w:cs="仿宋"/>
          <w:b w:val="0"/>
          <w:bCs w:val="0"/>
          <w:color w:val="auto"/>
          <w:sz w:val="32"/>
          <w:szCs w:val="32"/>
          <w:u w:val="none"/>
        </w:rPr>
      </w:pPr>
      <w:r>
        <w:rPr>
          <w:rStyle w:val="16"/>
          <w:rFonts w:hint="eastAsia" w:ascii="仿宋" w:hAnsi="仿宋" w:eastAsia="仿宋"/>
          <w:bCs/>
          <w:sz w:val="32"/>
          <w:szCs w:val="32"/>
        </w:rPr>
        <w:t>教育（</w:t>
      </w:r>
      <w:r>
        <w:rPr>
          <w:rStyle w:val="16"/>
          <w:rFonts w:hint="eastAsia" w:ascii="仿宋" w:hAnsi="仿宋" w:eastAsia="仿宋"/>
          <w:bCs/>
          <w:sz w:val="32"/>
          <w:szCs w:val="32"/>
          <w:lang w:val="en-US" w:eastAsia="zh-CN"/>
        </w:rPr>
        <w:t>205</w:t>
      </w:r>
      <w:r>
        <w:rPr>
          <w:rStyle w:val="16"/>
          <w:rFonts w:hint="eastAsia" w:ascii="仿宋" w:hAnsi="仿宋" w:eastAsia="仿宋"/>
          <w:bCs/>
          <w:sz w:val="32"/>
          <w:szCs w:val="32"/>
        </w:rPr>
        <w:t>类）</w:t>
      </w:r>
      <w:r>
        <w:rPr>
          <w:rStyle w:val="16"/>
          <w:rFonts w:hint="eastAsia" w:ascii="仿宋" w:hAnsi="仿宋" w:eastAsia="仿宋" w:cs="仿宋"/>
          <w:b w:val="0"/>
          <w:bCs w:val="0"/>
          <w:color w:val="auto"/>
          <w:sz w:val="32"/>
          <w:szCs w:val="32"/>
          <w:u w:val="none"/>
        </w:rPr>
        <w:t>普通教育（02款）</w:t>
      </w:r>
      <w:r>
        <w:rPr>
          <w:rStyle w:val="16"/>
          <w:rFonts w:hint="eastAsia" w:ascii="仿宋" w:hAnsi="仿宋" w:eastAsia="仿宋" w:cs="仿宋"/>
          <w:b w:val="0"/>
          <w:bCs w:val="0"/>
          <w:color w:val="auto"/>
          <w:sz w:val="32"/>
          <w:szCs w:val="32"/>
          <w:u w:val="none"/>
          <w:lang w:eastAsia="zh-CN"/>
        </w:rPr>
        <w:t>学前</w:t>
      </w:r>
      <w:r>
        <w:rPr>
          <w:rStyle w:val="16"/>
          <w:rFonts w:hint="eastAsia" w:ascii="仿宋" w:hAnsi="仿宋" w:eastAsia="仿宋" w:cs="仿宋"/>
          <w:b w:val="0"/>
          <w:bCs w:val="0"/>
          <w:color w:val="auto"/>
          <w:sz w:val="32"/>
          <w:szCs w:val="32"/>
          <w:u w:val="none"/>
        </w:rPr>
        <w:t>教育（0</w:t>
      </w:r>
      <w:r>
        <w:rPr>
          <w:rStyle w:val="16"/>
          <w:rFonts w:hint="eastAsia" w:ascii="仿宋" w:hAnsi="仿宋" w:eastAsia="仿宋" w:cs="仿宋"/>
          <w:b w:val="0"/>
          <w:bCs w:val="0"/>
          <w:color w:val="auto"/>
          <w:sz w:val="32"/>
          <w:szCs w:val="32"/>
          <w:u w:val="none"/>
          <w:lang w:val="en-US" w:eastAsia="zh-CN"/>
        </w:rPr>
        <w:t>1</w:t>
      </w:r>
      <w:r>
        <w:rPr>
          <w:rStyle w:val="16"/>
          <w:rFonts w:hint="eastAsia" w:ascii="仿宋" w:hAnsi="仿宋" w:eastAsia="仿宋" w:cs="仿宋"/>
          <w:b w:val="0"/>
          <w:bCs w:val="0"/>
          <w:color w:val="auto"/>
          <w:sz w:val="32"/>
          <w:szCs w:val="32"/>
          <w:u w:val="none"/>
        </w:rPr>
        <w:t>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支出决算数为</w:t>
      </w:r>
      <w:r>
        <w:rPr>
          <w:rStyle w:val="16"/>
          <w:rFonts w:hint="eastAsia" w:ascii="仿宋" w:hAnsi="仿宋" w:eastAsia="仿宋" w:cs="仿宋"/>
          <w:b w:val="0"/>
          <w:bCs w:val="0"/>
          <w:color w:val="auto"/>
          <w:sz w:val="32"/>
          <w:szCs w:val="32"/>
          <w:u w:val="none"/>
          <w:lang w:val="en-US" w:eastAsia="zh-CN"/>
        </w:rPr>
        <w:t>127.34</w:t>
      </w:r>
      <w:r>
        <w:rPr>
          <w:rStyle w:val="16"/>
          <w:rFonts w:hint="eastAsia" w:ascii="仿宋" w:hAnsi="仿宋" w:eastAsia="仿宋" w:cs="仿宋"/>
          <w:b w:val="0"/>
          <w:bCs w:val="0"/>
          <w:color w:val="auto"/>
          <w:sz w:val="32"/>
          <w:szCs w:val="32"/>
          <w:u w:val="none"/>
        </w:rPr>
        <w:t>万元，完成预算</w:t>
      </w:r>
      <w:r>
        <w:rPr>
          <w:rStyle w:val="16"/>
          <w:rFonts w:hint="eastAsia" w:ascii="仿宋" w:hAnsi="仿宋" w:eastAsia="仿宋" w:cs="仿宋"/>
          <w:b w:val="0"/>
          <w:bCs w:val="0"/>
          <w:color w:val="auto"/>
          <w:sz w:val="32"/>
          <w:szCs w:val="32"/>
          <w:u w:val="none"/>
          <w:lang w:val="en-US" w:eastAsia="zh-CN"/>
        </w:rPr>
        <w:t>100</w:t>
      </w:r>
      <w:r>
        <w:rPr>
          <w:rStyle w:val="16"/>
          <w:rFonts w:hint="eastAsia" w:ascii="仿宋" w:hAnsi="仿宋" w:eastAsia="仿宋" w:cs="仿宋"/>
          <w:b w:val="0"/>
          <w:bCs w:val="0"/>
          <w:color w:val="auto"/>
          <w:sz w:val="32"/>
          <w:szCs w:val="32"/>
          <w:u w:val="none"/>
        </w:rPr>
        <w:t>%。</w:t>
      </w:r>
    </w:p>
    <w:p w14:paraId="32208A4D">
      <w:pPr>
        <w:spacing w:line="600" w:lineRule="exact"/>
        <w:ind w:firstLine="643" w:firstLineChars="200"/>
        <w:rPr>
          <w:rStyle w:val="16"/>
          <w:rFonts w:hint="eastAsia" w:ascii="仿宋" w:hAnsi="仿宋" w:eastAsia="仿宋" w:cs="仿宋"/>
          <w:b w:val="0"/>
          <w:bCs w:val="0"/>
          <w:color w:val="auto"/>
          <w:sz w:val="32"/>
          <w:szCs w:val="32"/>
          <w:u w:val="none"/>
          <w:lang w:eastAsia="zh-CN"/>
        </w:rPr>
      </w:pPr>
      <w:r>
        <w:rPr>
          <w:rStyle w:val="16"/>
          <w:rFonts w:hint="eastAsia" w:ascii="仿宋" w:hAnsi="仿宋" w:eastAsia="仿宋" w:cs="仿宋"/>
          <w:b/>
          <w:bCs/>
          <w:color w:val="auto"/>
          <w:sz w:val="32"/>
          <w:szCs w:val="32"/>
          <w:u w:val="none"/>
        </w:rPr>
        <w:t>教育</w:t>
      </w:r>
      <w:r>
        <w:rPr>
          <w:rStyle w:val="16"/>
          <w:rFonts w:hint="eastAsia" w:ascii="仿宋" w:hAnsi="仿宋" w:eastAsia="仿宋" w:cs="仿宋"/>
          <w:b w:val="0"/>
          <w:bCs w:val="0"/>
          <w:color w:val="auto"/>
          <w:sz w:val="32"/>
          <w:szCs w:val="32"/>
          <w:u w:val="none"/>
        </w:rPr>
        <w:t>（205类）普通教育（02款）</w:t>
      </w:r>
      <w:r>
        <w:rPr>
          <w:rStyle w:val="16"/>
          <w:rFonts w:hint="eastAsia" w:ascii="仿宋" w:hAnsi="仿宋" w:eastAsia="仿宋" w:cs="仿宋"/>
          <w:b w:val="0"/>
          <w:bCs w:val="0"/>
          <w:color w:val="auto"/>
          <w:sz w:val="32"/>
          <w:szCs w:val="32"/>
          <w:u w:val="none"/>
          <w:lang w:eastAsia="zh-CN"/>
        </w:rPr>
        <w:t>小学</w:t>
      </w:r>
      <w:r>
        <w:rPr>
          <w:rStyle w:val="16"/>
          <w:rFonts w:hint="eastAsia" w:ascii="仿宋" w:hAnsi="仿宋" w:eastAsia="仿宋" w:cs="仿宋"/>
          <w:b w:val="0"/>
          <w:bCs w:val="0"/>
          <w:color w:val="auto"/>
          <w:sz w:val="32"/>
          <w:szCs w:val="32"/>
          <w:u w:val="none"/>
        </w:rPr>
        <w:t>教育（0</w:t>
      </w:r>
      <w:r>
        <w:rPr>
          <w:rStyle w:val="16"/>
          <w:rFonts w:hint="eastAsia" w:ascii="仿宋" w:hAnsi="仿宋" w:eastAsia="仿宋" w:cs="仿宋"/>
          <w:b w:val="0"/>
          <w:bCs w:val="0"/>
          <w:color w:val="auto"/>
          <w:sz w:val="32"/>
          <w:szCs w:val="32"/>
          <w:u w:val="none"/>
          <w:lang w:val="en-US" w:eastAsia="zh-CN"/>
        </w:rPr>
        <w:t>2</w:t>
      </w:r>
      <w:r>
        <w:rPr>
          <w:rStyle w:val="16"/>
          <w:rFonts w:hint="eastAsia" w:ascii="仿宋" w:hAnsi="仿宋" w:eastAsia="仿宋" w:cs="仿宋"/>
          <w:b w:val="0"/>
          <w:bCs w:val="0"/>
          <w:color w:val="auto"/>
          <w:sz w:val="32"/>
          <w:szCs w:val="32"/>
          <w:u w:val="none"/>
        </w:rPr>
        <w:t>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 xml:space="preserve"> 支出决算数为</w:t>
      </w:r>
      <w:r>
        <w:rPr>
          <w:rStyle w:val="16"/>
          <w:rFonts w:hint="eastAsia" w:ascii="仿宋" w:hAnsi="仿宋" w:eastAsia="仿宋" w:cs="仿宋"/>
          <w:b w:val="0"/>
          <w:bCs w:val="0"/>
          <w:color w:val="auto"/>
          <w:sz w:val="32"/>
          <w:szCs w:val="32"/>
          <w:u w:val="none"/>
          <w:lang w:val="en-US" w:eastAsia="zh-CN"/>
        </w:rPr>
        <w:t>604.07</w:t>
      </w:r>
      <w:r>
        <w:rPr>
          <w:rStyle w:val="16"/>
          <w:rFonts w:hint="eastAsia" w:ascii="仿宋" w:hAnsi="仿宋" w:eastAsia="仿宋" w:cs="仿宋"/>
          <w:b w:val="0"/>
          <w:bCs w:val="0"/>
          <w:color w:val="auto"/>
          <w:sz w:val="32"/>
          <w:szCs w:val="32"/>
          <w:u w:val="none"/>
        </w:rPr>
        <w:t>万元，完成预算</w:t>
      </w:r>
      <w:r>
        <w:rPr>
          <w:rStyle w:val="16"/>
          <w:rFonts w:hint="eastAsia" w:ascii="仿宋" w:hAnsi="仿宋" w:eastAsia="仿宋" w:cs="仿宋"/>
          <w:b w:val="0"/>
          <w:bCs w:val="0"/>
          <w:color w:val="auto"/>
          <w:sz w:val="32"/>
          <w:szCs w:val="32"/>
          <w:u w:val="none"/>
          <w:lang w:val="en-US" w:eastAsia="zh-CN"/>
        </w:rPr>
        <w:t>100</w:t>
      </w:r>
      <w:r>
        <w:rPr>
          <w:rStyle w:val="16"/>
          <w:rFonts w:hint="eastAsia" w:ascii="仿宋" w:hAnsi="仿宋" w:eastAsia="仿宋" w:cs="仿宋"/>
          <w:b w:val="0"/>
          <w:bCs w:val="0"/>
          <w:color w:val="auto"/>
          <w:sz w:val="32"/>
          <w:szCs w:val="32"/>
          <w:u w:val="none"/>
        </w:rPr>
        <w:t>%。</w:t>
      </w:r>
    </w:p>
    <w:p w14:paraId="51FA270D">
      <w:pPr>
        <w:spacing w:line="600" w:lineRule="exact"/>
        <w:ind w:firstLine="643" w:firstLineChars="200"/>
        <w:rPr>
          <w:rStyle w:val="16"/>
          <w:rFonts w:hint="eastAsia" w:ascii="仿宋" w:hAnsi="仿宋" w:eastAsia="仿宋" w:cs="仿宋"/>
          <w:b w:val="0"/>
          <w:bCs w:val="0"/>
          <w:color w:val="auto"/>
          <w:sz w:val="32"/>
          <w:szCs w:val="32"/>
          <w:u w:val="none"/>
        </w:rPr>
      </w:pPr>
      <w:r>
        <w:rPr>
          <w:rStyle w:val="16"/>
          <w:rFonts w:hint="eastAsia" w:ascii="仿宋" w:hAnsi="仿宋" w:eastAsia="仿宋" w:cs="仿宋"/>
          <w:b/>
          <w:bCs/>
          <w:color w:val="auto"/>
          <w:sz w:val="32"/>
          <w:szCs w:val="32"/>
          <w:u w:val="none"/>
        </w:rPr>
        <w:t>教育</w:t>
      </w:r>
      <w:r>
        <w:rPr>
          <w:rStyle w:val="16"/>
          <w:rFonts w:hint="eastAsia" w:ascii="仿宋" w:hAnsi="仿宋" w:eastAsia="仿宋" w:cs="仿宋"/>
          <w:b w:val="0"/>
          <w:bCs w:val="0"/>
          <w:color w:val="auto"/>
          <w:sz w:val="32"/>
          <w:szCs w:val="32"/>
          <w:u w:val="none"/>
        </w:rPr>
        <w:t>（205类）</w:t>
      </w:r>
      <w:r>
        <w:rPr>
          <w:rStyle w:val="16"/>
          <w:rFonts w:hint="eastAsia" w:ascii="仿宋" w:hAnsi="仿宋" w:eastAsia="仿宋" w:cs="仿宋"/>
          <w:b/>
          <w:bCs/>
          <w:color w:val="auto"/>
          <w:sz w:val="32"/>
          <w:szCs w:val="32"/>
          <w:u w:val="none"/>
        </w:rPr>
        <w:t>其他教育支出</w:t>
      </w:r>
      <w:r>
        <w:rPr>
          <w:rStyle w:val="16"/>
          <w:rFonts w:hint="eastAsia" w:ascii="仿宋" w:hAnsi="仿宋" w:eastAsia="仿宋" w:cs="仿宋"/>
          <w:b w:val="0"/>
          <w:bCs w:val="0"/>
          <w:color w:val="auto"/>
          <w:sz w:val="32"/>
          <w:szCs w:val="32"/>
          <w:u w:val="none"/>
        </w:rPr>
        <w:t>（99</w:t>
      </w:r>
      <w:r>
        <w:rPr>
          <w:rStyle w:val="16"/>
          <w:rFonts w:hint="eastAsia" w:ascii="仿宋" w:hAnsi="仿宋" w:eastAsia="仿宋" w:cs="仿宋"/>
          <w:b w:val="0"/>
          <w:bCs w:val="0"/>
          <w:color w:val="auto"/>
          <w:sz w:val="32"/>
          <w:szCs w:val="32"/>
          <w:u w:val="none"/>
          <w:lang w:eastAsia="zh-CN"/>
        </w:rPr>
        <w:t>款</w:t>
      </w:r>
      <w:r>
        <w:rPr>
          <w:rStyle w:val="16"/>
          <w:rFonts w:hint="eastAsia" w:ascii="仿宋" w:hAnsi="仿宋" w:eastAsia="仿宋" w:cs="仿宋"/>
          <w:b w:val="0"/>
          <w:bCs w:val="0"/>
          <w:color w:val="auto"/>
          <w:sz w:val="32"/>
          <w:szCs w:val="32"/>
          <w:u w:val="none"/>
        </w:rPr>
        <w:t>）</w:t>
      </w:r>
      <w:r>
        <w:rPr>
          <w:rStyle w:val="16"/>
          <w:rFonts w:hint="eastAsia" w:ascii="仿宋" w:hAnsi="仿宋" w:eastAsia="仿宋" w:cs="仿宋"/>
          <w:b w:val="0"/>
          <w:bCs w:val="0"/>
          <w:color w:val="auto"/>
          <w:sz w:val="32"/>
          <w:szCs w:val="32"/>
          <w:u w:val="none"/>
          <w:lang w:eastAsia="zh-CN"/>
        </w:rPr>
        <w:t>其他教育支出（</w:t>
      </w:r>
      <w:r>
        <w:rPr>
          <w:rStyle w:val="16"/>
          <w:rFonts w:hint="eastAsia" w:ascii="仿宋" w:hAnsi="仿宋" w:eastAsia="仿宋" w:cs="仿宋"/>
          <w:b w:val="0"/>
          <w:bCs w:val="0"/>
          <w:color w:val="auto"/>
          <w:sz w:val="32"/>
          <w:szCs w:val="32"/>
          <w:u w:val="none"/>
          <w:lang w:val="en-US" w:eastAsia="zh-CN"/>
        </w:rPr>
        <w:t>99项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本年收入</w:t>
      </w:r>
      <w:r>
        <w:rPr>
          <w:rStyle w:val="16"/>
          <w:rFonts w:hint="eastAsia" w:ascii="仿宋" w:hAnsi="仿宋" w:eastAsia="仿宋" w:cs="仿宋"/>
          <w:b w:val="0"/>
          <w:bCs w:val="0"/>
          <w:color w:val="auto"/>
          <w:sz w:val="32"/>
          <w:szCs w:val="32"/>
          <w:u w:val="none"/>
          <w:lang w:val="en-US" w:eastAsia="zh-CN"/>
        </w:rPr>
        <w:t>0.4</w:t>
      </w:r>
      <w:r>
        <w:rPr>
          <w:rStyle w:val="16"/>
          <w:rFonts w:hint="eastAsia" w:ascii="仿宋" w:hAnsi="仿宋" w:eastAsia="仿宋" w:cs="仿宋"/>
          <w:b w:val="0"/>
          <w:bCs w:val="0"/>
          <w:color w:val="auto"/>
          <w:sz w:val="32"/>
          <w:szCs w:val="32"/>
          <w:u w:val="none"/>
        </w:rPr>
        <w:t>万元，支出决算数为</w:t>
      </w:r>
      <w:r>
        <w:rPr>
          <w:rStyle w:val="16"/>
          <w:rFonts w:hint="eastAsia" w:ascii="仿宋" w:hAnsi="仿宋" w:eastAsia="仿宋" w:cs="仿宋"/>
          <w:b w:val="0"/>
          <w:bCs w:val="0"/>
          <w:color w:val="auto"/>
          <w:sz w:val="32"/>
          <w:szCs w:val="32"/>
          <w:u w:val="none"/>
          <w:lang w:val="en-US" w:eastAsia="zh-CN"/>
        </w:rPr>
        <w:t>0.4</w:t>
      </w:r>
      <w:r>
        <w:rPr>
          <w:rStyle w:val="16"/>
          <w:rFonts w:hint="eastAsia" w:ascii="仿宋" w:hAnsi="仿宋" w:eastAsia="仿宋" w:cs="仿宋"/>
          <w:b w:val="0"/>
          <w:bCs w:val="0"/>
          <w:color w:val="auto"/>
          <w:sz w:val="32"/>
          <w:szCs w:val="32"/>
          <w:u w:val="none"/>
        </w:rPr>
        <w:t>万元。完成预算</w:t>
      </w:r>
      <w:r>
        <w:rPr>
          <w:rStyle w:val="16"/>
          <w:rFonts w:hint="eastAsia" w:ascii="仿宋" w:hAnsi="仿宋" w:eastAsia="仿宋" w:cs="仿宋"/>
          <w:b w:val="0"/>
          <w:bCs w:val="0"/>
          <w:color w:val="auto"/>
          <w:sz w:val="32"/>
          <w:szCs w:val="32"/>
          <w:u w:val="none"/>
          <w:lang w:val="en-US" w:eastAsia="zh-CN"/>
        </w:rPr>
        <w:t>100</w:t>
      </w:r>
      <w:r>
        <w:rPr>
          <w:rStyle w:val="16"/>
          <w:rFonts w:hint="eastAsia" w:ascii="仿宋" w:hAnsi="仿宋" w:eastAsia="仿宋" w:cs="仿宋"/>
          <w:b w:val="0"/>
          <w:bCs w:val="0"/>
          <w:color w:val="auto"/>
          <w:sz w:val="32"/>
          <w:szCs w:val="32"/>
          <w:u w:val="none"/>
        </w:rPr>
        <w:t>%。</w:t>
      </w:r>
    </w:p>
    <w:p w14:paraId="44605DD8">
      <w:pPr>
        <w:spacing w:line="600" w:lineRule="exact"/>
        <w:ind w:firstLine="643" w:firstLineChars="200"/>
        <w:rPr>
          <w:rFonts w:hint="eastAsia" w:ascii="仿宋" w:hAnsi="仿宋" w:eastAsia="仿宋" w:cs="仿宋"/>
          <w:b w:val="0"/>
          <w:bCs w:val="0"/>
          <w:color w:val="auto"/>
          <w:sz w:val="32"/>
          <w:szCs w:val="32"/>
          <w:u w:val="none"/>
        </w:rPr>
      </w:pPr>
      <w:r>
        <w:rPr>
          <w:rStyle w:val="16"/>
          <w:rFonts w:hint="eastAsia" w:ascii="仿宋" w:hAnsi="仿宋" w:eastAsia="仿宋" w:cs="仿宋"/>
          <w:b/>
          <w:bCs/>
          <w:color w:val="auto"/>
          <w:sz w:val="32"/>
          <w:szCs w:val="32"/>
          <w:u w:val="none"/>
        </w:rPr>
        <w:t>社会保障和就业</w:t>
      </w:r>
      <w:r>
        <w:rPr>
          <w:rStyle w:val="16"/>
          <w:rFonts w:hint="eastAsia" w:ascii="仿宋" w:hAnsi="仿宋" w:eastAsia="仿宋" w:cs="仿宋"/>
          <w:b w:val="0"/>
          <w:bCs w:val="0"/>
          <w:color w:val="auto"/>
          <w:sz w:val="32"/>
          <w:szCs w:val="32"/>
          <w:u w:val="none"/>
        </w:rPr>
        <w:t>（208类）行政事业单位养老支出（05款）机关事业单位基本养老保险缴费支出（05项）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 xml:space="preserve"> 本年收入</w:t>
      </w:r>
      <w:r>
        <w:rPr>
          <w:rStyle w:val="16"/>
          <w:rFonts w:hint="eastAsia" w:ascii="仿宋" w:hAnsi="仿宋" w:eastAsia="仿宋" w:cs="仿宋"/>
          <w:b w:val="0"/>
          <w:bCs w:val="0"/>
          <w:color w:val="auto"/>
          <w:sz w:val="32"/>
          <w:szCs w:val="32"/>
          <w:u w:val="none"/>
          <w:lang w:val="en-US" w:eastAsia="zh-CN"/>
        </w:rPr>
        <w:t>35.20万元</w:t>
      </w:r>
      <w:r>
        <w:rPr>
          <w:rStyle w:val="16"/>
          <w:rFonts w:hint="eastAsia" w:ascii="仿宋" w:hAnsi="仿宋" w:eastAsia="仿宋" w:cs="仿宋"/>
          <w:b w:val="0"/>
          <w:bCs w:val="0"/>
          <w:color w:val="auto"/>
          <w:sz w:val="32"/>
          <w:szCs w:val="32"/>
          <w:u w:val="none"/>
        </w:rPr>
        <w:t>，支出决算为</w:t>
      </w:r>
      <w:r>
        <w:rPr>
          <w:rStyle w:val="16"/>
          <w:rFonts w:hint="eastAsia" w:ascii="仿宋" w:hAnsi="仿宋" w:eastAsia="仿宋" w:cs="仿宋"/>
          <w:b w:val="0"/>
          <w:bCs w:val="0"/>
          <w:color w:val="auto"/>
          <w:sz w:val="32"/>
          <w:szCs w:val="32"/>
          <w:u w:val="none"/>
          <w:lang w:val="en-US" w:eastAsia="zh-CN"/>
        </w:rPr>
        <w:t>35.20</w:t>
      </w:r>
      <w:r>
        <w:rPr>
          <w:rStyle w:val="16"/>
          <w:rFonts w:hint="eastAsia" w:ascii="仿宋" w:hAnsi="仿宋" w:eastAsia="仿宋" w:cs="仿宋"/>
          <w:b w:val="0"/>
          <w:bCs w:val="0"/>
          <w:color w:val="auto"/>
          <w:sz w:val="32"/>
          <w:szCs w:val="32"/>
          <w:u w:val="none"/>
        </w:rPr>
        <w:t>万元，完成预算100%。</w:t>
      </w:r>
    </w:p>
    <w:p w14:paraId="47A93230">
      <w:pPr>
        <w:spacing w:line="600" w:lineRule="exact"/>
        <w:ind w:firstLine="643" w:firstLineChars="200"/>
        <w:rPr>
          <w:rStyle w:val="16"/>
          <w:rFonts w:hint="eastAsia" w:ascii="仿宋" w:hAnsi="仿宋" w:eastAsia="仿宋" w:cs="仿宋"/>
          <w:b w:val="0"/>
          <w:bCs w:val="0"/>
          <w:color w:val="auto"/>
          <w:sz w:val="32"/>
          <w:szCs w:val="32"/>
          <w:u w:val="none"/>
        </w:rPr>
      </w:pPr>
      <w:r>
        <w:rPr>
          <w:rStyle w:val="16"/>
          <w:rFonts w:hint="eastAsia" w:ascii="仿宋" w:hAnsi="仿宋" w:eastAsia="仿宋" w:cs="仿宋"/>
          <w:b/>
          <w:bCs/>
          <w:color w:val="auto"/>
          <w:sz w:val="32"/>
          <w:szCs w:val="32"/>
          <w:u w:val="none"/>
        </w:rPr>
        <w:t>社会保障和就业</w:t>
      </w:r>
      <w:r>
        <w:rPr>
          <w:rStyle w:val="16"/>
          <w:rFonts w:hint="eastAsia" w:ascii="仿宋" w:hAnsi="仿宋" w:eastAsia="仿宋" w:cs="仿宋"/>
          <w:b w:val="0"/>
          <w:bCs w:val="0"/>
          <w:color w:val="auto"/>
          <w:sz w:val="32"/>
          <w:szCs w:val="32"/>
          <w:u w:val="none"/>
        </w:rPr>
        <w:t>（208类）行政事业单位养老支出（05款）机关事业单位职业年金缴费支出（06项）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 xml:space="preserve"> 本收入</w:t>
      </w:r>
      <w:r>
        <w:rPr>
          <w:rStyle w:val="16"/>
          <w:rFonts w:hint="eastAsia" w:ascii="仿宋" w:hAnsi="仿宋" w:eastAsia="仿宋" w:cs="仿宋"/>
          <w:b w:val="0"/>
          <w:bCs w:val="0"/>
          <w:color w:val="auto"/>
          <w:sz w:val="32"/>
          <w:szCs w:val="32"/>
          <w:u w:val="none"/>
          <w:lang w:val="en-US" w:eastAsia="zh-CN"/>
        </w:rPr>
        <w:t>17.60</w:t>
      </w:r>
      <w:r>
        <w:rPr>
          <w:rStyle w:val="16"/>
          <w:rFonts w:hint="eastAsia" w:ascii="仿宋" w:hAnsi="仿宋" w:eastAsia="仿宋" w:cs="仿宋"/>
          <w:b w:val="0"/>
          <w:bCs w:val="0"/>
          <w:color w:val="auto"/>
          <w:sz w:val="32"/>
          <w:szCs w:val="32"/>
          <w:u w:val="none"/>
        </w:rPr>
        <w:t>万元，支出决算为</w:t>
      </w:r>
      <w:r>
        <w:rPr>
          <w:rStyle w:val="16"/>
          <w:rFonts w:hint="eastAsia" w:ascii="仿宋" w:hAnsi="仿宋" w:eastAsia="仿宋" w:cs="仿宋"/>
          <w:b w:val="0"/>
          <w:bCs w:val="0"/>
          <w:color w:val="auto"/>
          <w:sz w:val="32"/>
          <w:szCs w:val="32"/>
          <w:u w:val="none"/>
          <w:lang w:val="en-US" w:eastAsia="zh-CN"/>
        </w:rPr>
        <w:t>17.60</w:t>
      </w:r>
      <w:r>
        <w:rPr>
          <w:rStyle w:val="16"/>
          <w:rFonts w:hint="eastAsia" w:ascii="仿宋" w:hAnsi="仿宋" w:eastAsia="仿宋" w:cs="仿宋"/>
          <w:b w:val="0"/>
          <w:bCs w:val="0"/>
          <w:color w:val="auto"/>
          <w:sz w:val="32"/>
          <w:szCs w:val="32"/>
          <w:u w:val="none"/>
        </w:rPr>
        <w:t>万元，完成预算100%。</w:t>
      </w:r>
    </w:p>
    <w:p w14:paraId="6CE6FED1">
      <w:pPr>
        <w:spacing w:line="600" w:lineRule="exact"/>
        <w:ind w:firstLine="643" w:firstLineChars="200"/>
        <w:rPr>
          <w:rStyle w:val="16"/>
          <w:rFonts w:hint="eastAsia" w:ascii="仿宋" w:hAnsi="仿宋" w:eastAsia="仿宋" w:cs="仿宋"/>
          <w:b w:val="0"/>
          <w:bCs w:val="0"/>
          <w:color w:val="auto"/>
          <w:sz w:val="32"/>
          <w:szCs w:val="32"/>
          <w:u w:val="none"/>
        </w:rPr>
      </w:pPr>
      <w:r>
        <w:rPr>
          <w:rStyle w:val="16"/>
          <w:rFonts w:hint="eastAsia" w:ascii="仿宋" w:hAnsi="仿宋" w:eastAsia="仿宋" w:cs="仿宋"/>
          <w:b/>
          <w:bCs/>
          <w:color w:val="auto"/>
          <w:sz w:val="32"/>
          <w:szCs w:val="32"/>
          <w:u w:val="none"/>
        </w:rPr>
        <w:t>社会保障和就业</w:t>
      </w:r>
      <w:r>
        <w:rPr>
          <w:rStyle w:val="16"/>
          <w:rFonts w:hint="eastAsia" w:ascii="仿宋" w:hAnsi="仿宋" w:eastAsia="仿宋" w:cs="仿宋"/>
          <w:b w:val="0"/>
          <w:bCs w:val="0"/>
          <w:color w:val="auto"/>
          <w:sz w:val="32"/>
          <w:szCs w:val="32"/>
          <w:u w:val="none"/>
        </w:rPr>
        <w:t>（208类）其他社会保障和就业支出（99款）其他社会保障和就业支出（99款）</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 xml:space="preserve"> 本年收入</w:t>
      </w:r>
      <w:r>
        <w:rPr>
          <w:rStyle w:val="16"/>
          <w:rFonts w:hint="eastAsia" w:ascii="仿宋" w:hAnsi="仿宋" w:eastAsia="仿宋" w:cs="仿宋"/>
          <w:b w:val="0"/>
          <w:bCs w:val="0"/>
          <w:color w:val="auto"/>
          <w:sz w:val="32"/>
          <w:szCs w:val="32"/>
          <w:u w:val="none"/>
          <w:lang w:val="en-US" w:eastAsia="zh-CN"/>
        </w:rPr>
        <w:t>7.8</w:t>
      </w:r>
      <w:r>
        <w:rPr>
          <w:rStyle w:val="16"/>
          <w:rFonts w:hint="eastAsia" w:ascii="仿宋" w:hAnsi="仿宋" w:eastAsia="仿宋" w:cs="仿宋"/>
          <w:b w:val="0"/>
          <w:bCs w:val="0"/>
          <w:color w:val="auto"/>
          <w:sz w:val="32"/>
          <w:szCs w:val="32"/>
          <w:u w:val="none"/>
        </w:rPr>
        <w:t>万元，支出决算数为</w:t>
      </w:r>
      <w:r>
        <w:rPr>
          <w:rStyle w:val="16"/>
          <w:rFonts w:hint="eastAsia" w:ascii="仿宋" w:hAnsi="仿宋" w:eastAsia="仿宋" w:cs="仿宋"/>
          <w:b w:val="0"/>
          <w:bCs w:val="0"/>
          <w:color w:val="auto"/>
          <w:sz w:val="32"/>
          <w:szCs w:val="32"/>
          <w:u w:val="none"/>
          <w:lang w:val="en-US" w:eastAsia="zh-CN"/>
        </w:rPr>
        <w:t>7.8</w:t>
      </w:r>
      <w:r>
        <w:rPr>
          <w:rStyle w:val="16"/>
          <w:rFonts w:hint="eastAsia" w:ascii="仿宋" w:hAnsi="仿宋" w:eastAsia="仿宋" w:cs="仿宋"/>
          <w:b w:val="0"/>
          <w:bCs w:val="0"/>
          <w:color w:val="auto"/>
          <w:sz w:val="32"/>
          <w:szCs w:val="32"/>
          <w:u w:val="none"/>
        </w:rPr>
        <w:t>万元，完成预算100%。</w:t>
      </w:r>
    </w:p>
    <w:p w14:paraId="562BE33C">
      <w:pPr>
        <w:spacing w:line="600" w:lineRule="exact"/>
        <w:ind w:firstLine="643" w:firstLineChars="200"/>
        <w:rPr>
          <w:rStyle w:val="16"/>
          <w:rFonts w:hint="eastAsia" w:ascii="仿宋" w:hAnsi="仿宋" w:eastAsia="仿宋" w:cs="仿宋"/>
          <w:b w:val="0"/>
          <w:bCs w:val="0"/>
          <w:color w:val="auto"/>
          <w:sz w:val="32"/>
          <w:szCs w:val="32"/>
          <w:u w:val="none"/>
        </w:rPr>
      </w:pPr>
      <w:r>
        <w:rPr>
          <w:rFonts w:hint="eastAsia" w:ascii="仿宋" w:hAnsi="仿宋" w:eastAsia="仿宋" w:cs="仿宋"/>
          <w:b/>
          <w:bCs/>
          <w:color w:val="auto"/>
          <w:sz w:val="32"/>
          <w:szCs w:val="32"/>
          <w:u w:val="none"/>
        </w:rPr>
        <w:t>卫生健康</w:t>
      </w:r>
      <w:r>
        <w:rPr>
          <w:rStyle w:val="16"/>
          <w:rFonts w:hint="eastAsia" w:ascii="仿宋" w:hAnsi="仿宋" w:eastAsia="仿宋" w:cs="仿宋"/>
          <w:b w:val="0"/>
          <w:bCs w:val="0"/>
          <w:color w:val="auto"/>
          <w:sz w:val="32"/>
          <w:szCs w:val="32"/>
          <w:u w:val="none"/>
        </w:rPr>
        <w:t>（210类）行政事业单位医疗（11款）事业单位医疗（02项）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本年收入</w:t>
      </w:r>
      <w:r>
        <w:rPr>
          <w:rStyle w:val="16"/>
          <w:rFonts w:hint="eastAsia" w:ascii="仿宋" w:hAnsi="仿宋" w:eastAsia="仿宋" w:cs="仿宋"/>
          <w:b w:val="0"/>
          <w:bCs w:val="0"/>
          <w:color w:val="auto"/>
          <w:sz w:val="32"/>
          <w:szCs w:val="32"/>
          <w:u w:val="none"/>
          <w:lang w:val="en-US" w:eastAsia="zh-CN"/>
        </w:rPr>
        <w:t>14.26</w:t>
      </w:r>
      <w:r>
        <w:rPr>
          <w:rStyle w:val="16"/>
          <w:rFonts w:hint="eastAsia" w:ascii="仿宋" w:hAnsi="仿宋" w:eastAsia="仿宋" w:cs="仿宋"/>
          <w:b w:val="0"/>
          <w:bCs w:val="0"/>
          <w:color w:val="auto"/>
          <w:sz w:val="32"/>
          <w:szCs w:val="32"/>
          <w:u w:val="none"/>
        </w:rPr>
        <w:t>万元，支出决算数为</w:t>
      </w:r>
      <w:r>
        <w:rPr>
          <w:rStyle w:val="16"/>
          <w:rFonts w:hint="eastAsia" w:ascii="仿宋" w:hAnsi="仿宋" w:eastAsia="仿宋" w:cs="仿宋"/>
          <w:b w:val="0"/>
          <w:bCs w:val="0"/>
          <w:color w:val="auto"/>
          <w:sz w:val="32"/>
          <w:szCs w:val="32"/>
          <w:u w:val="none"/>
          <w:lang w:val="en-US" w:eastAsia="zh-CN"/>
        </w:rPr>
        <w:t>14.26</w:t>
      </w:r>
      <w:r>
        <w:rPr>
          <w:rStyle w:val="16"/>
          <w:rFonts w:hint="eastAsia" w:ascii="仿宋" w:hAnsi="仿宋" w:eastAsia="仿宋" w:cs="仿宋"/>
          <w:b w:val="0"/>
          <w:bCs w:val="0"/>
          <w:color w:val="auto"/>
          <w:sz w:val="32"/>
          <w:szCs w:val="32"/>
          <w:u w:val="none"/>
        </w:rPr>
        <w:t>万元，完成预算100%。</w:t>
      </w:r>
    </w:p>
    <w:p w14:paraId="2B6CAA9C">
      <w:pPr>
        <w:spacing w:line="600" w:lineRule="exact"/>
        <w:ind w:firstLine="643" w:firstLineChars="200"/>
        <w:rPr>
          <w:rStyle w:val="16"/>
          <w:rFonts w:hint="eastAsia" w:ascii="仿宋" w:hAnsi="仿宋" w:eastAsia="仿宋" w:cs="仿宋"/>
          <w:b w:val="0"/>
          <w:bCs w:val="0"/>
          <w:color w:val="auto"/>
          <w:sz w:val="32"/>
          <w:szCs w:val="32"/>
          <w:u w:val="none"/>
        </w:rPr>
      </w:pPr>
      <w:r>
        <w:rPr>
          <w:rFonts w:hint="eastAsia" w:ascii="仿宋" w:hAnsi="仿宋" w:eastAsia="仿宋" w:cs="仿宋"/>
          <w:b/>
          <w:bCs/>
          <w:color w:val="auto"/>
          <w:sz w:val="32"/>
          <w:szCs w:val="32"/>
          <w:u w:val="none"/>
        </w:rPr>
        <w:t>卫生健康</w:t>
      </w:r>
      <w:r>
        <w:rPr>
          <w:rStyle w:val="16"/>
          <w:rFonts w:hint="eastAsia" w:ascii="仿宋" w:hAnsi="仿宋" w:eastAsia="仿宋" w:cs="仿宋"/>
          <w:b w:val="0"/>
          <w:bCs w:val="0"/>
          <w:color w:val="auto"/>
          <w:sz w:val="32"/>
          <w:szCs w:val="32"/>
          <w:u w:val="none"/>
        </w:rPr>
        <w:t>（210类）行政事业单位医疗（11款）</w:t>
      </w:r>
      <w:r>
        <w:rPr>
          <w:rStyle w:val="16"/>
          <w:rFonts w:hint="eastAsia" w:ascii="仿宋" w:hAnsi="仿宋" w:eastAsia="仿宋" w:cs="仿宋"/>
          <w:b w:val="0"/>
          <w:bCs w:val="0"/>
          <w:color w:val="auto"/>
          <w:sz w:val="32"/>
          <w:szCs w:val="32"/>
          <w:u w:val="none"/>
          <w:lang w:eastAsia="zh-CN"/>
        </w:rPr>
        <w:t>公务员医疗补助</w:t>
      </w:r>
      <w:r>
        <w:rPr>
          <w:rStyle w:val="16"/>
          <w:rFonts w:hint="eastAsia" w:ascii="仿宋" w:hAnsi="仿宋" w:eastAsia="仿宋" w:cs="仿宋"/>
          <w:b w:val="0"/>
          <w:bCs w:val="0"/>
          <w:color w:val="auto"/>
          <w:sz w:val="32"/>
          <w:szCs w:val="32"/>
          <w:u w:val="none"/>
        </w:rPr>
        <w:t>（0</w:t>
      </w:r>
      <w:r>
        <w:rPr>
          <w:rStyle w:val="16"/>
          <w:rFonts w:hint="eastAsia" w:ascii="仿宋" w:hAnsi="仿宋" w:eastAsia="仿宋" w:cs="仿宋"/>
          <w:b w:val="0"/>
          <w:bCs w:val="0"/>
          <w:color w:val="auto"/>
          <w:sz w:val="32"/>
          <w:szCs w:val="32"/>
          <w:u w:val="none"/>
          <w:lang w:val="en-US" w:eastAsia="zh-CN"/>
        </w:rPr>
        <w:t>3</w:t>
      </w:r>
      <w:r>
        <w:rPr>
          <w:rStyle w:val="16"/>
          <w:rFonts w:hint="eastAsia" w:ascii="仿宋" w:hAnsi="仿宋" w:eastAsia="仿宋" w:cs="仿宋"/>
          <w:b w:val="0"/>
          <w:bCs w:val="0"/>
          <w:color w:val="auto"/>
          <w:sz w:val="32"/>
          <w:szCs w:val="32"/>
          <w:u w:val="none"/>
        </w:rPr>
        <w:t>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本年收入</w:t>
      </w:r>
      <w:r>
        <w:rPr>
          <w:rStyle w:val="16"/>
          <w:rFonts w:hint="eastAsia" w:ascii="仿宋" w:hAnsi="仿宋" w:eastAsia="仿宋" w:cs="仿宋"/>
          <w:b w:val="0"/>
          <w:bCs w:val="0"/>
          <w:color w:val="auto"/>
          <w:sz w:val="32"/>
          <w:szCs w:val="32"/>
          <w:u w:val="none"/>
          <w:lang w:val="en-US" w:eastAsia="zh-CN"/>
        </w:rPr>
        <w:t>2.1</w:t>
      </w:r>
      <w:r>
        <w:rPr>
          <w:rStyle w:val="16"/>
          <w:rFonts w:hint="eastAsia" w:ascii="仿宋" w:hAnsi="仿宋" w:eastAsia="仿宋" w:cs="仿宋"/>
          <w:b w:val="0"/>
          <w:bCs w:val="0"/>
          <w:color w:val="auto"/>
          <w:sz w:val="32"/>
          <w:szCs w:val="32"/>
          <w:u w:val="none"/>
        </w:rPr>
        <w:t>万元，支出决算数为</w:t>
      </w:r>
      <w:r>
        <w:rPr>
          <w:rStyle w:val="16"/>
          <w:rFonts w:hint="eastAsia" w:ascii="仿宋" w:hAnsi="仿宋" w:eastAsia="仿宋" w:cs="仿宋"/>
          <w:b w:val="0"/>
          <w:bCs w:val="0"/>
          <w:color w:val="auto"/>
          <w:sz w:val="32"/>
          <w:szCs w:val="32"/>
          <w:u w:val="none"/>
          <w:lang w:val="en-US" w:eastAsia="zh-CN"/>
        </w:rPr>
        <w:t>2.1</w:t>
      </w:r>
      <w:r>
        <w:rPr>
          <w:rStyle w:val="16"/>
          <w:rFonts w:hint="eastAsia" w:ascii="仿宋" w:hAnsi="仿宋" w:eastAsia="仿宋" w:cs="仿宋"/>
          <w:b w:val="0"/>
          <w:bCs w:val="0"/>
          <w:color w:val="auto"/>
          <w:sz w:val="32"/>
          <w:szCs w:val="32"/>
          <w:u w:val="none"/>
        </w:rPr>
        <w:t>万元，完成预算100%。</w:t>
      </w:r>
    </w:p>
    <w:p w14:paraId="3DB3E5FA">
      <w:pPr>
        <w:spacing w:line="600" w:lineRule="exact"/>
        <w:ind w:firstLine="643" w:firstLineChars="200"/>
        <w:rPr>
          <w:rFonts w:hint="eastAsia"/>
        </w:rPr>
      </w:pPr>
      <w:r>
        <w:rPr>
          <w:rStyle w:val="16"/>
          <w:rFonts w:hint="eastAsia" w:ascii="仿宋" w:hAnsi="仿宋" w:eastAsia="仿宋" w:cs="仿宋"/>
          <w:b/>
          <w:bCs/>
          <w:color w:val="auto"/>
          <w:sz w:val="32"/>
          <w:szCs w:val="32"/>
          <w:u w:val="none"/>
        </w:rPr>
        <w:t>农林水支出</w:t>
      </w:r>
      <w:r>
        <w:rPr>
          <w:rStyle w:val="16"/>
          <w:rFonts w:hint="eastAsia" w:ascii="仿宋" w:hAnsi="仿宋" w:eastAsia="仿宋" w:cs="仿宋"/>
          <w:b w:val="0"/>
          <w:bCs w:val="0"/>
          <w:color w:val="auto"/>
          <w:sz w:val="32"/>
          <w:szCs w:val="32"/>
          <w:u w:val="none"/>
        </w:rPr>
        <w:t>（213类）巩固脱贫攻坚成果衔接乡村振兴（05款）其他巩固脱贫攻坚成果衔接乡村振兴支出（99项）</w:t>
      </w:r>
      <w:r>
        <w:rPr>
          <w:rStyle w:val="16"/>
          <w:rFonts w:hint="eastAsia" w:ascii="仿宋" w:hAnsi="仿宋" w:eastAsia="仿宋" w:cs="仿宋"/>
          <w:b w:val="0"/>
          <w:bCs w:val="0"/>
          <w:color w:val="auto"/>
          <w:sz w:val="32"/>
          <w:szCs w:val="32"/>
          <w:u w:val="none"/>
          <w:lang w:eastAsia="zh-CN"/>
        </w:rPr>
        <w:t>：</w:t>
      </w:r>
      <w:r>
        <w:rPr>
          <w:rStyle w:val="16"/>
          <w:rFonts w:hint="eastAsia" w:ascii="仿宋" w:hAnsi="仿宋" w:eastAsia="仿宋" w:cs="仿宋"/>
          <w:b w:val="0"/>
          <w:bCs w:val="0"/>
          <w:color w:val="auto"/>
          <w:sz w:val="32"/>
          <w:szCs w:val="32"/>
          <w:u w:val="none"/>
        </w:rPr>
        <w:t>本年收入</w:t>
      </w:r>
      <w:r>
        <w:rPr>
          <w:rStyle w:val="16"/>
          <w:rFonts w:hint="eastAsia" w:ascii="仿宋" w:hAnsi="仿宋" w:eastAsia="仿宋" w:cs="仿宋"/>
          <w:b w:val="0"/>
          <w:bCs w:val="0"/>
          <w:color w:val="auto"/>
          <w:sz w:val="32"/>
          <w:szCs w:val="32"/>
          <w:u w:val="none"/>
          <w:lang w:val="en-US" w:eastAsia="zh-CN"/>
        </w:rPr>
        <w:t>16.04</w:t>
      </w:r>
      <w:r>
        <w:rPr>
          <w:rStyle w:val="16"/>
          <w:rFonts w:hint="eastAsia" w:ascii="仿宋" w:hAnsi="仿宋" w:eastAsia="仿宋" w:cs="仿宋"/>
          <w:b w:val="0"/>
          <w:bCs w:val="0"/>
          <w:color w:val="auto"/>
          <w:sz w:val="32"/>
          <w:szCs w:val="32"/>
          <w:u w:val="none"/>
        </w:rPr>
        <w:t>万元，支出决算数为</w:t>
      </w:r>
      <w:r>
        <w:rPr>
          <w:rStyle w:val="16"/>
          <w:rFonts w:hint="eastAsia" w:ascii="仿宋" w:hAnsi="仿宋" w:eastAsia="仿宋" w:cs="仿宋"/>
          <w:b w:val="0"/>
          <w:bCs w:val="0"/>
          <w:color w:val="auto"/>
          <w:sz w:val="32"/>
          <w:szCs w:val="32"/>
          <w:u w:val="none"/>
          <w:lang w:val="en-US" w:eastAsia="zh-CN"/>
        </w:rPr>
        <w:t>16.04</w:t>
      </w:r>
      <w:r>
        <w:rPr>
          <w:rStyle w:val="16"/>
          <w:rFonts w:hint="eastAsia" w:ascii="仿宋" w:hAnsi="仿宋" w:eastAsia="仿宋" w:cs="仿宋"/>
          <w:b w:val="0"/>
          <w:bCs w:val="0"/>
          <w:color w:val="auto"/>
          <w:sz w:val="32"/>
          <w:szCs w:val="32"/>
          <w:u w:val="none"/>
        </w:rPr>
        <w:t>万元，完成预算</w:t>
      </w:r>
      <w:r>
        <w:rPr>
          <w:rStyle w:val="16"/>
          <w:rFonts w:hint="eastAsia" w:ascii="仿宋" w:hAnsi="仿宋" w:eastAsia="仿宋" w:cs="仿宋"/>
          <w:b w:val="0"/>
          <w:bCs w:val="0"/>
          <w:color w:val="auto"/>
          <w:sz w:val="32"/>
          <w:szCs w:val="32"/>
          <w:u w:val="none"/>
          <w:lang w:val="en-US" w:eastAsia="zh-CN"/>
        </w:rPr>
        <w:t>100</w:t>
      </w:r>
      <w:r>
        <w:rPr>
          <w:rStyle w:val="16"/>
          <w:rFonts w:hint="eastAsia" w:ascii="仿宋" w:hAnsi="仿宋" w:eastAsia="仿宋" w:cs="仿宋"/>
          <w:b w:val="0"/>
          <w:bCs w:val="0"/>
          <w:color w:val="auto"/>
          <w:sz w:val="32"/>
          <w:szCs w:val="32"/>
          <w:u w:val="none"/>
        </w:rPr>
        <w:t>%。</w:t>
      </w:r>
    </w:p>
    <w:p w14:paraId="480E3A54">
      <w:pPr>
        <w:spacing w:line="600" w:lineRule="exact"/>
        <w:ind w:firstLine="643" w:firstLineChars="200"/>
        <w:rPr>
          <w:rFonts w:hint="eastAsia" w:ascii="仿宋" w:hAnsi="仿宋" w:eastAsia="仿宋" w:cs="仿宋"/>
          <w:b w:val="0"/>
          <w:bCs w:val="0"/>
          <w:sz w:val="32"/>
          <w:szCs w:val="32"/>
        </w:rPr>
      </w:pPr>
      <w:r>
        <w:rPr>
          <w:rStyle w:val="16"/>
          <w:rFonts w:hint="eastAsia" w:ascii="仿宋" w:hAnsi="仿宋" w:eastAsia="仿宋" w:cs="仿宋"/>
          <w:b/>
          <w:bCs/>
          <w:color w:val="auto"/>
          <w:sz w:val="32"/>
          <w:szCs w:val="32"/>
          <w:u w:val="none"/>
        </w:rPr>
        <w:t>住房保障支出</w:t>
      </w:r>
      <w:r>
        <w:rPr>
          <w:rStyle w:val="16"/>
          <w:rFonts w:hint="eastAsia" w:ascii="仿宋" w:hAnsi="仿宋" w:eastAsia="仿宋" w:cs="仿宋"/>
          <w:b w:val="0"/>
          <w:bCs w:val="0"/>
          <w:color w:val="auto"/>
          <w:sz w:val="32"/>
          <w:szCs w:val="32"/>
          <w:u w:val="none"/>
        </w:rPr>
        <w:t>（221类）住房改革支出（02款）住房公积金（01项）。本年收入</w:t>
      </w:r>
      <w:r>
        <w:rPr>
          <w:rStyle w:val="16"/>
          <w:rFonts w:hint="eastAsia" w:ascii="仿宋" w:hAnsi="仿宋" w:eastAsia="仿宋" w:cs="仿宋"/>
          <w:b w:val="0"/>
          <w:bCs w:val="0"/>
          <w:color w:val="auto"/>
          <w:sz w:val="32"/>
          <w:szCs w:val="32"/>
          <w:u w:val="none"/>
          <w:lang w:val="en-US" w:eastAsia="zh-CN"/>
        </w:rPr>
        <w:t>37.57</w:t>
      </w:r>
      <w:r>
        <w:rPr>
          <w:rStyle w:val="16"/>
          <w:rFonts w:hint="eastAsia" w:ascii="仿宋" w:hAnsi="仿宋" w:eastAsia="仿宋" w:cs="仿宋"/>
          <w:b w:val="0"/>
          <w:bCs w:val="0"/>
          <w:color w:val="auto"/>
          <w:sz w:val="32"/>
          <w:szCs w:val="32"/>
          <w:u w:val="none"/>
        </w:rPr>
        <w:t>万元，支出决算数</w:t>
      </w:r>
      <w:r>
        <w:rPr>
          <w:rStyle w:val="16"/>
          <w:rFonts w:hint="eastAsia" w:ascii="仿宋" w:hAnsi="仿宋" w:eastAsia="仿宋" w:cs="仿宋"/>
          <w:b w:val="0"/>
          <w:bCs w:val="0"/>
          <w:color w:val="auto"/>
          <w:sz w:val="32"/>
          <w:szCs w:val="32"/>
          <w:u w:val="none"/>
          <w:lang w:eastAsia="zh-CN"/>
        </w:rPr>
        <w:t>为</w:t>
      </w:r>
      <w:r>
        <w:rPr>
          <w:rStyle w:val="16"/>
          <w:rFonts w:hint="eastAsia" w:ascii="仿宋" w:hAnsi="仿宋" w:eastAsia="仿宋" w:cs="仿宋"/>
          <w:b w:val="0"/>
          <w:bCs w:val="0"/>
          <w:color w:val="auto"/>
          <w:sz w:val="32"/>
          <w:szCs w:val="32"/>
          <w:u w:val="none"/>
          <w:lang w:val="en-US" w:eastAsia="zh-CN"/>
        </w:rPr>
        <w:t>37.57</w:t>
      </w:r>
      <w:r>
        <w:rPr>
          <w:rStyle w:val="16"/>
          <w:rFonts w:hint="eastAsia" w:ascii="仿宋" w:hAnsi="仿宋" w:eastAsia="仿宋" w:cs="仿宋"/>
          <w:b w:val="0"/>
          <w:bCs w:val="0"/>
          <w:color w:val="auto"/>
          <w:sz w:val="32"/>
          <w:szCs w:val="32"/>
          <w:u w:val="none"/>
        </w:rPr>
        <w:t>万元，完成预算100%。</w:t>
      </w:r>
    </w:p>
    <w:p w14:paraId="422397F3">
      <w:pPr>
        <w:spacing w:line="600" w:lineRule="exact"/>
        <w:ind w:firstLine="640"/>
        <w:rPr>
          <w:rFonts w:ascii="仿宋" w:hAnsi="仿宋" w:eastAsia="仿宋"/>
          <w:b/>
          <w:sz w:val="32"/>
          <w:szCs w:val="32"/>
        </w:rPr>
      </w:pPr>
    </w:p>
    <w:p w14:paraId="724086AC">
      <w:pPr>
        <w:tabs>
          <w:tab w:val="right" w:pos="8306"/>
        </w:tabs>
        <w:spacing w:line="600" w:lineRule="exact"/>
        <w:ind w:firstLine="640"/>
        <w:outlineLvl w:val="1"/>
        <w:rPr>
          <w:rStyle w:val="28"/>
        </w:rPr>
      </w:pPr>
      <w:bookmarkStart w:id="34" w:name="_Toc15396608"/>
      <w:bookmarkStart w:id="3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8"/>
          <w:rFonts w:hint="eastAsia" w:ascii="黑体" w:hAnsi="黑体" w:eastAsia="黑体"/>
          <w:b w:val="0"/>
        </w:rPr>
        <w:t>般公共预算财政拨款基本支出决算情况说明</w:t>
      </w:r>
      <w:bookmarkEnd w:id="34"/>
      <w:bookmarkEnd w:id="35"/>
      <w:r>
        <w:rPr>
          <w:rStyle w:val="28"/>
          <w:rFonts w:ascii="黑体" w:hAnsi="黑体" w:eastAsia="黑体"/>
          <w:b w:val="0"/>
        </w:rPr>
        <w:tab/>
      </w:r>
    </w:p>
    <w:p w14:paraId="2C49B60A">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583.78</w:t>
      </w:r>
      <w:r>
        <w:rPr>
          <w:rFonts w:hint="eastAsia" w:ascii="仿宋" w:hAnsi="仿宋" w:eastAsia="仿宋"/>
          <w:sz w:val="32"/>
          <w:szCs w:val="32"/>
        </w:rPr>
        <w:t>万元，其中：</w:t>
      </w:r>
    </w:p>
    <w:p w14:paraId="48F1DC84">
      <w:pPr>
        <w:spacing w:line="600" w:lineRule="exact"/>
        <w:ind w:firstLine="645"/>
        <w:rPr>
          <w:rFonts w:ascii="仿宋" w:hAnsi="仿宋" w:eastAsia="仿宋"/>
          <w:sz w:val="32"/>
          <w:szCs w:val="32"/>
        </w:rPr>
      </w:pPr>
      <w:r>
        <w:rPr>
          <w:rFonts w:hint="eastAsia" w:ascii="仿宋" w:hAnsi="仿宋" w:eastAsia="仿宋"/>
          <w:sz w:val="32"/>
          <w:szCs w:val="32"/>
        </w:rPr>
        <w:t>人员经费</w:t>
      </w:r>
      <w:r>
        <w:rPr>
          <w:rFonts w:ascii="仿宋" w:hAnsi="仿宋" w:eastAsia="仿宋"/>
          <w:b/>
          <w:sz w:val="32"/>
          <w:szCs w:val="32"/>
        </w:rPr>
        <w:t>568.57</w:t>
      </w:r>
      <w:r>
        <w:rPr>
          <w:rFonts w:hint="eastAsia" w:ascii="仿宋" w:hAnsi="仿宋" w:eastAsia="仿宋"/>
          <w:sz w:val="32"/>
          <w:szCs w:val="32"/>
        </w:rPr>
        <w:t>万元，主要包括：基本工资、津贴补贴、伙食补助费、绩效工资、机关事业单位基本养老保险缴费、职业年金缴费、其他社会保障缴费、其他工资福利支出、生活补助、住房公积金等。</w:t>
      </w:r>
      <w:r>
        <w:rPr>
          <w:rFonts w:ascii="仿宋" w:hAnsi="仿宋" w:eastAsia="仿宋"/>
          <w:sz w:val="32"/>
          <w:szCs w:val="32"/>
        </w:rPr>
        <w:br w:type="textWrapping"/>
      </w:r>
      <w:r>
        <w:rPr>
          <w:rFonts w:hint="eastAsia" w:ascii="仿宋" w:hAnsi="仿宋" w:eastAsia="仿宋"/>
          <w:sz w:val="32"/>
          <w:szCs w:val="32"/>
        </w:rPr>
        <w:t>　　公用经费</w:t>
      </w:r>
      <w:r>
        <w:rPr>
          <w:rFonts w:ascii="仿宋" w:hAnsi="仿宋" w:eastAsia="仿宋"/>
          <w:b/>
          <w:sz w:val="32"/>
          <w:szCs w:val="32"/>
        </w:rPr>
        <w:t>15.21</w:t>
      </w:r>
      <w:r>
        <w:rPr>
          <w:rFonts w:hint="eastAsia" w:ascii="仿宋" w:hAnsi="仿宋" w:eastAsia="仿宋"/>
          <w:sz w:val="32"/>
          <w:szCs w:val="32"/>
        </w:rPr>
        <w:t>万元，主要包括：差旅费工会经费、福利费支出等。</w:t>
      </w:r>
    </w:p>
    <w:p w14:paraId="021D85DA">
      <w:pPr>
        <w:spacing w:line="600" w:lineRule="exact"/>
        <w:ind w:firstLine="640"/>
        <w:rPr>
          <w:rFonts w:ascii="仿宋" w:hAnsi="仿宋" w:eastAsia="仿宋"/>
          <w:b/>
          <w:sz w:val="32"/>
          <w:szCs w:val="32"/>
        </w:rPr>
      </w:pPr>
    </w:p>
    <w:p w14:paraId="43879E55">
      <w:pPr>
        <w:spacing w:line="600" w:lineRule="exact"/>
        <w:ind w:firstLine="640"/>
        <w:outlineLvl w:val="1"/>
        <w:rPr>
          <w:rStyle w:val="28"/>
          <w:rFonts w:ascii="黑体" w:hAnsi="黑体" w:eastAsia="黑体"/>
          <w:b w:val="0"/>
        </w:rPr>
      </w:pPr>
      <w:bookmarkStart w:id="36" w:name="_Toc15377215"/>
      <w:bookmarkStart w:id="37" w:name="_Toc15396609"/>
      <w:r>
        <w:rPr>
          <w:rFonts w:hint="eastAsia" w:ascii="黑体" w:eastAsia="黑体"/>
          <w:sz w:val="32"/>
          <w:szCs w:val="32"/>
        </w:rPr>
        <w:t>七、</w:t>
      </w:r>
      <w:r>
        <w:rPr>
          <w:rStyle w:val="28"/>
          <w:rFonts w:hint="eastAsia" w:ascii="黑体" w:hAnsi="黑体" w:eastAsia="黑体"/>
          <w:b w:val="0"/>
        </w:rPr>
        <w:t>财政拨款</w:t>
      </w:r>
      <w:r>
        <w:rPr>
          <w:rStyle w:val="28"/>
          <w:rFonts w:hint="eastAsia" w:ascii="黑体" w:hAnsi="黑体" w:eastAsia="黑体"/>
        </w:rPr>
        <w:t>“</w:t>
      </w:r>
      <w:r>
        <w:rPr>
          <w:rStyle w:val="28"/>
          <w:rFonts w:hint="eastAsia" w:ascii="黑体" w:hAnsi="黑体" w:eastAsia="黑体"/>
          <w:b w:val="0"/>
        </w:rPr>
        <w:t>三公”经费支出决算情况说明</w:t>
      </w:r>
      <w:bookmarkEnd w:id="36"/>
      <w:bookmarkEnd w:id="37"/>
    </w:p>
    <w:p w14:paraId="1C2722DC">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2AFCBECD">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0.07</w:t>
      </w:r>
      <w:r>
        <w:rPr>
          <w:rFonts w:hint="eastAsia" w:ascii="仿宋" w:hAnsi="仿宋" w:eastAsia="仿宋"/>
          <w:sz w:val="32"/>
          <w:szCs w:val="32"/>
        </w:rPr>
        <w:t>万元，完成预算</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，较上年度增加</w:t>
      </w:r>
      <w:r>
        <w:rPr>
          <w:rFonts w:hint="eastAsia" w:ascii="仿宋" w:hAnsi="仿宋" w:eastAsia="仿宋"/>
          <w:sz w:val="32"/>
          <w:szCs w:val="32"/>
          <w:lang w:val="en-US" w:eastAsia="zh-CN"/>
        </w:rPr>
        <w:t>0.07</w:t>
      </w:r>
      <w:r>
        <w:rPr>
          <w:rFonts w:hint="eastAsia" w:ascii="仿宋" w:hAnsi="仿宋" w:eastAsia="仿宋"/>
          <w:sz w:val="32"/>
          <w:szCs w:val="32"/>
        </w:rPr>
        <w:t>万元，增长</w:t>
      </w:r>
      <w:r>
        <w:rPr>
          <w:rFonts w:hint="eastAsia" w:ascii="仿宋" w:hAnsi="仿宋" w:eastAsia="仿宋"/>
          <w:sz w:val="32"/>
          <w:szCs w:val="32"/>
          <w:lang w:val="en-US" w:eastAsia="zh-CN"/>
        </w:rPr>
        <w:t>100</w:t>
      </w:r>
      <w:r>
        <w:rPr>
          <w:rFonts w:hint="eastAsia" w:ascii="仿宋" w:hAnsi="仿宋" w:eastAsia="仿宋"/>
          <w:sz w:val="32"/>
          <w:szCs w:val="32"/>
        </w:rPr>
        <w:t>%。决算数小于预算数（或与预算数持平）的主要原因是</w:t>
      </w:r>
      <w:r>
        <w:rPr>
          <w:rFonts w:hint="eastAsia" w:ascii="仿宋" w:hAnsi="仿宋" w:eastAsia="仿宋"/>
          <w:sz w:val="32"/>
          <w:szCs w:val="32"/>
          <w:lang w:val="en-US" w:eastAsia="zh-CN"/>
        </w:rPr>
        <w:t>爱心人士往来增加</w:t>
      </w:r>
      <w:r>
        <w:rPr>
          <w:rFonts w:hint="eastAsia" w:ascii="仿宋" w:hAnsi="仿宋" w:eastAsia="仿宋"/>
          <w:sz w:val="32"/>
          <w:szCs w:val="32"/>
        </w:rPr>
        <w:t>。</w:t>
      </w:r>
    </w:p>
    <w:p w14:paraId="70D7A3D2">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0871C1A1">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0.07</w:t>
      </w:r>
      <w:r>
        <w:rPr>
          <w:rFonts w:hint="eastAsia" w:ascii="仿宋" w:hAnsi="仿宋" w:eastAsia="仿宋"/>
          <w:sz w:val="32"/>
          <w:szCs w:val="32"/>
        </w:rPr>
        <w:t>万元，占</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。具体情况如下：</w:t>
      </w:r>
    </w:p>
    <w:p w14:paraId="77C8EA28">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w:t>
      </w:r>
    </w:p>
    <w:p w14:paraId="563AD469">
      <w:pPr>
        <w:spacing w:line="600" w:lineRule="exact"/>
        <w:ind w:firstLine="640"/>
        <w:rPr>
          <w:rFonts w:hint="default" w:ascii="仿宋_GB2312" w:eastAsia="仿宋_GB2312"/>
          <w:b/>
          <w:sz w:val="32"/>
          <w:szCs w:val="32"/>
          <w:lang w:val="en-US" w:eastAsia="zh-CN"/>
        </w:rPr>
      </w:pPr>
      <w:bookmarkStart w:id="40" w:name="_Toc15396610"/>
      <w:bookmarkStart w:id="41" w:name="_Toc15377218"/>
      <w:r>
        <w:rPr>
          <w:rFonts w:hint="eastAsia" w:ascii="仿宋_GB2312" w:eastAsia="仿宋_GB2312"/>
          <w:b/>
          <w:sz w:val="32"/>
          <w:szCs w:val="32"/>
          <w:lang w:val="en-US" w:eastAsia="zh-CN"/>
        </w:rPr>
        <w:t xml:space="preserve">            公务接待支出0.07万元</w:t>
      </w:r>
    </w:p>
    <w:p w14:paraId="113CF038">
      <w:pPr>
        <w:spacing w:line="600" w:lineRule="exact"/>
        <w:ind w:firstLine="640"/>
        <w:rPr>
          <w:rFonts w:ascii="仿宋_GB2312" w:eastAsia="仿宋_GB2312"/>
          <w:b/>
          <w:sz w:val="32"/>
          <w:szCs w:val="32"/>
        </w:rPr>
      </w:pPr>
    </w:p>
    <w:p w14:paraId="6F3C2682">
      <w:pPr>
        <w:spacing w:line="600" w:lineRule="exact"/>
        <w:ind w:firstLine="640"/>
        <w:rPr>
          <w:rFonts w:ascii="仿宋_GB2312" w:eastAsia="仿宋_GB2312"/>
          <w:b/>
          <w:sz w:val="32"/>
          <w:szCs w:val="32"/>
        </w:rPr>
      </w:pPr>
    </w:p>
    <w:p w14:paraId="07320A2F">
      <w:pPr>
        <w:spacing w:line="600" w:lineRule="exact"/>
        <w:ind w:firstLine="640"/>
        <w:rPr>
          <w:rFonts w:ascii="仿宋_GB2312" w:eastAsia="仿宋_GB2312"/>
          <w:b/>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1613535</wp:posOffset>
                </wp:positionH>
                <wp:positionV relativeFrom="paragraph">
                  <wp:posOffset>-498475</wp:posOffset>
                </wp:positionV>
                <wp:extent cx="1992630" cy="1752600"/>
                <wp:effectExtent l="12700" t="12700" r="21590" b="17780"/>
                <wp:wrapNone/>
                <wp:docPr id="44" name="椭圆 44"/>
                <wp:cNvGraphicFramePr/>
                <a:graphic xmlns:a="http://schemas.openxmlformats.org/drawingml/2006/main">
                  <a:graphicData uri="http://schemas.microsoft.com/office/word/2010/wordprocessingShape">
                    <wps:wsp>
                      <wps:cNvSpPr/>
                      <wps:spPr>
                        <a:xfrm>
                          <a:off x="0" y="0"/>
                          <a:ext cx="1992630" cy="1752600"/>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7.05pt;margin-top:-39.25pt;height:138pt;width:156.9pt;z-index:251664384;v-text-anchor:middle;mso-width-relative:page;mso-height-relative:page;" fillcolor="#4F81BD [3204]" filled="t" stroked="t" coordsize="21600,21600" o:gfxdata="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V5/J2gAAAAsBAAAPAAAAAAAAAAEAIAAA&#10;ACIAAABkcnMvZG93bnJldi54bWxQSwECFAAUAAAACACHTuJAbGIegnwCAAAFBQAADgAAAAAAAAAB&#10;ACAAAAApAQAAZHJzL2Uyb0RvYy54bWxQSwUGAAAAAAYABgBZAQAAFwYAAAAA&#10;">
                <v:fill on="t" focussize="0,0"/>
                <v:stroke weight="2pt" color="#376092 [2404]" joinstyle="round"/>
                <v:imagedata o:title=""/>
                <o:lock v:ext="edit" aspectratio="f"/>
              </v:shape>
            </w:pict>
          </mc:Fallback>
        </mc:AlternateContent>
      </w:r>
    </w:p>
    <w:p w14:paraId="02A8AB6D">
      <w:pPr>
        <w:spacing w:line="600" w:lineRule="exact"/>
        <w:ind w:firstLine="640"/>
        <w:rPr>
          <w:rFonts w:ascii="仿宋_GB2312" w:eastAsia="仿宋_GB2312"/>
          <w:b/>
          <w:sz w:val="32"/>
          <w:szCs w:val="32"/>
        </w:rPr>
      </w:pPr>
    </w:p>
    <w:p w14:paraId="71C0F97B">
      <w:pPr>
        <w:spacing w:line="600" w:lineRule="exact"/>
        <w:ind w:firstLine="640"/>
        <w:rPr>
          <w:rFonts w:ascii="仿宋_GB2312" w:eastAsia="仿宋_GB2312"/>
          <w:b/>
          <w:sz w:val="32"/>
          <w:szCs w:val="32"/>
        </w:rPr>
      </w:pPr>
    </w:p>
    <w:p w14:paraId="5074CF7E">
      <w:pPr>
        <w:spacing w:line="600" w:lineRule="exact"/>
        <w:ind w:firstLine="640"/>
        <w:rPr>
          <w:rFonts w:ascii="仿宋_GB2312" w:eastAsia="仿宋_GB2312"/>
          <w:b/>
          <w:sz w:val="32"/>
          <w:szCs w:val="32"/>
        </w:rPr>
      </w:pPr>
    </w:p>
    <w:p w14:paraId="730BCFE3">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rStyle w:val="16"/>
          <w:rFonts w:ascii="仿宋" w:hAnsi="仿宋" w:eastAsia="仿宋"/>
          <w:bCs/>
          <w:sz w:val="32"/>
          <w:szCs w:val="32"/>
        </w:rPr>
        <w:t>0</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人。因公出国（境）支出决算比2022年增加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没有因公出国的项目</w:t>
      </w:r>
      <w:r>
        <w:rPr>
          <w:rFonts w:hint="eastAsia" w:ascii="仿宋_GB2312" w:eastAsia="仿宋_GB2312"/>
          <w:sz w:val="32"/>
          <w:szCs w:val="32"/>
        </w:rPr>
        <w:t>。</w:t>
      </w:r>
    </w:p>
    <w:p w14:paraId="7E123EDE">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r>
        <w:rPr>
          <w:rStyle w:val="16"/>
          <w:rFonts w:hint="eastAsia" w:ascii="仿宋" w:hAnsi="仿宋" w:eastAsia="仿宋"/>
          <w:b w:val="0"/>
          <w:bCs/>
          <w:sz w:val="32"/>
          <w:szCs w:val="32"/>
        </w:rPr>
        <w:t>完成预算</w:t>
      </w:r>
      <w:r>
        <w:rPr>
          <w:rStyle w:val="16"/>
          <w:rFonts w:ascii="仿宋" w:hAnsi="仿宋" w:eastAsia="仿宋"/>
          <w:bCs/>
          <w:sz w:val="32"/>
          <w:szCs w:val="32"/>
        </w:rPr>
        <w:t>0</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没有公务用车</w:t>
      </w:r>
      <w:r>
        <w:rPr>
          <w:rFonts w:hint="eastAsia" w:ascii="仿宋_GB2312" w:eastAsia="仿宋_GB2312"/>
          <w:sz w:val="32"/>
          <w:szCs w:val="32"/>
        </w:rPr>
        <w:t>。</w:t>
      </w:r>
    </w:p>
    <w:p w14:paraId="51C48AFA">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195A4A11">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万元。等所需的公务用车燃料费、维修费、过路过桥费、保险费等支出。</w:t>
      </w:r>
    </w:p>
    <w:p w14:paraId="70FA20F5">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0.07</w:t>
      </w:r>
      <w:r>
        <w:rPr>
          <w:rFonts w:hint="eastAsia" w:ascii="仿宋_GB2312" w:eastAsia="仿宋_GB2312"/>
          <w:sz w:val="32"/>
          <w:szCs w:val="32"/>
        </w:rPr>
        <w:t>万元，</w:t>
      </w:r>
      <w:r>
        <w:rPr>
          <w:rStyle w:val="16"/>
          <w:rFonts w:hint="eastAsia" w:ascii="仿宋" w:hAnsi="仿宋" w:eastAsia="仿宋"/>
          <w:b w:val="0"/>
          <w:bCs/>
          <w:sz w:val="32"/>
          <w:szCs w:val="32"/>
        </w:rPr>
        <w:t>完成预算</w:t>
      </w:r>
      <w:r>
        <w:rPr>
          <w:rStyle w:val="16"/>
          <w:rFonts w:ascii="仿宋" w:hAnsi="仿宋" w:eastAsia="仿宋"/>
          <w:b w:val="0"/>
          <w:bCs/>
          <w:sz w:val="32"/>
          <w:szCs w:val="32"/>
        </w:rPr>
        <w:t>100%</w:t>
      </w:r>
      <w:r>
        <w:rPr>
          <w:rStyle w:val="16"/>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hint="eastAsia" w:ascii="仿宋_GB2312" w:eastAsia="仿宋_GB2312"/>
          <w:sz w:val="32"/>
          <w:szCs w:val="32"/>
          <w:lang w:val="en-US" w:eastAsia="zh-CN"/>
        </w:rPr>
        <w:t>0.07</w:t>
      </w:r>
      <w:r>
        <w:rPr>
          <w:rFonts w:hint="eastAsia" w:ascii="仿宋_GB2312" w:eastAsia="仿宋_GB2312"/>
          <w:sz w:val="32"/>
          <w:szCs w:val="32"/>
        </w:rPr>
        <w:t>万元，增长</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爱心人士往来增加</w:t>
      </w:r>
      <w:r>
        <w:rPr>
          <w:rFonts w:hint="eastAsia" w:ascii="仿宋_GB2312" w:eastAsia="仿宋_GB2312"/>
          <w:sz w:val="32"/>
          <w:szCs w:val="32"/>
        </w:rPr>
        <w:t>。</w:t>
      </w:r>
    </w:p>
    <w:p w14:paraId="5EF6A84C">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0.07</w:t>
      </w:r>
      <w:r>
        <w:rPr>
          <w:rFonts w:hint="eastAsia" w:ascii="仿宋_GB2312" w:eastAsia="仿宋_GB2312"/>
          <w:sz w:val="32"/>
          <w:szCs w:val="32"/>
        </w:rPr>
        <w:t>万元，主要用于</w:t>
      </w:r>
      <w:r>
        <w:rPr>
          <w:rFonts w:hint="eastAsia" w:ascii="仿宋_GB2312" w:eastAsia="仿宋_GB2312"/>
          <w:sz w:val="32"/>
          <w:szCs w:val="32"/>
          <w:lang w:val="en-US" w:eastAsia="zh-CN"/>
        </w:rPr>
        <w:t>用餐费（</w:t>
      </w:r>
      <w:r>
        <w:rPr>
          <w:rFonts w:hint="eastAsia" w:ascii="仿宋_GB2312" w:eastAsia="仿宋_GB2312"/>
          <w:sz w:val="32"/>
          <w:szCs w:val="32"/>
        </w:rPr>
        <w:t>执行公务、开展业务活动开支的交通费、住宿费、用餐费等</w:t>
      </w:r>
      <w:r>
        <w:rPr>
          <w:rFonts w:hint="eastAsia" w:ascii="仿宋_GB2312" w:eastAsia="仿宋_GB2312"/>
          <w:sz w:val="32"/>
          <w:szCs w:val="32"/>
          <w:lang w:eastAsia="zh-CN"/>
        </w:rPr>
        <w:t>）</w:t>
      </w:r>
      <w:r>
        <w:rPr>
          <w:rFonts w:hint="eastAsia" w:ascii="仿宋_GB2312" w:eastAsia="仿宋_GB2312"/>
          <w:sz w:val="32"/>
          <w:szCs w:val="32"/>
        </w:rPr>
        <w:t>。国内公务接待</w:t>
      </w:r>
      <w:r>
        <w:rPr>
          <w:rFonts w:hint="eastAsia" w:ascii="仿宋_GB2312" w:eastAsia="仿宋_GB2312"/>
          <w:sz w:val="32"/>
          <w:szCs w:val="32"/>
          <w:lang w:val="en-US" w:eastAsia="zh-CN"/>
        </w:rPr>
        <w:t>2</w:t>
      </w:r>
      <w:r>
        <w:rPr>
          <w:rFonts w:hint="eastAsia" w:ascii="仿宋_GB2312" w:eastAsia="仿宋_GB2312"/>
          <w:sz w:val="32"/>
          <w:szCs w:val="32"/>
        </w:rPr>
        <w:t>批次，</w:t>
      </w:r>
      <w:r>
        <w:rPr>
          <w:rFonts w:hint="eastAsia" w:ascii="仿宋_GB2312" w:eastAsia="仿宋_GB2312"/>
          <w:sz w:val="32"/>
          <w:szCs w:val="32"/>
          <w:lang w:val="en-US" w:eastAsia="zh-CN"/>
        </w:rPr>
        <w:t>4</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0.07</w:t>
      </w:r>
      <w:r>
        <w:rPr>
          <w:rFonts w:hint="eastAsia" w:ascii="仿宋_GB2312" w:eastAsia="仿宋_GB2312"/>
          <w:sz w:val="32"/>
          <w:szCs w:val="32"/>
        </w:rPr>
        <w:t>万元，具体内容包括：</w:t>
      </w:r>
      <w:r>
        <w:rPr>
          <w:rFonts w:hint="eastAsia" w:ascii="仿宋_GB2312" w:eastAsia="仿宋_GB2312"/>
          <w:sz w:val="32"/>
          <w:szCs w:val="32"/>
          <w:lang w:val="en-US" w:eastAsia="zh-CN"/>
        </w:rPr>
        <w:t>就餐</w:t>
      </w:r>
      <w:r>
        <w:rPr>
          <w:rFonts w:hint="eastAsia" w:ascii="仿宋_GB2312" w:eastAsia="仿宋_GB2312"/>
          <w:sz w:val="32"/>
          <w:szCs w:val="32"/>
        </w:rPr>
        <w:t>（接待具体项目、金额）。</w:t>
      </w:r>
    </w:p>
    <w:p w14:paraId="2EAB1CBC">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万元，主要用于接待。外事接待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6EE528D3">
      <w:pPr>
        <w:spacing w:line="600" w:lineRule="exact"/>
        <w:ind w:firstLine="640"/>
        <w:outlineLvl w:val="1"/>
        <w:rPr>
          <w:rFonts w:ascii="黑体" w:eastAsia="黑体"/>
          <w:sz w:val="32"/>
          <w:szCs w:val="32"/>
        </w:rPr>
      </w:pPr>
    </w:p>
    <w:p w14:paraId="7C85541B">
      <w:pPr>
        <w:spacing w:line="600" w:lineRule="exact"/>
        <w:ind w:firstLine="640"/>
        <w:outlineLvl w:val="1"/>
        <w:rPr>
          <w:rStyle w:val="28"/>
          <w:rFonts w:ascii="黑体" w:hAnsi="黑体" w:eastAsia="黑体"/>
        </w:rPr>
      </w:pPr>
      <w:r>
        <w:rPr>
          <w:rFonts w:hint="eastAsia" w:ascii="黑体" w:eastAsia="黑体"/>
          <w:sz w:val="32"/>
          <w:szCs w:val="32"/>
        </w:rPr>
        <w:t>八、</w:t>
      </w:r>
      <w:r>
        <w:rPr>
          <w:rStyle w:val="28"/>
          <w:rFonts w:hint="eastAsia" w:ascii="黑体" w:hAnsi="黑体" w:eastAsia="黑体"/>
          <w:b w:val="0"/>
        </w:rPr>
        <w:t>政府性基金预算支出决算情况说明</w:t>
      </w:r>
      <w:bookmarkEnd w:id="40"/>
      <w:bookmarkEnd w:id="41"/>
    </w:p>
    <w:p w14:paraId="12BA307A">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0D8062F7">
      <w:pPr>
        <w:spacing w:line="600" w:lineRule="exact"/>
        <w:ind w:firstLine="640"/>
        <w:rPr>
          <w:rFonts w:ascii="仿宋_GB2312" w:eastAsia="仿宋_GB2312"/>
          <w:sz w:val="32"/>
          <w:szCs w:val="32"/>
        </w:rPr>
      </w:pPr>
    </w:p>
    <w:p w14:paraId="67F2A1C6">
      <w:pPr>
        <w:numPr>
          <w:ilvl w:val="0"/>
          <w:numId w:val="2"/>
        </w:numPr>
        <w:spacing w:line="600" w:lineRule="exact"/>
        <w:ind w:firstLine="640"/>
        <w:outlineLvl w:val="1"/>
        <w:rPr>
          <w:rStyle w:val="28"/>
          <w:rFonts w:ascii="黑体" w:hAnsi="黑体" w:eastAsia="黑体"/>
          <w:b w:val="0"/>
        </w:rPr>
      </w:pPr>
      <w:bookmarkStart w:id="42" w:name="_Toc15377219"/>
      <w:bookmarkStart w:id="43" w:name="_Toc15396611"/>
      <w:r>
        <w:rPr>
          <w:rStyle w:val="28"/>
          <w:rFonts w:hint="eastAsia" w:ascii="黑体" w:hAnsi="黑体" w:eastAsia="黑体"/>
          <w:b w:val="0"/>
        </w:rPr>
        <w:t>国有资本经营预算支出决算情况说明</w:t>
      </w:r>
      <w:bookmarkEnd w:id="42"/>
      <w:bookmarkEnd w:id="43"/>
    </w:p>
    <w:p w14:paraId="4C4FDE0A">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283E09B4">
      <w:pPr>
        <w:spacing w:line="580" w:lineRule="exact"/>
        <w:jc w:val="center"/>
        <w:rPr>
          <w:rFonts w:ascii="方正小标宋简体" w:hAnsi="方正小标宋简体" w:eastAsia="方正小标宋简体" w:cs="方正小标宋简体"/>
          <w:sz w:val="44"/>
          <w:szCs w:val="44"/>
        </w:rPr>
      </w:pPr>
    </w:p>
    <w:p w14:paraId="31F309D2">
      <w:pPr>
        <w:numPr>
          <w:ilvl w:val="0"/>
          <w:numId w:val="2"/>
        </w:numPr>
        <w:spacing w:line="600" w:lineRule="exact"/>
        <w:ind w:firstLine="640"/>
        <w:outlineLvl w:val="1"/>
        <w:rPr>
          <w:rStyle w:val="28"/>
          <w:rFonts w:ascii="黑体" w:hAnsi="黑体" w:eastAsia="黑体"/>
          <w:b w:val="0"/>
        </w:rPr>
      </w:pPr>
      <w:bookmarkStart w:id="44" w:name="_Toc15396612"/>
      <w:bookmarkStart w:id="45" w:name="_Toc15377221"/>
      <w:r>
        <w:rPr>
          <w:rStyle w:val="28"/>
          <w:rFonts w:hint="eastAsia" w:ascii="黑体" w:hAnsi="黑体" w:eastAsia="黑体"/>
          <w:b w:val="0"/>
        </w:rPr>
        <w:t>其他重要事项的情况说明</w:t>
      </w:r>
      <w:bookmarkEnd w:id="44"/>
      <w:bookmarkEnd w:id="45"/>
    </w:p>
    <w:p w14:paraId="41593BBC">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7BB6BB05">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峨边彝族自治县金岩乡中心小学</w:t>
      </w:r>
      <w:r>
        <w:rPr>
          <w:rFonts w:hint="eastAsia" w:ascii="仿宋_GB2312" w:eastAsia="仿宋_GB2312"/>
          <w:sz w:val="32"/>
          <w:szCs w:val="32"/>
        </w:rPr>
        <w:t>机关运行经费支出</w:t>
      </w:r>
      <w:r>
        <w:rPr>
          <w:rFonts w:ascii="仿宋" w:hAnsi="仿宋" w:eastAsia="仿宋"/>
          <w:b/>
          <w:sz w:val="32"/>
          <w:szCs w:val="32"/>
        </w:rPr>
        <w:t>0</w:t>
      </w:r>
      <w:r>
        <w:rPr>
          <w:rFonts w:hint="eastAsia" w:ascii="仿宋_GB2312" w:eastAsia="仿宋_GB2312"/>
          <w:sz w:val="32"/>
          <w:szCs w:val="32"/>
        </w:rPr>
        <w:t>万元，与2022年度决算数持平。</w:t>
      </w:r>
    </w:p>
    <w:p w14:paraId="2C92CF87">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456CAA0F">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0A88C309">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峨边彝族自治县金岩乡中心小学</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7201580F">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7737A1C2">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峨边彝族自治县金岩乡中心小学</w:t>
      </w:r>
      <w:r>
        <w:rPr>
          <w:rFonts w:hint="eastAsia" w:ascii="仿宋_GB2312" w:eastAsia="仿宋_GB2312"/>
          <w:sz w:val="32"/>
          <w:szCs w:val="32"/>
        </w:rPr>
        <w:t>共有车辆</w:t>
      </w:r>
      <w:r>
        <w:rPr>
          <w:rFonts w:hint="eastAsia" w:ascii="仿宋_GB2312" w:eastAsia="仿宋_GB2312"/>
          <w:b/>
          <w:sz w:val="32"/>
          <w:szCs w:val="32"/>
        </w:rPr>
        <w:t>0</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w:t>
      </w:r>
    </w:p>
    <w:p w14:paraId="3318E5D0">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684133E9">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eastAsia="仿宋_GB2312"/>
          <w:sz w:val="32"/>
          <w:szCs w:val="32"/>
          <w:lang w:val="en-US" w:eastAsia="zh-CN"/>
        </w:rPr>
        <w:t>义务教育公用经费</w:t>
      </w:r>
      <w:r>
        <w:rPr>
          <w:rFonts w:hint="eastAsia" w:ascii="仿宋_GB2312" w:eastAsia="仿宋_GB2312"/>
          <w:sz w:val="32"/>
          <w:szCs w:val="32"/>
        </w:rPr>
        <w:t>项目（项目名称）等</w:t>
      </w:r>
      <w:r>
        <w:rPr>
          <w:rFonts w:hint="eastAsia" w:ascii="仿宋_GB2312" w:eastAsia="仿宋_GB2312"/>
          <w:sz w:val="32"/>
          <w:szCs w:val="32"/>
          <w:lang w:val="en-US" w:eastAsia="zh-CN"/>
        </w:rPr>
        <w:t>12</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12</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12</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12</w:t>
      </w:r>
      <w:r>
        <w:rPr>
          <w:rFonts w:hint="eastAsia" w:ascii="仿宋_GB2312" w:eastAsia="仿宋_GB2312"/>
          <w:sz w:val="32"/>
          <w:szCs w:val="32"/>
        </w:rPr>
        <w:t>个项目开展绩效自评，绩效自评表详见第四部分附件。</w:t>
      </w:r>
    </w:p>
    <w:p w14:paraId="4B22EA8F">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48F010DF">
      <w:pPr>
        <w:numPr>
          <w:ilvl w:val="0"/>
          <w:numId w:val="3"/>
        </w:numPr>
        <w:spacing w:line="600" w:lineRule="exact"/>
        <w:ind w:firstLine="660" w:firstLineChars="150"/>
        <w:jc w:val="center"/>
        <w:outlineLvl w:val="0"/>
        <w:rPr>
          <w:rStyle w:val="27"/>
          <w:rFonts w:ascii="黑体" w:hAnsi="黑体" w:eastAsia="黑体"/>
          <w:b w:val="0"/>
        </w:rPr>
      </w:pPr>
      <w:bookmarkStart w:id="49" w:name="_Toc15377225"/>
      <w:bookmarkStart w:id="50" w:name="_Toc15396613"/>
      <w:r>
        <w:rPr>
          <w:rFonts w:hint="eastAsia" w:ascii="黑体" w:hAnsi="黑体" w:eastAsia="黑体"/>
          <w:sz w:val="44"/>
          <w:szCs w:val="44"/>
        </w:rPr>
        <w:t>名</w:t>
      </w:r>
      <w:r>
        <w:rPr>
          <w:rStyle w:val="27"/>
          <w:rFonts w:hint="eastAsia" w:ascii="黑体" w:hAnsi="黑体" w:eastAsia="黑体"/>
          <w:b w:val="0"/>
        </w:rPr>
        <w:t>词解释</w:t>
      </w:r>
      <w:bookmarkEnd w:id="49"/>
      <w:bookmarkEnd w:id="50"/>
    </w:p>
    <w:p w14:paraId="1EC498E6">
      <w:pPr>
        <w:spacing w:line="600" w:lineRule="exact"/>
        <w:jc w:val="left"/>
        <w:rPr>
          <w:rFonts w:ascii="宋体"/>
          <w:b/>
          <w:sz w:val="44"/>
          <w:szCs w:val="44"/>
        </w:rPr>
      </w:pPr>
    </w:p>
    <w:p w14:paraId="259D9242">
      <w:pPr>
        <w:pStyle w:val="25"/>
        <w:spacing w:line="560" w:lineRule="exact"/>
        <w:ind w:firstLine="640" w:firstLineChars="200"/>
        <w:jc w:val="both"/>
        <w:rPr>
          <w:rFonts w:hAnsi="仿宋" w:cs="Times New Roman"/>
          <w:kern w:val="2"/>
          <w:sz w:val="32"/>
          <w:szCs w:val="32"/>
        </w:rPr>
      </w:pPr>
      <w:bookmarkStart w:id="51" w:name="_Toc15377226"/>
      <w:r>
        <w:rPr>
          <w:rFonts w:hint="eastAsia" w:hAnsi="仿宋" w:cs="Times New Roman"/>
          <w:kern w:val="2"/>
          <w:sz w:val="32"/>
          <w:szCs w:val="32"/>
        </w:rPr>
        <w:t>1.财政拨款收入：指单位从同级财政部门取得的财政预算资金。</w:t>
      </w:r>
    </w:p>
    <w:p w14:paraId="373F629B">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2.事业收入：指事业单位开展专业业务活动及辅助活动取得的收入。</w:t>
      </w:r>
    </w:p>
    <w:p w14:paraId="7FB79C65">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3.经营收入：指事业单位在专业业务活动及其辅助活动之外开展非独立核算经营活动取得的收入。</w:t>
      </w:r>
    </w:p>
    <w:p w14:paraId="0A7C04D6">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4.其他收入：指单位取得的除上述收入以外的各项收入。 </w:t>
      </w:r>
    </w:p>
    <w:p w14:paraId="73C33827">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34D608B9">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6.年初结转和结余：指以前年度尚未完成、结转到本年按有关规定继续使用的资金。 </w:t>
      </w:r>
    </w:p>
    <w:p w14:paraId="16E41032">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7.结余分配：指事业单位按照事业单位会计制度的规定从非财政补助结余中分配的事业基金和职工福利基金等。</w:t>
      </w:r>
    </w:p>
    <w:p w14:paraId="56D64BA9">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8、年末结转和结余：指单位按有关规定结转到下年或以后年度继续使用的资金。</w:t>
      </w:r>
    </w:p>
    <w:p w14:paraId="2DD5E37C">
      <w:pPr>
        <w:spacing w:line="600" w:lineRule="exact"/>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教育支出（类）</w:t>
      </w:r>
      <w:r>
        <w:rPr>
          <w:rFonts w:hint="eastAsia" w:ascii="仿宋" w:hAnsi="仿宋" w:eastAsia="仿宋"/>
          <w:sz w:val="32"/>
          <w:szCs w:val="32"/>
        </w:rPr>
        <w:t>普通教育（款）学前教育（项）：指反映各部门举办的学前教育支出。</w:t>
      </w:r>
    </w:p>
    <w:p w14:paraId="29357D58">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0</w:t>
      </w:r>
      <w:r>
        <w:rPr>
          <w:rFonts w:ascii="仿宋" w:hAnsi="仿宋" w:eastAsia="仿宋"/>
          <w:sz w:val="32"/>
          <w:szCs w:val="32"/>
        </w:rPr>
        <w:t>.教育支出（类）</w:t>
      </w:r>
      <w:r>
        <w:rPr>
          <w:rFonts w:hint="eastAsia" w:ascii="仿宋" w:hAnsi="仿宋" w:eastAsia="仿宋"/>
          <w:sz w:val="32"/>
          <w:szCs w:val="32"/>
        </w:rPr>
        <w:t>普通教育（款）小学教育（项）：指反映各部门举办的小学教育支出。</w:t>
      </w:r>
    </w:p>
    <w:p w14:paraId="707DB731">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.教育支出（类）</w:t>
      </w:r>
      <w:r>
        <w:rPr>
          <w:rFonts w:hint="eastAsia" w:ascii="仿宋" w:hAnsi="仿宋" w:eastAsia="仿宋"/>
          <w:sz w:val="32"/>
          <w:szCs w:val="32"/>
        </w:rPr>
        <w:t>普通教育（款）初中教育（项）：指反映各部门举办的初中教育支出。</w:t>
      </w:r>
    </w:p>
    <w:p w14:paraId="3FCDFCCF">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.教育支出（类）</w:t>
      </w:r>
      <w:r>
        <w:rPr>
          <w:rFonts w:hint="eastAsia" w:ascii="仿宋" w:hAnsi="仿宋" w:eastAsia="仿宋"/>
          <w:sz w:val="32"/>
          <w:szCs w:val="32"/>
        </w:rPr>
        <w:t>普通教育（款）其他普通教育支出（项）：指反映除上述项目以外其他用于普通教育方面的支出。</w:t>
      </w:r>
    </w:p>
    <w:p w14:paraId="60547F5F">
      <w:pPr>
        <w:spacing w:line="600" w:lineRule="exact"/>
        <w:ind w:firstLine="640" w:firstLineChars="200"/>
        <w:rPr>
          <w:rFonts w:ascii="仿宋" w:hAnsi="仿宋" w:eastAsia="仿宋"/>
          <w:sz w:val="32"/>
          <w:szCs w:val="32"/>
        </w:rPr>
      </w:pPr>
      <w:r>
        <w:rPr>
          <w:rFonts w:hint="eastAsia" w:ascii="仿宋" w:hAnsi="仿宋" w:eastAsia="仿宋"/>
          <w:sz w:val="32"/>
          <w:szCs w:val="32"/>
        </w:rPr>
        <w:t>13.</w:t>
      </w:r>
      <w:r>
        <w:rPr>
          <w:rFonts w:ascii="仿宋" w:hAnsi="仿宋" w:eastAsia="仿宋"/>
          <w:sz w:val="32"/>
          <w:szCs w:val="32"/>
        </w:rPr>
        <w:t>教育支出（类）</w:t>
      </w:r>
      <w:r>
        <w:rPr>
          <w:rFonts w:hint="eastAsia" w:ascii="仿宋" w:hAnsi="仿宋" w:eastAsia="仿宋"/>
          <w:sz w:val="32"/>
          <w:szCs w:val="32"/>
        </w:rPr>
        <w:t>教育费附加安排的支出（款）其他教育费附加安排的支出（项）：指反映除上述项目以外教育附加支出。</w:t>
      </w:r>
    </w:p>
    <w:p w14:paraId="12E50E93">
      <w:pPr>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kern w:val="0"/>
          <w:sz w:val="32"/>
          <w:szCs w:val="32"/>
        </w:rPr>
        <w:t>14.社会保障和就业（类）行政事业单位</w:t>
      </w:r>
      <w:r>
        <w:rPr>
          <w:rFonts w:hint="eastAsia" w:ascii="仿宋" w:hAnsi="仿宋" w:eastAsia="仿宋" w:cs="宋体"/>
          <w:kern w:val="0"/>
          <w:sz w:val="32"/>
          <w:szCs w:val="32"/>
          <w:lang w:val="en-US" w:eastAsia="zh-CN"/>
        </w:rPr>
        <w:t>养老支出</w:t>
      </w:r>
      <w:r>
        <w:rPr>
          <w:rFonts w:hint="eastAsia" w:ascii="仿宋" w:hAnsi="仿宋" w:eastAsia="仿宋" w:cs="宋体"/>
          <w:color w:val="000000"/>
          <w:kern w:val="0"/>
          <w:sz w:val="32"/>
          <w:szCs w:val="32"/>
        </w:rPr>
        <w:t>（款）机关事业单位基本养老保险缴费支出（项）：反映机关事业单位实施养老保险制度由单位缴纳的基本养老保险支出。</w:t>
      </w:r>
    </w:p>
    <w:p w14:paraId="16296229">
      <w:pPr>
        <w:spacing w:line="600" w:lineRule="exact"/>
        <w:ind w:firstLine="643" w:firstLineChars="200"/>
        <w:rPr>
          <w:rStyle w:val="16"/>
          <w:rFonts w:ascii="仿宋" w:hAnsi="仿宋" w:eastAsia="仿宋"/>
          <w:b w:val="0"/>
          <w:bCs/>
          <w:color w:val="000000"/>
          <w:sz w:val="32"/>
          <w:szCs w:val="32"/>
        </w:rPr>
      </w:pPr>
      <w:r>
        <w:rPr>
          <w:rStyle w:val="16"/>
          <w:rFonts w:hint="eastAsia" w:ascii="仿宋" w:hAnsi="仿宋" w:eastAsia="仿宋"/>
          <w:bCs/>
          <w:color w:val="000000"/>
          <w:sz w:val="32"/>
          <w:szCs w:val="32"/>
        </w:rPr>
        <w:t>15</w:t>
      </w:r>
      <w:r>
        <w:rPr>
          <w:rStyle w:val="16"/>
          <w:rFonts w:ascii="仿宋" w:hAnsi="仿宋" w:eastAsia="仿宋"/>
          <w:bCs/>
          <w:color w:val="000000"/>
          <w:sz w:val="32"/>
          <w:szCs w:val="32"/>
        </w:rPr>
        <w:t>.</w:t>
      </w:r>
      <w:r>
        <w:rPr>
          <w:rFonts w:hint="eastAsia" w:ascii="仿宋" w:hAnsi="仿宋" w:eastAsia="仿宋" w:cs="宋体"/>
          <w:color w:val="000000"/>
          <w:kern w:val="0"/>
          <w:sz w:val="32"/>
          <w:szCs w:val="32"/>
        </w:rPr>
        <w:t xml:space="preserve"> 社会保障和就业（类）</w:t>
      </w:r>
      <w:r>
        <w:rPr>
          <w:rFonts w:hint="eastAsia" w:ascii="仿宋" w:hAnsi="仿宋" w:eastAsia="仿宋" w:cs="宋体"/>
          <w:kern w:val="0"/>
          <w:sz w:val="32"/>
          <w:szCs w:val="32"/>
        </w:rPr>
        <w:t>行政事业单位</w:t>
      </w:r>
      <w:r>
        <w:rPr>
          <w:rFonts w:hint="eastAsia" w:ascii="仿宋" w:hAnsi="仿宋" w:eastAsia="仿宋" w:cs="宋体"/>
          <w:kern w:val="0"/>
          <w:sz w:val="32"/>
          <w:szCs w:val="32"/>
          <w:lang w:val="en-US" w:eastAsia="zh-CN"/>
        </w:rPr>
        <w:t>养老支出</w:t>
      </w:r>
      <w:r>
        <w:rPr>
          <w:rFonts w:hint="eastAsia" w:ascii="仿宋" w:hAnsi="仿宋" w:eastAsia="仿宋" w:cs="宋体"/>
          <w:color w:val="000000"/>
          <w:kern w:val="0"/>
          <w:sz w:val="32"/>
          <w:szCs w:val="32"/>
        </w:rPr>
        <w:t>（款）机关事业单位职业年金缴费支出（项）：反映机关事业单位实施养老保险制度由单位缴纳的职业年金支出。</w:t>
      </w:r>
    </w:p>
    <w:p w14:paraId="460FA9B9">
      <w:pPr>
        <w:spacing w:line="600" w:lineRule="exact"/>
        <w:ind w:firstLine="643" w:firstLineChars="200"/>
        <w:rPr>
          <w:rFonts w:ascii="仿宋" w:hAnsi="仿宋" w:eastAsia="仿宋"/>
          <w:color w:val="333333"/>
          <w:sz w:val="32"/>
          <w:szCs w:val="32"/>
        </w:rPr>
      </w:pPr>
      <w:r>
        <w:rPr>
          <w:rStyle w:val="16"/>
          <w:rFonts w:hint="eastAsia" w:ascii="仿宋" w:hAnsi="仿宋" w:eastAsia="仿宋"/>
          <w:bCs/>
          <w:color w:val="000000"/>
          <w:sz w:val="32"/>
          <w:szCs w:val="32"/>
        </w:rPr>
        <w:t>16</w:t>
      </w:r>
      <w:r>
        <w:rPr>
          <w:rStyle w:val="16"/>
          <w:rFonts w:ascii="仿宋" w:hAnsi="仿宋" w:eastAsia="仿宋"/>
          <w:bCs/>
          <w:color w:val="000000"/>
          <w:sz w:val="32"/>
          <w:szCs w:val="32"/>
        </w:rPr>
        <w:t>.</w:t>
      </w:r>
      <w:r>
        <w:rPr>
          <w:rFonts w:hint="eastAsia" w:ascii="仿宋" w:hAnsi="仿宋" w:eastAsia="仿宋" w:cs="宋体"/>
          <w:color w:val="000000"/>
          <w:kern w:val="0"/>
          <w:sz w:val="32"/>
          <w:szCs w:val="32"/>
        </w:rPr>
        <w:t xml:space="preserve"> 社会保障和就业（类）其他社会保障和就业（款）其他社会保障和就业支出（项）：反映除上述项目以外其他用于行政事业单位养老方面的支出。</w:t>
      </w:r>
    </w:p>
    <w:p w14:paraId="0D10F10A">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17</w:t>
      </w:r>
      <w:r>
        <w:rPr>
          <w:rFonts w:hint="eastAsia" w:ascii="仿宋" w:hAnsi="仿宋" w:eastAsia="仿宋"/>
          <w:color w:val="000000"/>
          <w:sz w:val="32"/>
          <w:szCs w:val="32"/>
        </w:rPr>
        <w:t>.住房保障支出（类）住房改革支出（款）住房公积金（项）：指反映行政事业单位按人</w:t>
      </w:r>
      <w:r>
        <w:rPr>
          <w:rFonts w:hint="eastAsia" w:ascii="仿宋" w:hAnsi="仿宋" w:eastAsia="仿宋"/>
          <w:color w:val="000000"/>
          <w:sz w:val="32"/>
          <w:szCs w:val="32"/>
          <w:lang w:val="en-US" w:eastAsia="zh-CN"/>
        </w:rPr>
        <w:t>力</w:t>
      </w:r>
      <w:r>
        <w:rPr>
          <w:rFonts w:hint="eastAsia" w:ascii="仿宋" w:hAnsi="仿宋" w:eastAsia="仿宋"/>
          <w:color w:val="000000"/>
          <w:sz w:val="32"/>
          <w:szCs w:val="32"/>
        </w:rPr>
        <w:t>资源和社会保障部、财政部规定的基本工资和津贴补贴以及规定比例为职工缴纳的住房公积金</w:t>
      </w:r>
    </w:p>
    <w:p w14:paraId="7B9AB96B">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18</w:t>
      </w:r>
      <w:r>
        <w:rPr>
          <w:rFonts w:hint="eastAsia" w:ascii="仿宋" w:hAnsi="仿宋" w:eastAsia="仿宋"/>
          <w:color w:val="000000"/>
          <w:sz w:val="32"/>
          <w:szCs w:val="32"/>
        </w:rPr>
        <w:t>.基本支出：指为保障机构正常运转、完成日常工作任务而发生的人员支出和公用支出。</w:t>
      </w:r>
    </w:p>
    <w:p w14:paraId="34F1D15A">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19</w:t>
      </w:r>
      <w:r>
        <w:rPr>
          <w:rFonts w:hint="eastAsia" w:ascii="仿宋" w:hAnsi="仿宋" w:eastAsia="仿宋"/>
          <w:color w:val="000000"/>
          <w:sz w:val="32"/>
          <w:szCs w:val="32"/>
        </w:rPr>
        <w:t xml:space="preserve">.项目支出：指在基本支出之外为完成特定行政任务和事业发展目标所发生的支出。 </w:t>
      </w:r>
    </w:p>
    <w:p w14:paraId="5C218E51">
      <w:pPr>
        <w:ind w:firstLine="640" w:firstLineChars="200"/>
        <w:rPr>
          <w:rFonts w:ascii="仿宋" w:hAnsi="仿宋" w:eastAsia="仿宋"/>
          <w:color w:val="000000"/>
          <w:sz w:val="32"/>
          <w:szCs w:val="32"/>
        </w:rPr>
      </w:pPr>
      <w:r>
        <w:rPr>
          <w:rFonts w:hint="eastAsia" w:ascii="仿宋" w:hAnsi="仿宋" w:eastAsia="仿宋"/>
          <w:color w:val="000000"/>
          <w:sz w:val="32"/>
          <w:szCs w:val="32"/>
        </w:rPr>
        <w:t>2</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.经营支出：指事业单位在专业业务活动及其辅助活动之外开展非独立核算经营活动发生的支出。</w:t>
      </w:r>
    </w:p>
    <w:p w14:paraId="05ED2BFE">
      <w:pPr>
        <w:pStyle w:val="25"/>
        <w:spacing w:line="560" w:lineRule="exact"/>
        <w:ind w:firstLine="640" w:firstLineChars="200"/>
        <w:jc w:val="both"/>
        <w:rPr>
          <w:rFonts w:hint="eastAsia" w:ascii="仿宋_GB2312" w:eastAsia="仿宋_GB2312"/>
          <w:color w:val="auto"/>
          <w:sz w:val="32"/>
          <w:szCs w:val="32"/>
          <w:highlight w:val="none"/>
        </w:rPr>
      </w:pPr>
      <w:r>
        <w:rPr>
          <w:rFonts w:hint="eastAsia" w:hAnsi="仿宋" w:cs="Times New Roman"/>
          <w:kern w:val="2"/>
          <w:sz w:val="32"/>
          <w:szCs w:val="32"/>
        </w:rPr>
        <w:t>2</w:t>
      </w:r>
      <w:r>
        <w:rPr>
          <w:rFonts w:hint="eastAsia" w:hAnsi="仿宋" w:cs="Times New Roman"/>
          <w:kern w:val="2"/>
          <w:sz w:val="32"/>
          <w:szCs w:val="32"/>
          <w:lang w:val="en-US" w:eastAsia="zh-CN"/>
        </w:rPr>
        <w:t>1</w:t>
      </w:r>
      <w:r>
        <w:rPr>
          <w:rFonts w:hint="eastAsia" w:hAnsi="仿宋" w:cs="Times New Roman"/>
          <w:kern w:val="2"/>
          <w:sz w:val="32"/>
          <w:szCs w:val="32"/>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9E18B57">
      <w:pPr>
        <w:pStyle w:val="25"/>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w:t>
      </w:r>
      <w:r>
        <w:rPr>
          <w:rFonts w:hint="eastAsia" w:hAnsi="仿宋" w:cs="Times New Roman"/>
          <w:kern w:val="2"/>
          <w:sz w:val="32"/>
          <w:szCs w:val="32"/>
          <w:lang w:val="en-US" w:eastAsia="zh-CN"/>
        </w:rPr>
        <w:t>2</w:t>
      </w:r>
      <w:bookmarkStart w:id="67" w:name="_GoBack"/>
      <w:bookmarkEnd w:id="67"/>
      <w:r>
        <w:rPr>
          <w:rFonts w:hint="eastAsia" w:hAnsi="仿宋" w:cs="Times New Roman"/>
          <w:kern w:val="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A9BB6E6">
      <w:pPr>
        <w:spacing w:line="600" w:lineRule="exact"/>
        <w:jc w:val="center"/>
        <w:outlineLvl w:val="0"/>
        <w:rPr>
          <w:rStyle w:val="27"/>
          <w:rFonts w:ascii="黑体" w:hAnsi="黑体" w:eastAsia="黑体"/>
          <w:b w:val="0"/>
        </w:rPr>
      </w:pPr>
      <w:r>
        <w:rPr>
          <w:rFonts w:ascii="宋体"/>
          <w:b/>
          <w:sz w:val="44"/>
          <w:szCs w:val="44"/>
        </w:rPr>
        <w:br w:type="page"/>
      </w:r>
      <w:bookmarkStart w:id="52" w:name="_Toc15396614"/>
      <w:r>
        <w:rPr>
          <w:rFonts w:hint="eastAsia" w:ascii="黑体" w:hAnsi="黑体" w:eastAsia="黑体"/>
          <w:sz w:val="44"/>
          <w:szCs w:val="44"/>
        </w:rPr>
        <w:t>第</w:t>
      </w:r>
      <w:r>
        <w:rPr>
          <w:rStyle w:val="27"/>
          <w:rFonts w:hint="eastAsia" w:ascii="黑体" w:hAnsi="黑体" w:eastAsia="黑体"/>
          <w:b w:val="0"/>
        </w:rPr>
        <w:t>四部分 附件</w:t>
      </w:r>
      <w:bookmarkEnd w:id="52"/>
    </w:p>
    <w:p w14:paraId="4BA1B81B">
      <w:pPr>
        <w:pStyle w:val="2"/>
        <w:spacing w:before="93"/>
        <w:rPr>
          <w:rFonts w:hint="eastAsia" w:hAnsi="Calibri" w:eastAsia="仿宋_GB2312" w:cs="仿宋"/>
          <w:sz w:val="32"/>
          <w:szCs w:val="32"/>
          <w:lang w:eastAsia="zh-CN"/>
        </w:rPr>
      </w:pPr>
      <w:bookmarkStart w:id="53" w:name="_Toc15396618"/>
    </w:p>
    <w:p w14:paraId="50EC8948">
      <w:pPr>
        <w:pStyle w:val="2"/>
        <w:spacing w:before="93"/>
        <w:rPr>
          <w:rFonts w:hint="eastAsia" w:hAnsi="Calibri" w:eastAsia="仿宋_GB2312" w:cs="仿宋"/>
          <w:sz w:val="32"/>
          <w:szCs w:val="32"/>
          <w:lang w:eastAsia="zh-CN"/>
        </w:rPr>
      </w:pPr>
      <w:r>
        <w:drawing>
          <wp:inline distT="0" distB="0" distL="114300" distR="114300">
            <wp:extent cx="5272405" cy="3585845"/>
            <wp:effectExtent l="0" t="0" r="635" b="1079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2"/>
                    <a:stretch>
                      <a:fillRect/>
                    </a:stretch>
                  </pic:blipFill>
                  <pic:spPr>
                    <a:xfrm>
                      <a:off x="0" y="0"/>
                      <a:ext cx="5272405" cy="3585845"/>
                    </a:xfrm>
                    <a:prstGeom prst="rect">
                      <a:avLst/>
                    </a:prstGeom>
                    <a:noFill/>
                    <a:ln>
                      <a:noFill/>
                    </a:ln>
                  </pic:spPr>
                </pic:pic>
              </a:graphicData>
            </a:graphic>
          </wp:inline>
        </w:drawing>
      </w:r>
    </w:p>
    <w:p w14:paraId="031CE68D">
      <w:pPr>
        <w:pStyle w:val="2"/>
        <w:spacing w:before="93"/>
        <w:rPr>
          <w:rFonts w:hint="eastAsia" w:hAnsi="Calibri" w:eastAsia="仿宋_GB2312" w:cs="仿宋"/>
          <w:sz w:val="32"/>
          <w:szCs w:val="32"/>
          <w:lang w:eastAsia="zh-CN"/>
        </w:rPr>
      </w:pPr>
    </w:p>
    <w:p w14:paraId="1B8BFF38">
      <w:pPr>
        <w:pStyle w:val="2"/>
        <w:spacing w:before="93"/>
        <w:rPr>
          <w:rFonts w:hAnsi="Calibri" w:cs="仿宋"/>
          <w:sz w:val="32"/>
          <w:szCs w:val="32"/>
        </w:rPr>
      </w:pPr>
    </w:p>
    <w:p w14:paraId="587C2B1B">
      <w:pPr>
        <w:pStyle w:val="2"/>
        <w:spacing w:before="93"/>
        <w:rPr>
          <w:rFonts w:hint="eastAsia" w:hAnsi="Calibri" w:eastAsia="仿宋_GB2312" w:cs="仿宋"/>
          <w:sz w:val="32"/>
          <w:szCs w:val="32"/>
          <w:lang w:eastAsia="zh-CN"/>
        </w:rPr>
      </w:pPr>
    </w:p>
    <w:p w14:paraId="7B94509F">
      <w:pPr>
        <w:pStyle w:val="2"/>
        <w:spacing w:before="93"/>
        <w:rPr>
          <w:rFonts w:hint="eastAsia" w:hAnsi="Calibri" w:eastAsia="仿宋_GB2312" w:cs="仿宋"/>
          <w:sz w:val="32"/>
          <w:szCs w:val="32"/>
          <w:lang w:eastAsia="zh-CN"/>
        </w:rPr>
      </w:pPr>
      <w:r>
        <w:drawing>
          <wp:inline distT="0" distB="0" distL="114300" distR="114300">
            <wp:extent cx="5273675" cy="4072255"/>
            <wp:effectExtent l="0" t="0" r="14605" b="1206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3"/>
                    <a:stretch>
                      <a:fillRect/>
                    </a:stretch>
                  </pic:blipFill>
                  <pic:spPr>
                    <a:xfrm>
                      <a:off x="0" y="0"/>
                      <a:ext cx="5273675" cy="4072255"/>
                    </a:xfrm>
                    <a:prstGeom prst="rect">
                      <a:avLst/>
                    </a:prstGeom>
                    <a:noFill/>
                    <a:ln>
                      <a:noFill/>
                    </a:ln>
                  </pic:spPr>
                </pic:pic>
              </a:graphicData>
            </a:graphic>
          </wp:inline>
        </w:drawing>
      </w:r>
      <w:r>
        <w:drawing>
          <wp:inline distT="0" distB="0" distL="114300" distR="114300">
            <wp:extent cx="5273675" cy="4643755"/>
            <wp:effectExtent l="0" t="0" r="14605" b="444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14"/>
                    <a:stretch>
                      <a:fillRect/>
                    </a:stretch>
                  </pic:blipFill>
                  <pic:spPr>
                    <a:xfrm>
                      <a:off x="0" y="0"/>
                      <a:ext cx="5273675" cy="4643755"/>
                    </a:xfrm>
                    <a:prstGeom prst="rect">
                      <a:avLst/>
                    </a:prstGeom>
                    <a:noFill/>
                    <a:ln>
                      <a:noFill/>
                    </a:ln>
                  </pic:spPr>
                </pic:pic>
              </a:graphicData>
            </a:graphic>
          </wp:inline>
        </w:drawing>
      </w:r>
      <w:r>
        <w:drawing>
          <wp:inline distT="0" distB="0" distL="114300" distR="114300">
            <wp:extent cx="5273675" cy="4077335"/>
            <wp:effectExtent l="0" t="0" r="14605" b="698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15"/>
                    <a:stretch>
                      <a:fillRect/>
                    </a:stretch>
                  </pic:blipFill>
                  <pic:spPr>
                    <a:xfrm>
                      <a:off x="0" y="0"/>
                      <a:ext cx="5273675" cy="4077335"/>
                    </a:xfrm>
                    <a:prstGeom prst="rect">
                      <a:avLst/>
                    </a:prstGeom>
                    <a:noFill/>
                    <a:ln>
                      <a:noFill/>
                    </a:ln>
                  </pic:spPr>
                </pic:pic>
              </a:graphicData>
            </a:graphic>
          </wp:inline>
        </w:drawing>
      </w:r>
      <w:r>
        <w:drawing>
          <wp:inline distT="0" distB="0" distL="114300" distR="114300">
            <wp:extent cx="5269865" cy="4280535"/>
            <wp:effectExtent l="0" t="0" r="3175" b="190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16"/>
                    <a:stretch>
                      <a:fillRect/>
                    </a:stretch>
                  </pic:blipFill>
                  <pic:spPr>
                    <a:xfrm>
                      <a:off x="0" y="0"/>
                      <a:ext cx="5269865" cy="4280535"/>
                    </a:xfrm>
                    <a:prstGeom prst="rect">
                      <a:avLst/>
                    </a:prstGeom>
                    <a:noFill/>
                    <a:ln>
                      <a:noFill/>
                    </a:ln>
                  </pic:spPr>
                </pic:pic>
              </a:graphicData>
            </a:graphic>
          </wp:inline>
        </w:drawing>
      </w:r>
      <w:r>
        <w:drawing>
          <wp:inline distT="0" distB="0" distL="114300" distR="114300">
            <wp:extent cx="5272405" cy="3606800"/>
            <wp:effectExtent l="0" t="0" r="635" b="508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17"/>
                    <a:stretch>
                      <a:fillRect/>
                    </a:stretch>
                  </pic:blipFill>
                  <pic:spPr>
                    <a:xfrm>
                      <a:off x="0" y="0"/>
                      <a:ext cx="5272405" cy="3606800"/>
                    </a:xfrm>
                    <a:prstGeom prst="rect">
                      <a:avLst/>
                    </a:prstGeom>
                    <a:noFill/>
                    <a:ln>
                      <a:noFill/>
                    </a:ln>
                  </pic:spPr>
                </pic:pic>
              </a:graphicData>
            </a:graphic>
          </wp:inline>
        </w:drawing>
      </w:r>
    </w:p>
    <w:p w14:paraId="05BA856E">
      <w:pPr>
        <w:pStyle w:val="2"/>
        <w:spacing w:before="93"/>
        <w:rPr>
          <w:rFonts w:hint="eastAsia" w:hAnsi="Calibri" w:eastAsia="仿宋_GB2312" w:cs="仿宋"/>
          <w:sz w:val="32"/>
          <w:szCs w:val="32"/>
          <w:lang w:eastAsia="zh-CN"/>
        </w:rPr>
      </w:pPr>
      <w:r>
        <w:drawing>
          <wp:inline distT="0" distB="0" distL="114300" distR="114300">
            <wp:extent cx="5269865" cy="4217035"/>
            <wp:effectExtent l="0" t="0" r="3175" b="444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18"/>
                    <a:stretch>
                      <a:fillRect/>
                    </a:stretch>
                  </pic:blipFill>
                  <pic:spPr>
                    <a:xfrm>
                      <a:off x="0" y="0"/>
                      <a:ext cx="5269865" cy="4217035"/>
                    </a:xfrm>
                    <a:prstGeom prst="rect">
                      <a:avLst/>
                    </a:prstGeom>
                    <a:noFill/>
                    <a:ln>
                      <a:noFill/>
                    </a:ln>
                  </pic:spPr>
                </pic:pic>
              </a:graphicData>
            </a:graphic>
          </wp:inline>
        </w:drawing>
      </w:r>
      <w:r>
        <w:drawing>
          <wp:inline distT="0" distB="0" distL="114300" distR="114300">
            <wp:extent cx="5273675" cy="4247515"/>
            <wp:effectExtent l="0" t="0" r="14605" b="444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19"/>
                    <a:stretch>
                      <a:fillRect/>
                    </a:stretch>
                  </pic:blipFill>
                  <pic:spPr>
                    <a:xfrm>
                      <a:off x="0" y="0"/>
                      <a:ext cx="5273675" cy="4247515"/>
                    </a:xfrm>
                    <a:prstGeom prst="rect">
                      <a:avLst/>
                    </a:prstGeom>
                    <a:noFill/>
                    <a:ln>
                      <a:noFill/>
                    </a:ln>
                  </pic:spPr>
                </pic:pic>
              </a:graphicData>
            </a:graphic>
          </wp:inline>
        </w:drawing>
      </w:r>
      <w:r>
        <w:drawing>
          <wp:inline distT="0" distB="0" distL="114300" distR="114300">
            <wp:extent cx="5271135" cy="4382135"/>
            <wp:effectExtent l="0" t="0" r="1905" b="6985"/>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20"/>
                    <a:stretch>
                      <a:fillRect/>
                    </a:stretch>
                  </pic:blipFill>
                  <pic:spPr>
                    <a:xfrm>
                      <a:off x="0" y="0"/>
                      <a:ext cx="5271135" cy="4382135"/>
                    </a:xfrm>
                    <a:prstGeom prst="rect">
                      <a:avLst/>
                    </a:prstGeom>
                    <a:noFill/>
                    <a:ln>
                      <a:noFill/>
                    </a:ln>
                  </pic:spPr>
                </pic:pic>
              </a:graphicData>
            </a:graphic>
          </wp:inline>
        </w:drawing>
      </w:r>
      <w:r>
        <w:drawing>
          <wp:inline distT="0" distB="0" distL="114300" distR="114300">
            <wp:extent cx="5270500" cy="3579495"/>
            <wp:effectExtent l="0" t="0" r="2540" b="1905"/>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21"/>
                    <a:stretch>
                      <a:fillRect/>
                    </a:stretch>
                  </pic:blipFill>
                  <pic:spPr>
                    <a:xfrm>
                      <a:off x="0" y="0"/>
                      <a:ext cx="5270500" cy="3579495"/>
                    </a:xfrm>
                    <a:prstGeom prst="rect">
                      <a:avLst/>
                    </a:prstGeom>
                    <a:noFill/>
                    <a:ln>
                      <a:noFill/>
                    </a:ln>
                  </pic:spPr>
                </pic:pic>
              </a:graphicData>
            </a:graphic>
          </wp:inline>
        </w:drawing>
      </w:r>
      <w:r>
        <w:drawing>
          <wp:inline distT="0" distB="0" distL="114300" distR="114300">
            <wp:extent cx="5270500" cy="3614420"/>
            <wp:effectExtent l="0" t="0" r="2540" b="1270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22"/>
                    <a:stretch>
                      <a:fillRect/>
                    </a:stretch>
                  </pic:blipFill>
                  <pic:spPr>
                    <a:xfrm>
                      <a:off x="0" y="0"/>
                      <a:ext cx="5270500" cy="3614420"/>
                    </a:xfrm>
                    <a:prstGeom prst="rect">
                      <a:avLst/>
                    </a:prstGeom>
                    <a:noFill/>
                    <a:ln>
                      <a:noFill/>
                    </a:ln>
                  </pic:spPr>
                </pic:pic>
              </a:graphicData>
            </a:graphic>
          </wp:inline>
        </w:drawing>
      </w:r>
      <w:r>
        <w:drawing>
          <wp:inline distT="0" distB="0" distL="114300" distR="114300">
            <wp:extent cx="5269865" cy="3602355"/>
            <wp:effectExtent l="0" t="0" r="3175" b="952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23"/>
                    <a:stretch>
                      <a:fillRect/>
                    </a:stretch>
                  </pic:blipFill>
                  <pic:spPr>
                    <a:xfrm>
                      <a:off x="0" y="0"/>
                      <a:ext cx="5269865" cy="3602355"/>
                    </a:xfrm>
                    <a:prstGeom prst="rect">
                      <a:avLst/>
                    </a:prstGeom>
                    <a:noFill/>
                    <a:ln>
                      <a:noFill/>
                    </a:ln>
                  </pic:spPr>
                </pic:pic>
              </a:graphicData>
            </a:graphic>
          </wp:inline>
        </w:drawing>
      </w:r>
    </w:p>
    <w:p w14:paraId="39B05B2A">
      <w:pPr>
        <w:spacing w:line="600" w:lineRule="exact"/>
        <w:jc w:val="both"/>
        <w:outlineLvl w:val="0"/>
        <w:rPr>
          <w:rFonts w:hint="eastAsia" w:ascii="黑体" w:hAnsi="黑体" w:eastAsia="黑体"/>
          <w:sz w:val="44"/>
          <w:szCs w:val="44"/>
        </w:rPr>
      </w:pPr>
    </w:p>
    <w:bookmarkEnd w:id="51"/>
    <w:bookmarkEnd w:id="53"/>
    <w:p w14:paraId="4326C792">
      <w:pPr>
        <w:pStyle w:val="2"/>
        <w:rPr>
          <w:rFonts w:hint="eastAsia" w:ascii="黑体" w:hAnsi="黑体" w:eastAsia="黑体"/>
          <w:sz w:val="44"/>
          <w:szCs w:val="44"/>
          <w:lang w:eastAsia="zh-CN"/>
        </w:rPr>
      </w:pPr>
    </w:p>
    <w:p w14:paraId="5C91A383">
      <w:pPr>
        <w:spacing w:line="600" w:lineRule="exact"/>
        <w:jc w:val="center"/>
        <w:outlineLvl w:val="0"/>
        <w:rPr>
          <w:rFonts w:hint="eastAsia" w:ascii="黑体" w:hAnsi="黑体" w:eastAsia="黑体"/>
          <w:sz w:val="44"/>
          <w:szCs w:val="44"/>
          <w:lang w:eastAsia="zh-CN"/>
        </w:rPr>
      </w:pPr>
    </w:p>
    <w:p w14:paraId="2C92604D">
      <w:pPr>
        <w:spacing w:line="600" w:lineRule="exact"/>
        <w:jc w:val="center"/>
        <w:outlineLvl w:val="0"/>
        <w:rPr>
          <w:rFonts w:hint="eastAsia" w:ascii="黑体" w:hAnsi="黑体" w:eastAsia="黑体"/>
          <w:sz w:val="44"/>
          <w:szCs w:val="44"/>
          <w:lang w:eastAsia="zh-CN"/>
        </w:rPr>
      </w:pPr>
    </w:p>
    <w:p w14:paraId="521CFD97">
      <w:pPr>
        <w:spacing w:line="600" w:lineRule="exact"/>
        <w:jc w:val="center"/>
        <w:outlineLvl w:val="0"/>
        <w:rPr>
          <w:rFonts w:hint="eastAsia" w:ascii="黑体" w:hAnsi="黑体" w:eastAsia="黑体"/>
          <w:sz w:val="44"/>
          <w:szCs w:val="44"/>
          <w:lang w:eastAsia="zh-CN"/>
        </w:rPr>
      </w:pPr>
    </w:p>
    <w:p w14:paraId="7A2E4926">
      <w:pPr>
        <w:spacing w:line="600" w:lineRule="exact"/>
        <w:jc w:val="center"/>
        <w:outlineLvl w:val="0"/>
        <w:rPr>
          <w:rFonts w:hint="eastAsia" w:ascii="黑体" w:hAnsi="黑体" w:eastAsia="黑体"/>
          <w:sz w:val="44"/>
          <w:szCs w:val="44"/>
          <w:lang w:eastAsia="zh-CN"/>
        </w:rPr>
      </w:pPr>
    </w:p>
    <w:p w14:paraId="3E0CF160">
      <w:pPr>
        <w:spacing w:line="600" w:lineRule="exact"/>
        <w:jc w:val="both"/>
        <w:outlineLvl w:val="0"/>
        <w:rPr>
          <w:rFonts w:hint="eastAsia" w:ascii="黑体" w:hAnsi="黑体" w:eastAsia="黑体"/>
          <w:sz w:val="44"/>
          <w:szCs w:val="44"/>
          <w:lang w:eastAsia="zh-CN"/>
        </w:rPr>
      </w:pPr>
    </w:p>
    <w:p w14:paraId="3F0E2E36">
      <w:pPr>
        <w:spacing w:line="600" w:lineRule="exact"/>
        <w:jc w:val="center"/>
        <w:outlineLvl w:val="0"/>
        <w:rPr>
          <w:rFonts w:hint="eastAsia" w:ascii="黑体" w:hAnsi="黑体" w:eastAsia="黑体"/>
          <w:sz w:val="44"/>
          <w:szCs w:val="44"/>
          <w:lang w:eastAsia="zh-CN"/>
        </w:rPr>
      </w:pPr>
    </w:p>
    <w:p w14:paraId="3CB7090F">
      <w:pPr>
        <w:pStyle w:val="2"/>
        <w:rPr>
          <w:rFonts w:hint="eastAsia" w:ascii="黑体" w:hAnsi="黑体" w:eastAsia="黑体"/>
          <w:sz w:val="44"/>
          <w:szCs w:val="44"/>
          <w:lang w:eastAsia="zh-CN"/>
        </w:rPr>
      </w:pPr>
    </w:p>
    <w:p w14:paraId="668E5305">
      <w:pPr>
        <w:pStyle w:val="2"/>
        <w:rPr>
          <w:rFonts w:hint="eastAsia" w:ascii="黑体" w:hAnsi="黑体" w:eastAsia="黑体"/>
          <w:sz w:val="44"/>
          <w:szCs w:val="44"/>
          <w:lang w:eastAsia="zh-CN"/>
        </w:rPr>
      </w:pPr>
    </w:p>
    <w:p w14:paraId="14DC26BC">
      <w:pPr>
        <w:pStyle w:val="2"/>
        <w:rPr>
          <w:rFonts w:hint="eastAsia" w:ascii="黑体" w:hAnsi="黑体" w:eastAsia="黑体"/>
          <w:sz w:val="44"/>
          <w:szCs w:val="44"/>
          <w:lang w:eastAsia="zh-CN"/>
        </w:rPr>
      </w:pPr>
    </w:p>
    <w:p w14:paraId="1D1E3F6C">
      <w:pPr>
        <w:pStyle w:val="2"/>
        <w:rPr>
          <w:rFonts w:hint="eastAsia" w:ascii="黑体" w:hAnsi="黑体" w:eastAsia="黑体"/>
          <w:sz w:val="44"/>
          <w:szCs w:val="44"/>
          <w:lang w:eastAsia="zh-CN"/>
        </w:rPr>
      </w:pPr>
    </w:p>
    <w:p w14:paraId="098D0B08">
      <w:pPr>
        <w:spacing w:line="600" w:lineRule="exact"/>
        <w:jc w:val="center"/>
        <w:outlineLvl w:val="0"/>
        <w:rPr>
          <w:rFonts w:ascii="仿宋" w:hAnsi="仿宋" w:eastAsia="仿宋"/>
        </w:rPr>
      </w:pPr>
      <w:r>
        <w:rPr>
          <w:rFonts w:hint="eastAsia" w:ascii="黑体" w:hAnsi="黑体" w:eastAsia="黑体"/>
          <w:sz w:val="44"/>
          <w:szCs w:val="44"/>
        </w:rPr>
        <w:t>第</w:t>
      </w:r>
      <w:r>
        <w:rPr>
          <w:rStyle w:val="27"/>
          <w:rFonts w:hint="eastAsia" w:ascii="黑体" w:hAnsi="黑体" w:eastAsia="黑体"/>
          <w:b w:val="0"/>
        </w:rPr>
        <w:t>五部分 附表</w:t>
      </w:r>
      <w:bookmarkStart w:id="54" w:name="_Toc15396619"/>
    </w:p>
    <w:bookmarkEnd w:id="54"/>
    <w:p w14:paraId="7F00541A">
      <w:pPr>
        <w:pStyle w:val="4"/>
        <w:rPr>
          <w:rFonts w:ascii="仿宋" w:hAnsi="仿宋" w:eastAsia="仿宋"/>
        </w:rPr>
      </w:pPr>
      <w:r>
        <w:rPr>
          <w:rFonts w:hint="eastAsia" w:ascii="仿宋" w:hAnsi="仿宋" w:eastAsia="仿宋"/>
          <w:b w:val="0"/>
        </w:rPr>
        <w:t>一、收</w:t>
      </w:r>
      <w:r>
        <w:rPr>
          <w:rStyle w:val="28"/>
          <w:rFonts w:hint="eastAsia" w:ascii="仿宋" w:hAnsi="仿宋" w:eastAsia="仿宋"/>
          <w:b w:val="0"/>
          <w:bCs w:val="0"/>
        </w:rPr>
        <w:t>入支出决算总表</w:t>
      </w:r>
    </w:p>
    <w:p w14:paraId="1354B96F">
      <w:pPr>
        <w:pStyle w:val="4"/>
        <w:rPr>
          <w:rFonts w:ascii="仿宋" w:hAnsi="仿宋" w:eastAsia="仿宋"/>
        </w:rPr>
      </w:pPr>
      <w:bookmarkStart w:id="55" w:name="_Toc15396620"/>
      <w:r>
        <w:rPr>
          <w:rFonts w:hint="eastAsia" w:ascii="仿宋" w:hAnsi="仿宋" w:eastAsia="仿宋"/>
          <w:b w:val="0"/>
        </w:rPr>
        <w:t>二、收</w:t>
      </w:r>
      <w:r>
        <w:rPr>
          <w:rStyle w:val="28"/>
          <w:rFonts w:hint="eastAsia" w:ascii="仿宋" w:hAnsi="仿宋" w:eastAsia="仿宋"/>
          <w:b w:val="0"/>
          <w:bCs w:val="0"/>
        </w:rPr>
        <w:t>入决算表</w:t>
      </w:r>
      <w:bookmarkEnd w:id="55"/>
    </w:p>
    <w:p w14:paraId="630910FE">
      <w:pPr>
        <w:pStyle w:val="4"/>
        <w:rPr>
          <w:rFonts w:ascii="仿宋" w:hAnsi="仿宋" w:eastAsia="仿宋"/>
        </w:rPr>
      </w:pPr>
      <w:bookmarkStart w:id="56" w:name="_Toc15396621"/>
      <w:r>
        <w:rPr>
          <w:rStyle w:val="28"/>
          <w:rFonts w:hint="eastAsia" w:ascii="仿宋" w:hAnsi="仿宋" w:eastAsia="仿宋"/>
          <w:b w:val="0"/>
          <w:bCs w:val="0"/>
        </w:rPr>
        <w:t>三、</w:t>
      </w:r>
      <w:r>
        <w:rPr>
          <w:rFonts w:hint="eastAsia" w:ascii="仿宋" w:hAnsi="仿宋" w:eastAsia="仿宋"/>
          <w:b w:val="0"/>
        </w:rPr>
        <w:t>支</w:t>
      </w:r>
      <w:r>
        <w:rPr>
          <w:rStyle w:val="28"/>
          <w:rFonts w:hint="eastAsia" w:ascii="仿宋" w:hAnsi="仿宋" w:eastAsia="仿宋"/>
          <w:b w:val="0"/>
          <w:bCs w:val="0"/>
        </w:rPr>
        <w:t>出决算表</w:t>
      </w:r>
      <w:bookmarkEnd w:id="56"/>
    </w:p>
    <w:p w14:paraId="6D2427CE">
      <w:pPr>
        <w:pStyle w:val="4"/>
        <w:rPr>
          <w:rFonts w:ascii="仿宋" w:hAnsi="仿宋" w:eastAsia="仿宋"/>
          <w:b w:val="0"/>
        </w:rPr>
      </w:pPr>
      <w:bookmarkStart w:id="57" w:name="_Toc15396622"/>
      <w:r>
        <w:rPr>
          <w:rStyle w:val="28"/>
          <w:rFonts w:hint="eastAsia" w:ascii="仿宋" w:hAnsi="仿宋" w:eastAsia="仿宋"/>
          <w:b w:val="0"/>
          <w:bCs w:val="0"/>
        </w:rPr>
        <w:t>四、</w:t>
      </w:r>
      <w:r>
        <w:rPr>
          <w:rFonts w:hint="eastAsia" w:ascii="仿宋" w:hAnsi="仿宋" w:eastAsia="仿宋"/>
          <w:b w:val="0"/>
        </w:rPr>
        <w:t>财</w:t>
      </w:r>
      <w:r>
        <w:rPr>
          <w:rStyle w:val="28"/>
          <w:rFonts w:hint="eastAsia" w:ascii="仿宋" w:hAnsi="仿宋" w:eastAsia="仿宋"/>
          <w:b w:val="0"/>
          <w:bCs w:val="0"/>
        </w:rPr>
        <w:t>政拨款收入支出决算总表</w:t>
      </w:r>
      <w:bookmarkEnd w:id="57"/>
    </w:p>
    <w:p w14:paraId="27B27053">
      <w:pPr>
        <w:pStyle w:val="4"/>
        <w:rPr>
          <w:rStyle w:val="28"/>
          <w:rFonts w:ascii="仿宋" w:hAnsi="仿宋" w:eastAsia="仿宋"/>
          <w:b w:val="0"/>
          <w:bCs w:val="0"/>
        </w:rPr>
      </w:pPr>
      <w:bookmarkStart w:id="58" w:name="_Toc15396623"/>
      <w:r>
        <w:rPr>
          <w:rStyle w:val="28"/>
          <w:rFonts w:hint="eastAsia" w:ascii="仿宋" w:hAnsi="仿宋" w:eastAsia="仿宋"/>
          <w:b w:val="0"/>
          <w:bCs w:val="0"/>
        </w:rPr>
        <w:t>五、</w:t>
      </w:r>
      <w:r>
        <w:rPr>
          <w:rFonts w:hint="eastAsia" w:ascii="仿宋" w:hAnsi="仿宋" w:eastAsia="仿宋"/>
          <w:b w:val="0"/>
        </w:rPr>
        <w:t>财</w:t>
      </w:r>
      <w:r>
        <w:rPr>
          <w:rStyle w:val="28"/>
          <w:rFonts w:hint="eastAsia" w:ascii="仿宋" w:hAnsi="仿宋" w:eastAsia="仿宋"/>
          <w:b w:val="0"/>
          <w:bCs w:val="0"/>
        </w:rPr>
        <w:t>政拨款支出决算明细表</w:t>
      </w:r>
      <w:bookmarkEnd w:id="58"/>
      <w:bookmarkStart w:id="59" w:name="_Toc15396624"/>
    </w:p>
    <w:p w14:paraId="4861414C">
      <w:pPr>
        <w:pStyle w:val="4"/>
        <w:rPr>
          <w:rFonts w:ascii="仿宋" w:hAnsi="仿宋" w:eastAsia="仿宋"/>
        </w:rPr>
      </w:pPr>
      <w:r>
        <w:rPr>
          <w:rStyle w:val="28"/>
          <w:rFonts w:hint="eastAsia" w:ascii="仿宋" w:hAnsi="仿宋" w:eastAsia="仿宋"/>
          <w:b w:val="0"/>
          <w:bCs w:val="0"/>
        </w:rPr>
        <w:t>六、</w:t>
      </w:r>
      <w:r>
        <w:rPr>
          <w:rFonts w:hint="eastAsia" w:ascii="仿宋" w:hAnsi="仿宋" w:eastAsia="仿宋"/>
          <w:b w:val="0"/>
        </w:rPr>
        <w:t>一</w:t>
      </w:r>
      <w:r>
        <w:rPr>
          <w:rStyle w:val="28"/>
          <w:rFonts w:hint="eastAsia" w:ascii="仿宋" w:hAnsi="仿宋" w:eastAsia="仿宋"/>
          <w:b w:val="0"/>
          <w:bCs w:val="0"/>
        </w:rPr>
        <w:t>般公共预算财政拨款支出决算表</w:t>
      </w:r>
      <w:bookmarkEnd w:id="59"/>
    </w:p>
    <w:p w14:paraId="5CE96717">
      <w:pPr>
        <w:pStyle w:val="4"/>
        <w:rPr>
          <w:rFonts w:ascii="仿宋" w:hAnsi="仿宋" w:eastAsia="仿宋"/>
        </w:rPr>
      </w:pPr>
      <w:bookmarkStart w:id="60" w:name="_Toc15396625"/>
      <w:r>
        <w:rPr>
          <w:rStyle w:val="28"/>
          <w:rFonts w:hint="eastAsia" w:ascii="仿宋" w:hAnsi="仿宋" w:eastAsia="仿宋"/>
          <w:b w:val="0"/>
          <w:bCs w:val="0"/>
        </w:rPr>
        <w:t>七、</w:t>
      </w:r>
      <w:r>
        <w:rPr>
          <w:rFonts w:hint="eastAsia" w:ascii="仿宋" w:hAnsi="仿宋" w:eastAsia="仿宋"/>
          <w:b w:val="0"/>
        </w:rPr>
        <w:t>一</w:t>
      </w:r>
      <w:r>
        <w:rPr>
          <w:rStyle w:val="28"/>
          <w:rFonts w:hint="eastAsia" w:ascii="仿宋" w:hAnsi="仿宋" w:eastAsia="仿宋"/>
          <w:b w:val="0"/>
          <w:bCs w:val="0"/>
        </w:rPr>
        <w:t>般公共预算财政拨款支出决算明细表</w:t>
      </w:r>
      <w:bookmarkEnd w:id="60"/>
    </w:p>
    <w:p w14:paraId="78419693">
      <w:pPr>
        <w:pStyle w:val="4"/>
        <w:rPr>
          <w:rFonts w:ascii="仿宋" w:hAnsi="仿宋" w:eastAsia="仿宋"/>
        </w:rPr>
      </w:pPr>
      <w:bookmarkStart w:id="61" w:name="_Toc15396626"/>
      <w:r>
        <w:rPr>
          <w:rStyle w:val="28"/>
          <w:rFonts w:hint="eastAsia" w:ascii="仿宋" w:hAnsi="仿宋" w:eastAsia="仿宋"/>
          <w:b w:val="0"/>
          <w:bCs w:val="0"/>
        </w:rPr>
        <w:t>八、</w:t>
      </w:r>
      <w:r>
        <w:rPr>
          <w:rFonts w:hint="eastAsia" w:ascii="仿宋" w:hAnsi="仿宋" w:eastAsia="仿宋"/>
          <w:b w:val="0"/>
        </w:rPr>
        <w:t>一</w:t>
      </w:r>
      <w:r>
        <w:rPr>
          <w:rStyle w:val="28"/>
          <w:rFonts w:hint="eastAsia" w:ascii="仿宋" w:hAnsi="仿宋" w:eastAsia="仿宋"/>
          <w:b w:val="0"/>
          <w:bCs w:val="0"/>
        </w:rPr>
        <w:t>般公共预算财政拨款基本支出决算表</w:t>
      </w:r>
      <w:bookmarkEnd w:id="61"/>
    </w:p>
    <w:p w14:paraId="20A57D76">
      <w:pPr>
        <w:pStyle w:val="4"/>
        <w:rPr>
          <w:rFonts w:ascii="仿宋" w:hAnsi="仿宋" w:eastAsia="仿宋"/>
        </w:rPr>
      </w:pPr>
      <w:bookmarkStart w:id="62" w:name="_Toc15396627"/>
      <w:r>
        <w:rPr>
          <w:rStyle w:val="28"/>
          <w:rFonts w:hint="eastAsia" w:ascii="仿宋" w:hAnsi="仿宋" w:eastAsia="仿宋"/>
          <w:b w:val="0"/>
          <w:bCs w:val="0"/>
        </w:rPr>
        <w:t>九、</w:t>
      </w:r>
      <w:r>
        <w:rPr>
          <w:rFonts w:hint="eastAsia" w:ascii="仿宋" w:hAnsi="仿宋" w:eastAsia="仿宋"/>
          <w:b w:val="0"/>
        </w:rPr>
        <w:t>一</w:t>
      </w:r>
      <w:r>
        <w:rPr>
          <w:rStyle w:val="28"/>
          <w:rFonts w:hint="eastAsia" w:ascii="仿宋" w:hAnsi="仿宋" w:eastAsia="仿宋"/>
          <w:b w:val="0"/>
          <w:bCs w:val="0"/>
        </w:rPr>
        <w:t>般公共预算财政拨款项目支出决算表</w:t>
      </w:r>
      <w:bookmarkEnd w:id="62"/>
    </w:p>
    <w:p w14:paraId="04459BCA">
      <w:pPr>
        <w:pStyle w:val="4"/>
        <w:rPr>
          <w:rFonts w:ascii="仿宋" w:hAnsi="仿宋" w:eastAsia="仿宋"/>
        </w:rPr>
      </w:pPr>
      <w:bookmarkStart w:id="63" w:name="_Toc15396628"/>
      <w:r>
        <w:rPr>
          <w:rStyle w:val="28"/>
          <w:rFonts w:hint="eastAsia" w:ascii="仿宋" w:hAnsi="仿宋" w:eastAsia="仿宋"/>
          <w:b w:val="0"/>
          <w:bCs w:val="0"/>
        </w:rPr>
        <w:t>十、</w:t>
      </w:r>
      <w:bookmarkEnd w:id="63"/>
      <w:r>
        <w:rPr>
          <w:rFonts w:hint="eastAsia" w:ascii="仿宋" w:hAnsi="仿宋" w:eastAsia="仿宋"/>
          <w:b w:val="0"/>
        </w:rPr>
        <w:t>政</w:t>
      </w:r>
      <w:r>
        <w:rPr>
          <w:rStyle w:val="28"/>
          <w:rFonts w:hint="eastAsia" w:ascii="仿宋" w:hAnsi="仿宋" w:eastAsia="仿宋"/>
          <w:b w:val="0"/>
          <w:bCs w:val="0"/>
        </w:rPr>
        <w:t>府性基金预算财政拨款收入支出决算表</w:t>
      </w:r>
    </w:p>
    <w:p w14:paraId="2A2BDCD1">
      <w:pPr>
        <w:pStyle w:val="4"/>
        <w:rPr>
          <w:rFonts w:ascii="仿宋" w:hAnsi="仿宋" w:eastAsia="仿宋"/>
        </w:rPr>
      </w:pPr>
      <w:bookmarkStart w:id="64" w:name="_Toc15396629"/>
      <w:r>
        <w:rPr>
          <w:rStyle w:val="28"/>
          <w:rFonts w:hint="eastAsia" w:ascii="仿宋" w:hAnsi="仿宋" w:eastAsia="仿宋"/>
          <w:b w:val="0"/>
          <w:bCs w:val="0"/>
        </w:rPr>
        <w:t>十一、</w:t>
      </w:r>
      <w:bookmarkEnd w:id="64"/>
      <w:r>
        <w:rPr>
          <w:rFonts w:hint="eastAsia" w:ascii="仿宋" w:hAnsi="仿宋" w:eastAsia="仿宋"/>
          <w:b w:val="0"/>
        </w:rPr>
        <w:t>国</w:t>
      </w:r>
      <w:r>
        <w:rPr>
          <w:rStyle w:val="28"/>
          <w:rFonts w:hint="eastAsia" w:ascii="仿宋" w:hAnsi="仿宋" w:eastAsia="仿宋"/>
          <w:b w:val="0"/>
          <w:bCs w:val="0"/>
        </w:rPr>
        <w:t>有资本经营预算财政拨款收入支出决算表</w:t>
      </w:r>
    </w:p>
    <w:p w14:paraId="05AC92B5">
      <w:pPr>
        <w:pStyle w:val="4"/>
        <w:rPr>
          <w:rFonts w:ascii="仿宋" w:hAnsi="仿宋" w:eastAsia="仿宋"/>
        </w:rPr>
      </w:pPr>
      <w:bookmarkStart w:id="65" w:name="_Toc15396630"/>
      <w:r>
        <w:rPr>
          <w:rStyle w:val="28"/>
          <w:rFonts w:hint="eastAsia" w:ascii="仿宋" w:hAnsi="仿宋" w:eastAsia="仿宋"/>
          <w:b w:val="0"/>
          <w:bCs w:val="0"/>
        </w:rPr>
        <w:t>十二、</w:t>
      </w:r>
      <w:bookmarkEnd w:id="65"/>
      <w:r>
        <w:rPr>
          <w:rStyle w:val="28"/>
          <w:rFonts w:hint="eastAsia" w:ascii="仿宋" w:hAnsi="仿宋" w:eastAsia="仿宋"/>
          <w:b w:val="0"/>
          <w:bCs w:val="0"/>
        </w:rPr>
        <w:t>国有资本经营预算财政拨款支出决算表</w:t>
      </w:r>
    </w:p>
    <w:p w14:paraId="4D9CC30E">
      <w:pPr>
        <w:pStyle w:val="4"/>
        <w:rPr>
          <w:rFonts w:eastAsia="仿宋"/>
        </w:rPr>
      </w:pPr>
      <w:bookmarkStart w:id="66" w:name="_Toc15396631"/>
      <w:r>
        <w:rPr>
          <w:rStyle w:val="28"/>
          <w:rFonts w:hint="eastAsia" w:ascii="仿宋" w:hAnsi="仿宋" w:eastAsia="仿宋"/>
          <w:b w:val="0"/>
          <w:bCs w:val="0"/>
        </w:rPr>
        <w:t>十三、</w:t>
      </w:r>
      <w:bookmarkEnd w:id="66"/>
      <w:r>
        <w:rPr>
          <w:rStyle w:val="28"/>
          <w:rFonts w:hint="eastAsia" w:ascii="仿宋" w:hAnsi="仿宋" w:eastAsia="仿宋"/>
          <w:b w:val="0"/>
          <w:bCs w:val="0"/>
        </w:rPr>
        <w:t>财政拨款“三公”经费支出决算表</w:t>
      </w:r>
    </w:p>
    <w:p w14:paraId="26F931B1">
      <w:pPr>
        <w:pStyle w:val="2"/>
        <w:rPr>
          <w:rFonts w:hint="eastAsia" w:ascii="黑体" w:hAnsi="黑体" w:eastAsia="黑体"/>
          <w:sz w:val="44"/>
          <w:szCs w:val="44"/>
          <w:lang w:eastAsia="zh-CN"/>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440AAE-9411-4C24-8851-4A4E190AD33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09C5161B-409C-4A6E-AD0E-ED8AF1AD1D42}"/>
  </w:font>
  <w:font w:name="仿宋">
    <w:panose1 w:val="02010609060101010101"/>
    <w:charset w:val="86"/>
    <w:family w:val="modern"/>
    <w:pitch w:val="default"/>
    <w:sig w:usb0="800002BF" w:usb1="38CF7CFA" w:usb2="00000016" w:usb3="00000000" w:csb0="00040001" w:csb1="00000000"/>
    <w:embedRegular r:id="rId3" w:fontKey="{3DAA86FF-314C-4F18-9C74-46553DE35664}"/>
  </w:font>
  <w:font w:name="Cambria">
    <w:panose1 w:val="02040503050406030204"/>
    <w:charset w:val="00"/>
    <w:family w:val="roman"/>
    <w:pitch w:val="default"/>
    <w:sig w:usb0="E00002FF" w:usb1="400004FF" w:usb2="00000000" w:usb3="00000000" w:csb0="2000019F" w:csb1="00000000"/>
    <w:embedRegular r:id="rId4" w:fontKey="{D9B5DB6A-C857-4610-863A-F6A48551CB69}"/>
  </w:font>
  <w:font w:name="仿宋_GB2312">
    <w:panose1 w:val="02010609030101010101"/>
    <w:charset w:val="86"/>
    <w:family w:val="auto"/>
    <w:pitch w:val="default"/>
    <w:sig w:usb0="00000001" w:usb1="080E0000" w:usb2="00000000" w:usb3="00000000" w:csb0="00040000" w:csb1="00000000"/>
    <w:embedRegular r:id="rId5" w:fontKey="{7EDA1EA3-E30F-4616-ACE5-E0B5E7B1A02F}"/>
  </w:font>
  <w:font w:name="方正小标宋简体">
    <w:panose1 w:val="02000000000000000000"/>
    <w:charset w:val="86"/>
    <w:family w:val="script"/>
    <w:pitch w:val="default"/>
    <w:sig w:usb0="00000001" w:usb1="080E0000" w:usb2="00000000" w:usb3="00000000" w:csb0="00040000" w:csb1="00000000"/>
    <w:embedRegular r:id="rId6" w:fontKey="{22FB587C-55E1-4458-9815-4A5CA01896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4BE80B12">
        <w:pPr>
          <w:pStyle w:val="9"/>
          <w:jc w:val="center"/>
        </w:pPr>
        <w:r>
          <w:fldChar w:fldCharType="begin"/>
        </w:r>
        <w:r>
          <w:instrText xml:space="preserve">PAGE   \* MERGEFORMAT</w:instrText>
        </w:r>
        <w:r>
          <w:fldChar w:fldCharType="separate"/>
        </w:r>
        <w:r>
          <w:rPr>
            <w:lang w:val="zh-CN"/>
          </w:rPr>
          <w:t>15</w:t>
        </w:r>
        <w:r>
          <w:fldChar w:fldCharType="end"/>
        </w:r>
      </w:p>
    </w:sdtContent>
  </w:sdt>
  <w:p w14:paraId="1CE641F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E9DDD">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DC2831"/>
    <w:rsid w:val="081B5E94"/>
    <w:rsid w:val="0A2032A3"/>
    <w:rsid w:val="0B8A37D8"/>
    <w:rsid w:val="0F5FFB2F"/>
    <w:rsid w:val="0FFFCF60"/>
    <w:rsid w:val="108073FB"/>
    <w:rsid w:val="10C055FF"/>
    <w:rsid w:val="118107EC"/>
    <w:rsid w:val="11DD6519"/>
    <w:rsid w:val="13F7536F"/>
    <w:rsid w:val="16BB723D"/>
    <w:rsid w:val="18015F3F"/>
    <w:rsid w:val="19205B5C"/>
    <w:rsid w:val="1BE8440E"/>
    <w:rsid w:val="1D155CEE"/>
    <w:rsid w:val="1FDBBF84"/>
    <w:rsid w:val="20F57F95"/>
    <w:rsid w:val="240371BF"/>
    <w:rsid w:val="2474134C"/>
    <w:rsid w:val="256F3985"/>
    <w:rsid w:val="25711CC6"/>
    <w:rsid w:val="25C741E6"/>
    <w:rsid w:val="276F80C0"/>
    <w:rsid w:val="27842671"/>
    <w:rsid w:val="29FD04D3"/>
    <w:rsid w:val="2ABE7A3E"/>
    <w:rsid w:val="2AFF09B6"/>
    <w:rsid w:val="2CA234A8"/>
    <w:rsid w:val="2EFA178C"/>
    <w:rsid w:val="2EFDF86C"/>
    <w:rsid w:val="2F9D17E1"/>
    <w:rsid w:val="30017FCC"/>
    <w:rsid w:val="30B46D73"/>
    <w:rsid w:val="31273C66"/>
    <w:rsid w:val="319F7F4E"/>
    <w:rsid w:val="321005C4"/>
    <w:rsid w:val="332C7652"/>
    <w:rsid w:val="356A28F1"/>
    <w:rsid w:val="357C035A"/>
    <w:rsid w:val="368E000D"/>
    <w:rsid w:val="371316C5"/>
    <w:rsid w:val="383D272C"/>
    <w:rsid w:val="39AE70AB"/>
    <w:rsid w:val="3A4DCE41"/>
    <w:rsid w:val="3BCB56FA"/>
    <w:rsid w:val="3C0C0783"/>
    <w:rsid w:val="3EE7C2F4"/>
    <w:rsid w:val="3F371B56"/>
    <w:rsid w:val="3F792ED8"/>
    <w:rsid w:val="3F9F3A96"/>
    <w:rsid w:val="3FECA4B2"/>
    <w:rsid w:val="3FF58C48"/>
    <w:rsid w:val="416D7002"/>
    <w:rsid w:val="42FF6694"/>
    <w:rsid w:val="44BB6CE8"/>
    <w:rsid w:val="45473B7C"/>
    <w:rsid w:val="484C6827"/>
    <w:rsid w:val="48BF60AB"/>
    <w:rsid w:val="493C27E9"/>
    <w:rsid w:val="496F39ED"/>
    <w:rsid w:val="49FF41D3"/>
    <w:rsid w:val="4BE068DB"/>
    <w:rsid w:val="4BF6002B"/>
    <w:rsid w:val="4BFFC6BE"/>
    <w:rsid w:val="4ECE2238"/>
    <w:rsid w:val="4ED87E14"/>
    <w:rsid w:val="51DB4B86"/>
    <w:rsid w:val="51F64DB0"/>
    <w:rsid w:val="52281967"/>
    <w:rsid w:val="541E3D16"/>
    <w:rsid w:val="55333C3E"/>
    <w:rsid w:val="569A3895"/>
    <w:rsid w:val="5DD53CD3"/>
    <w:rsid w:val="5F67802D"/>
    <w:rsid w:val="5F7DC4F2"/>
    <w:rsid w:val="5FB36814"/>
    <w:rsid w:val="5FBB8E56"/>
    <w:rsid w:val="5FFB5535"/>
    <w:rsid w:val="63EC2B86"/>
    <w:rsid w:val="645E53D9"/>
    <w:rsid w:val="64CA39A1"/>
    <w:rsid w:val="67361087"/>
    <w:rsid w:val="69630ADE"/>
    <w:rsid w:val="69BD5F13"/>
    <w:rsid w:val="69FB0B4B"/>
    <w:rsid w:val="6A125267"/>
    <w:rsid w:val="6BFFE1FB"/>
    <w:rsid w:val="6C4A05C8"/>
    <w:rsid w:val="6D3B1A89"/>
    <w:rsid w:val="6DB7D8A3"/>
    <w:rsid w:val="6E310BB7"/>
    <w:rsid w:val="6EC78701"/>
    <w:rsid w:val="6F7A5481"/>
    <w:rsid w:val="6FFE07A9"/>
    <w:rsid w:val="71BF4EC2"/>
    <w:rsid w:val="72734D90"/>
    <w:rsid w:val="73E75B71"/>
    <w:rsid w:val="7412278C"/>
    <w:rsid w:val="74E46444"/>
    <w:rsid w:val="75DDCDA9"/>
    <w:rsid w:val="75FF44B1"/>
    <w:rsid w:val="77670518"/>
    <w:rsid w:val="777FA627"/>
    <w:rsid w:val="77DF1B5F"/>
    <w:rsid w:val="77EF2D9D"/>
    <w:rsid w:val="79E7B28D"/>
    <w:rsid w:val="7ACFF0C2"/>
    <w:rsid w:val="7AFB9108"/>
    <w:rsid w:val="7BD5340C"/>
    <w:rsid w:val="7BFB19D2"/>
    <w:rsid w:val="7BFD1750"/>
    <w:rsid w:val="7BFDAA1B"/>
    <w:rsid w:val="7CDF9A82"/>
    <w:rsid w:val="7CFFA1BD"/>
    <w:rsid w:val="7D2E3F7A"/>
    <w:rsid w:val="7DED9490"/>
    <w:rsid w:val="7DFF4872"/>
    <w:rsid w:val="7E7487E6"/>
    <w:rsid w:val="7E7C2A54"/>
    <w:rsid w:val="7EEEFD72"/>
    <w:rsid w:val="7F1D517C"/>
    <w:rsid w:val="7F5DA057"/>
    <w:rsid w:val="7F6C2237"/>
    <w:rsid w:val="7F7F319B"/>
    <w:rsid w:val="7F8E706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0"/>
    <w:semiHidden/>
    <w:unhideWhenUsed/>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0"/>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2"/>
    <w:basedOn w:val="6"/>
    <w:unhideWhenUsed/>
    <w:qFormat/>
    <w:uiPriority w:val="99"/>
    <w:pPr>
      <w:ind w:firstLine="420" w:firstLine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paragraph" w:customStyle="1" w:styleId="18">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19">
    <w:name w:val="Header Char"/>
    <w:basedOn w:val="15"/>
    <w:semiHidden/>
    <w:qFormat/>
    <w:uiPriority w:val="99"/>
    <w:rPr>
      <w:rFonts w:ascii="Times New Roman" w:hAnsi="Times New Roman"/>
      <w:sz w:val="18"/>
      <w:szCs w:val="18"/>
    </w:rPr>
  </w:style>
  <w:style w:type="character" w:customStyle="1" w:styleId="20">
    <w:name w:val="页眉 字符"/>
    <w:link w:val="10"/>
    <w:semiHidden/>
    <w:qFormat/>
    <w:locked/>
    <w:uiPriority w:val="99"/>
    <w:rPr>
      <w:sz w:val="18"/>
    </w:rPr>
  </w:style>
  <w:style w:type="character" w:customStyle="1" w:styleId="21">
    <w:name w:val="Footer Char"/>
    <w:basedOn w:val="15"/>
    <w:semiHidden/>
    <w:qFormat/>
    <w:uiPriority w:val="99"/>
    <w:rPr>
      <w:rFonts w:ascii="Times New Roman" w:hAnsi="Times New Roman"/>
      <w:sz w:val="18"/>
      <w:szCs w:val="18"/>
    </w:rPr>
  </w:style>
  <w:style w:type="character" w:customStyle="1" w:styleId="22">
    <w:name w:val="页脚 字符"/>
    <w:link w:val="9"/>
    <w:qFormat/>
    <w:locked/>
    <w:uiPriority w:val="99"/>
    <w:rPr>
      <w:sz w:val="18"/>
    </w:rPr>
  </w:style>
  <w:style w:type="character" w:customStyle="1" w:styleId="23">
    <w:name w:val="Body Text Char"/>
    <w:basedOn w:val="15"/>
    <w:semiHidden/>
    <w:qFormat/>
    <w:uiPriority w:val="99"/>
    <w:rPr>
      <w:rFonts w:ascii="Times New Roman" w:hAnsi="Times New Roman"/>
      <w:szCs w:val="24"/>
    </w:rPr>
  </w:style>
  <w:style w:type="character" w:customStyle="1" w:styleId="24">
    <w:name w:val="正文文本 字符"/>
    <w:link w:val="2"/>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字符"/>
    <w:basedOn w:val="15"/>
    <w:link w:val="3"/>
    <w:qFormat/>
    <w:uiPriority w:val="9"/>
    <w:rPr>
      <w:rFonts w:ascii="Times New Roman" w:hAnsi="Times New Roman"/>
      <w:b/>
      <w:bCs/>
      <w:kern w:val="44"/>
      <w:sz w:val="44"/>
      <w:szCs w:val="44"/>
    </w:rPr>
  </w:style>
  <w:style w:type="character" w:customStyle="1" w:styleId="28">
    <w:name w:val="标题 2 字符"/>
    <w:basedOn w:val="15"/>
    <w:link w:val="4"/>
    <w:qFormat/>
    <w:uiPriority w:val="9"/>
    <w:rPr>
      <w:rFonts w:asciiTheme="majorHAnsi" w:hAnsiTheme="majorHAnsi" w:eastAsiaTheme="majorEastAsia" w:cstheme="majorBidi"/>
      <w:b/>
      <w:bCs/>
      <w:kern w:val="2"/>
      <w:sz w:val="32"/>
      <w:szCs w:val="32"/>
    </w:rPr>
  </w:style>
  <w:style w:type="paragraph" w:customStyle="1" w:styleId="2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字符"/>
    <w:basedOn w:val="15"/>
    <w:link w:val="8"/>
    <w:semiHidden/>
    <w:qFormat/>
    <w:uiPriority w:val="99"/>
    <w:rPr>
      <w:rFonts w:ascii="Times New Roman" w:hAnsi="Times New Roman"/>
      <w:kern w:val="2"/>
      <w:sz w:val="18"/>
      <w:szCs w:val="18"/>
    </w:rPr>
  </w:style>
  <w:style w:type="character" w:customStyle="1" w:styleId="31">
    <w:name w:val="标题 3 字符"/>
    <w:basedOn w:val="15"/>
    <w:link w:val="5"/>
    <w:qFormat/>
    <w:uiPriority w:val="9"/>
    <w:rPr>
      <w:rFonts w:ascii="Times New Roman" w:hAnsi="Times New Roman"/>
      <w:b/>
      <w:bCs/>
      <w:kern w:val="2"/>
      <w:sz w:val="32"/>
      <w:szCs w:val="32"/>
    </w:rPr>
  </w:style>
  <w:style w:type="paragraph" w:customStyle="1" w:styleId="3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2"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2"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[工作簿1]Sheet1!$B$1:$B$2</c:f>
              <c:strCache>
                <c:ptCount val="1"/>
                <c:pt idx="0">
                  <c:v>收支数 金额</c:v>
                </c:pt>
              </c:strCache>
            </c:strRef>
          </c:tx>
          <c:spPr>
            <a:solidFill>
              <a:schemeClr val="accent1"/>
            </a:solidFill>
            <a:ln>
              <a:noFill/>
            </a:ln>
            <a:effectLst/>
          </c:spPr>
          <c:invertIfNegative val="0"/>
          <c:dLbls>
            <c:delete val="1"/>
          </c:dLbls>
          <c:cat>
            <c:strRef>
              <c:f>[工作簿1]Sheet1!$A$3:$A$4</c:f>
              <c:strCache>
                <c:ptCount val="2"/>
                <c:pt idx="0">
                  <c:v>2022年</c:v>
                </c:pt>
                <c:pt idx="1">
                  <c:v>2023年</c:v>
                </c:pt>
              </c:strCache>
            </c:strRef>
          </c:cat>
          <c:val>
            <c:numRef>
              <c:f>[工作簿1]Sheet1!$B$3:$B$4</c:f>
              <c:numCache>
                <c:formatCode>General</c:formatCode>
                <c:ptCount val="2"/>
                <c:pt idx="0">
                  <c:v>1016.15</c:v>
                </c:pt>
                <c:pt idx="1">
                  <c:v>923.52</c:v>
                </c:pt>
              </c:numCache>
            </c:numRef>
          </c:val>
        </c:ser>
        <c:dLbls>
          <c:showLegendKey val="0"/>
          <c:showVal val="0"/>
          <c:showCatName val="0"/>
          <c:showSerName val="0"/>
          <c:showPercent val="0"/>
          <c:showBubbleSize val="0"/>
        </c:dLbls>
        <c:gapWidth val="216"/>
        <c:overlap val="-32"/>
        <c:axId val="795278972"/>
        <c:axId val="109051656"/>
      </c:barChart>
      <c:catAx>
        <c:axId val="7952789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9051656"/>
        <c:crosses val="autoZero"/>
        <c:auto val="1"/>
        <c:lblAlgn val="ctr"/>
        <c:lblOffset val="100"/>
        <c:noMultiLvlLbl val="0"/>
      </c:catAx>
      <c:valAx>
        <c:axId val="109051656"/>
        <c:scaling>
          <c:orientation val="minMax"/>
        </c:scaling>
        <c:delete val="0"/>
        <c:axPos val="l"/>
        <c:majorGridlines>
          <c:spPr>
            <a:ln w="9525" cap="flat" cmpd="sng" algn="ctr">
              <a:solidFill>
                <a:schemeClr val="lt1">
                  <a:lumMod val="902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52789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a6981b19-bd56-4c53-a3ef-a68d5554d75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[工作簿1]Sheet1!$B$1</c:f>
              <c:strCache>
                <c:ptCount val="1"/>
                <c:pt idx="0">
                  <c:v>收入数</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[工作簿1]Sheet1!$A$2:$A$3</c:f>
              <c:strCache>
                <c:ptCount val="2"/>
                <c:pt idx="0">
                  <c:v>一般公共预算财政拨款收入</c:v>
                </c:pt>
                <c:pt idx="1">
                  <c:v>其他收入</c:v>
                </c:pt>
              </c:strCache>
            </c:strRef>
          </c:cat>
          <c:val>
            <c:numRef>
              <c:f>[工作簿1]Sheet1!$B$2:$B$3</c:f>
              <c:numCache>
                <c:formatCode>General</c:formatCode>
                <c:ptCount val="2"/>
                <c:pt idx="0">
                  <c:v>857.19</c:v>
                </c:pt>
                <c:pt idx="1">
                  <c:v>28.17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051bb1e-a4df-45b3-aa46-85be103eb7a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[工作簿1]Sheet1!$B$1</c:f>
              <c:strCache>
                <c:ptCount val="1"/>
                <c:pt idx="0">
                  <c:v>2022年支出数</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[工作簿1]Sheet1!$A$2:$A$3</c:f>
              <c:strCache>
                <c:ptCount val="2"/>
                <c:pt idx="0">
                  <c:v>基本支出</c:v>
                </c:pt>
                <c:pt idx="1">
                  <c:v>项目支出</c:v>
                </c:pt>
              </c:strCache>
            </c:strRef>
          </c:cat>
          <c:val>
            <c:numRef>
              <c:f>[工作簿1]Sheet1!$B$2:$B$3</c:f>
              <c:numCache>
                <c:formatCode>General</c:formatCode>
                <c:ptCount val="2"/>
                <c:pt idx="0">
                  <c:v>583.78</c:v>
                </c:pt>
                <c:pt idx="1">
                  <c:v>306.78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173c94a-69c7-45f6-853c-6fa7db1b0cb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[工作簿2]Sheet1!$B$1</c:f>
              <c:strCache>
                <c:ptCount val="1"/>
                <c:pt idx="0">
                  <c:v>财政拨款收、支总计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[工作簿2]Sheet1!$A$2:$A$3</c:f>
              <c:strCache>
                <c:ptCount val="2"/>
                <c:pt idx="0">
                  <c:v>2022年</c:v>
                </c:pt>
                <c:pt idx="1">
                  <c:v>2023年</c:v>
                </c:pt>
              </c:strCache>
            </c:strRef>
          </c:cat>
          <c:val>
            <c:numRef>
              <c:f>[工作簿2]Sheet1!$B$2:$B$3</c:f>
              <c:numCache>
                <c:formatCode>General</c:formatCode>
                <c:ptCount val="2"/>
                <c:pt idx="0">
                  <c:v>1005.81</c:v>
                </c:pt>
                <c:pt idx="1">
                  <c:v>904.34</c:v>
                </c:pt>
              </c:numCache>
            </c:numRef>
          </c:val>
        </c:ser>
        <c:dLbls>
          <c:showLegendKey val="0"/>
          <c:showVal val="1"/>
          <c:showCatName val="0"/>
          <c:showSerName val="0"/>
          <c:showPercent val="0"/>
          <c:showBubbleSize val="0"/>
        </c:dLbls>
        <c:gapWidth val="246"/>
        <c:overlap val="-28"/>
        <c:axId val="868898856"/>
        <c:axId val="202612081"/>
      </c:barChart>
      <c:catAx>
        <c:axId val="868898856"/>
        <c:scaling>
          <c:orientation val="minMax"/>
        </c:scaling>
        <c:delete val="0"/>
        <c:axPos val="b"/>
        <c:title>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612081"/>
        <c:crosses val="autoZero"/>
        <c:auto val="1"/>
        <c:lblAlgn val="ctr"/>
        <c:lblOffset val="100"/>
        <c:noMultiLvlLbl val="0"/>
      </c:catAx>
      <c:valAx>
        <c:axId val="202612081"/>
        <c:scaling>
          <c:orientation val="minMax"/>
        </c:scaling>
        <c:delete val="0"/>
        <c:axPos val="l"/>
        <c:majorGridlines>
          <c:spPr>
            <a:ln w="9525" cap="flat" cmpd="sng" algn="ctr">
              <a:solidFill>
                <a:schemeClr val="lt1">
                  <a:lumMod val="902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8988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5ed8d2c-a42e-4958-a041-bff00a1bc42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[工作簿2]Sheet1!$B$1</c:f>
              <c:strCache>
                <c:ptCount val="1"/>
                <c:pt idx="0">
                  <c:v>一般公共预算财政拨款支出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[工作簿2]Sheet1!$A$2:$A$3</c:f>
              <c:strCache>
                <c:ptCount val="2"/>
                <c:pt idx="0">
                  <c:v>2022年</c:v>
                </c:pt>
                <c:pt idx="1">
                  <c:v>2023年</c:v>
                </c:pt>
              </c:strCache>
            </c:strRef>
          </c:cat>
          <c:val>
            <c:numRef>
              <c:f>[工作簿2]Sheet1!$B$2:$B$3</c:f>
              <c:numCache>
                <c:formatCode>General</c:formatCode>
                <c:ptCount val="2"/>
                <c:pt idx="0">
                  <c:v>963.86</c:v>
                </c:pt>
                <c:pt idx="1">
                  <c:v>862.39</c:v>
                </c:pt>
              </c:numCache>
            </c:numRef>
          </c:val>
        </c:ser>
        <c:dLbls>
          <c:showLegendKey val="0"/>
          <c:showVal val="1"/>
          <c:showCatName val="0"/>
          <c:showSerName val="0"/>
          <c:showPercent val="0"/>
          <c:showBubbleSize val="0"/>
        </c:dLbls>
        <c:gapWidth val="246"/>
        <c:overlap val="-28"/>
        <c:axId val="868898856"/>
        <c:axId val="202612081"/>
      </c:barChart>
      <c:catAx>
        <c:axId val="868898856"/>
        <c:scaling>
          <c:orientation val="minMax"/>
        </c:scaling>
        <c:delete val="0"/>
        <c:axPos val="b"/>
        <c:title>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612081"/>
        <c:crosses val="autoZero"/>
        <c:auto val="1"/>
        <c:lblAlgn val="ctr"/>
        <c:lblOffset val="100"/>
        <c:noMultiLvlLbl val="0"/>
      </c:catAx>
      <c:valAx>
        <c:axId val="202612081"/>
        <c:scaling>
          <c:orientation val="minMax"/>
        </c:scaling>
        <c:delete val="0"/>
        <c:axPos val="l"/>
        <c:majorGridlines>
          <c:spPr>
            <a:ln w="9525" cap="flat" cmpd="sng" algn="ctr">
              <a:solidFill>
                <a:schemeClr val="lt1">
                  <a:lumMod val="902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8988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9a8c3f7-091e-45a0-88ac-78e51f4763b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[工作簿1]Sheet1!$B$1</c:f>
              <c:strCache>
                <c:ptCount val="1"/>
                <c:pt idx="0">
                  <c:v>2023年一般公共预算财政拨款支出</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[工作簿1]Sheet1!$A$2:$A$6</c:f>
              <c:strCache>
                <c:ptCount val="5"/>
                <c:pt idx="0">
                  <c:v>教育支出</c:v>
                </c:pt>
                <c:pt idx="1">
                  <c:v>社会保障和就业支出</c:v>
                </c:pt>
                <c:pt idx="2">
                  <c:v>卫生健康支出</c:v>
                </c:pt>
                <c:pt idx="3">
                  <c:v>住房保障支出</c:v>
                </c:pt>
                <c:pt idx="4">
                  <c:v>其他支出</c:v>
                </c:pt>
              </c:strCache>
            </c:strRef>
          </c:cat>
          <c:val>
            <c:numRef>
              <c:f>[工作簿1]Sheet1!$B$2:$B$6</c:f>
              <c:numCache>
                <c:formatCode>General</c:formatCode>
                <c:ptCount val="5"/>
                <c:pt idx="0">
                  <c:v>731.82</c:v>
                </c:pt>
                <c:pt idx="1">
                  <c:v>60.6</c:v>
                </c:pt>
                <c:pt idx="2">
                  <c:v>16.36</c:v>
                </c:pt>
                <c:pt idx="3">
                  <c:v>37.57</c:v>
                </c:pt>
                <c:pt idx="4">
                  <c:v>16.0399999999998</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43cdfd09-1fe5-4b8a-8006-f49a2d0171c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26</Pages>
  <Words>5502</Words>
  <Characters>7660</Characters>
  <Lines>54</Lines>
  <Paragraphs>15</Paragraphs>
  <TotalTime>8</TotalTime>
  <ScaleCrop>false</ScaleCrop>
  <LinksUpToDate>false</LinksUpToDate>
  <CharactersWithSpaces>7701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碧云天</cp:lastModifiedBy>
  <cp:lastPrinted>2024-09-28T02:17:00Z</cp:lastPrinted>
  <dcterms:modified xsi:type="dcterms:W3CDTF">2024-10-30T10:01:08Z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AF088B5F219542098E62719A5632D73F_13</vt:lpwstr>
  </property>
</Properties>
</file>