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6A214">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2712F57">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峨边彝族自治县觉莫乡中心小学</w:t>
      </w:r>
    </w:p>
    <w:p w14:paraId="4D52837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287329E7">
      <w:pPr>
        <w:jc w:val="center"/>
        <w:rPr>
          <w:rFonts w:hint="eastAsia" w:ascii="方正小标宋简体" w:hAnsi="方正小标宋简体" w:eastAsia="方正小标宋简体" w:cs="方正小标宋简体"/>
          <w:b w:val="0"/>
          <w:bCs/>
          <w:sz w:val="52"/>
          <w:szCs w:val="52"/>
          <w:lang w:val="en-US" w:eastAsia="zh-CN"/>
        </w:rPr>
      </w:pPr>
    </w:p>
    <w:p w14:paraId="67E29277">
      <w:pPr>
        <w:jc w:val="both"/>
        <w:rPr>
          <w:rFonts w:hint="default"/>
          <w:b/>
          <w:bCs/>
          <w:sz w:val="52"/>
          <w:szCs w:val="52"/>
          <w:lang w:val="en-US" w:eastAsia="zh-CN"/>
        </w:rPr>
      </w:pPr>
    </w:p>
    <w:p w14:paraId="678045F9">
      <w:pPr>
        <w:jc w:val="both"/>
        <w:rPr>
          <w:rFonts w:hint="default"/>
          <w:b/>
          <w:bCs/>
          <w:sz w:val="52"/>
          <w:szCs w:val="52"/>
          <w:lang w:val="en-US" w:eastAsia="zh-CN"/>
        </w:rPr>
      </w:pPr>
    </w:p>
    <w:p w14:paraId="3750A022">
      <w:pPr>
        <w:jc w:val="both"/>
        <w:rPr>
          <w:rFonts w:hint="default"/>
          <w:b/>
          <w:bCs/>
          <w:sz w:val="52"/>
          <w:szCs w:val="52"/>
          <w:lang w:val="en-US" w:eastAsia="zh-CN"/>
        </w:rPr>
      </w:pPr>
    </w:p>
    <w:p w14:paraId="076A5216">
      <w:pPr>
        <w:jc w:val="center"/>
        <w:rPr>
          <w:rFonts w:hint="eastAsia" w:ascii="方正小标宋简体" w:hAnsi="方正小标宋简体" w:eastAsia="方正小标宋简体" w:cs="方正小标宋简体"/>
          <w:b w:val="0"/>
          <w:bCs w:val="0"/>
          <w:sz w:val="32"/>
          <w:szCs w:val="32"/>
          <w:lang w:val="en-US" w:eastAsia="zh-CN"/>
        </w:rPr>
      </w:pPr>
    </w:p>
    <w:p w14:paraId="5245E7B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峨边彝族自治县觉莫乡中心小学</w:t>
      </w:r>
    </w:p>
    <w:p w14:paraId="598E1E7E">
      <w:pPr>
        <w:ind w:left="0" w:leftChars="0" w:firstLine="0" w:firstLineChars="0"/>
        <w:jc w:val="both"/>
        <w:rPr>
          <w:rFonts w:hint="default"/>
          <w:b/>
          <w:bCs/>
          <w:sz w:val="32"/>
          <w:szCs w:val="32"/>
          <w:lang w:val="en-US" w:eastAsia="zh-CN"/>
        </w:rPr>
      </w:pPr>
    </w:p>
    <w:p w14:paraId="427376FD">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1B2007A6">
      <w:pPr>
        <w:jc w:val="both"/>
        <w:rPr>
          <w:rFonts w:hint="eastAsia"/>
          <w:b/>
          <w:bCs/>
          <w:sz w:val="32"/>
          <w:szCs w:val="32"/>
          <w:lang w:val="en-US" w:eastAsia="zh-CN"/>
        </w:rPr>
      </w:pPr>
    </w:p>
    <w:p w14:paraId="210A1C3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768257A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28"/>
          <w:szCs w:val="28"/>
          <w:lang w:val="en-US" w:eastAsia="zh-CN"/>
        </w:rPr>
        <w:t xml:space="preserve">第一部分 </w:t>
      </w:r>
      <w:r>
        <w:rPr>
          <w:rFonts w:hint="eastAsia" w:ascii="黑体" w:hAnsi="黑体" w:eastAsia="黑体" w:cs="黑体"/>
          <w:b w:val="0"/>
          <w:bCs w:val="0"/>
          <w:color w:val="auto"/>
          <w:sz w:val="28"/>
          <w:szCs w:val="28"/>
          <w:lang w:val="en-US" w:eastAsia="zh-CN"/>
        </w:rPr>
        <w:t>峨边彝族自治县觉莫乡中心小学</w:t>
      </w:r>
      <w:r>
        <w:rPr>
          <w:rFonts w:hint="eastAsia" w:ascii="黑体" w:hAnsi="黑体" w:eastAsia="黑体" w:cs="黑体"/>
          <w:b w:val="0"/>
          <w:bCs w:val="0"/>
          <w:sz w:val="28"/>
          <w:szCs w:val="28"/>
          <w:lang w:val="en-US" w:eastAsia="zh-CN"/>
        </w:rPr>
        <w:t>概况</w:t>
      </w:r>
    </w:p>
    <w:p w14:paraId="5157D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1A4EF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71718B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第二部分 </w:t>
      </w:r>
      <w:r>
        <w:rPr>
          <w:rFonts w:hint="eastAsia" w:ascii="黑体" w:hAnsi="黑体" w:eastAsia="黑体" w:cs="黑体"/>
          <w:b w:val="0"/>
          <w:bCs w:val="0"/>
          <w:color w:val="auto"/>
          <w:sz w:val="28"/>
          <w:szCs w:val="28"/>
          <w:lang w:val="en-US" w:eastAsia="zh-CN"/>
        </w:rPr>
        <w:t>峨边彝族自治县觉莫乡中心小学</w:t>
      </w:r>
      <w:r>
        <w:rPr>
          <w:rFonts w:hint="eastAsia" w:ascii="黑体" w:hAnsi="黑体" w:eastAsia="黑体" w:cs="黑体"/>
          <w:b w:val="0"/>
          <w:bCs w:val="0"/>
          <w:sz w:val="28"/>
          <w:szCs w:val="28"/>
          <w:lang w:val="en-US" w:eastAsia="zh-CN"/>
        </w:rPr>
        <w:t>2026年部门预算表</w:t>
      </w:r>
    </w:p>
    <w:p w14:paraId="3A8FC5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BD6D3C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BC71E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A3D3F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8925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AD0ED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C6C760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65BB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50ACE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FDE20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3853DBA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3A458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7B75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03FC4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84455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94D0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第三部分 </w:t>
      </w:r>
      <w:r>
        <w:rPr>
          <w:rFonts w:hint="eastAsia" w:ascii="黑体" w:hAnsi="黑体" w:eastAsia="黑体" w:cs="黑体"/>
          <w:b w:val="0"/>
          <w:bCs w:val="0"/>
          <w:color w:val="auto"/>
          <w:sz w:val="28"/>
          <w:szCs w:val="28"/>
          <w:lang w:val="en-US" w:eastAsia="zh-CN"/>
        </w:rPr>
        <w:t>峨边彝族自治县觉莫乡中心小学</w:t>
      </w:r>
      <w:r>
        <w:rPr>
          <w:rFonts w:hint="eastAsia" w:ascii="黑体" w:hAnsi="黑体" w:eastAsia="黑体" w:cs="黑体"/>
          <w:b w:val="0"/>
          <w:bCs w:val="0"/>
          <w:sz w:val="28"/>
          <w:szCs w:val="28"/>
          <w:lang w:val="en-US" w:eastAsia="zh-CN"/>
        </w:rPr>
        <w:t>2026年部门预算情况说明</w:t>
      </w:r>
    </w:p>
    <w:p w14:paraId="1521B5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63BB4797">
      <w:pPr>
        <w:pStyle w:val="2"/>
        <w:numPr>
          <w:ilvl w:val="0"/>
          <w:numId w:val="0"/>
        </w:numPr>
        <w:bidi w:val="0"/>
        <w:jc w:val="both"/>
        <w:rPr>
          <w:rFonts w:hint="default"/>
          <w:lang w:val="en-US" w:eastAsia="zh-CN"/>
        </w:rPr>
      </w:pPr>
    </w:p>
    <w:p w14:paraId="2EE2EC05">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峨边彝族自治县觉莫乡中心小学概况</w:t>
      </w:r>
    </w:p>
    <w:p w14:paraId="713A5BBB">
      <w:pPr>
        <w:widowControl w:val="0"/>
        <w:numPr>
          <w:ilvl w:val="0"/>
          <w:numId w:val="0"/>
        </w:numPr>
        <w:jc w:val="both"/>
        <w:rPr>
          <w:rFonts w:hint="default"/>
          <w:b/>
          <w:bCs/>
          <w:sz w:val="52"/>
          <w:szCs w:val="52"/>
          <w:lang w:val="en-US" w:eastAsia="zh-CN"/>
        </w:rPr>
      </w:pPr>
    </w:p>
    <w:p w14:paraId="257A12C7">
      <w:pPr>
        <w:widowControl w:val="0"/>
        <w:numPr>
          <w:ilvl w:val="0"/>
          <w:numId w:val="0"/>
        </w:numPr>
        <w:jc w:val="both"/>
        <w:rPr>
          <w:rFonts w:hint="default"/>
          <w:b/>
          <w:bCs/>
          <w:sz w:val="52"/>
          <w:szCs w:val="52"/>
          <w:lang w:val="en-US" w:eastAsia="zh-CN"/>
        </w:rPr>
      </w:pPr>
    </w:p>
    <w:p w14:paraId="1B801FBA">
      <w:pPr>
        <w:widowControl w:val="0"/>
        <w:numPr>
          <w:ilvl w:val="0"/>
          <w:numId w:val="0"/>
        </w:numPr>
        <w:jc w:val="both"/>
        <w:rPr>
          <w:rFonts w:hint="default"/>
          <w:b/>
          <w:bCs/>
          <w:sz w:val="52"/>
          <w:szCs w:val="52"/>
          <w:lang w:val="en-US" w:eastAsia="zh-CN"/>
        </w:rPr>
      </w:pPr>
    </w:p>
    <w:p w14:paraId="4188B645">
      <w:pPr>
        <w:widowControl w:val="0"/>
        <w:numPr>
          <w:ilvl w:val="0"/>
          <w:numId w:val="0"/>
        </w:numPr>
        <w:jc w:val="both"/>
        <w:rPr>
          <w:rFonts w:hint="default"/>
          <w:b/>
          <w:bCs/>
          <w:sz w:val="52"/>
          <w:szCs w:val="52"/>
          <w:lang w:val="en-US" w:eastAsia="zh-CN"/>
        </w:rPr>
      </w:pPr>
    </w:p>
    <w:p w14:paraId="6FA1503B">
      <w:pPr>
        <w:widowControl w:val="0"/>
        <w:numPr>
          <w:ilvl w:val="0"/>
          <w:numId w:val="0"/>
        </w:numPr>
        <w:jc w:val="both"/>
        <w:rPr>
          <w:rFonts w:hint="default"/>
          <w:b/>
          <w:bCs/>
          <w:sz w:val="52"/>
          <w:szCs w:val="52"/>
          <w:lang w:val="en-US" w:eastAsia="zh-CN"/>
        </w:rPr>
      </w:pPr>
    </w:p>
    <w:p w14:paraId="6FCA83A4">
      <w:pPr>
        <w:widowControl w:val="0"/>
        <w:numPr>
          <w:ilvl w:val="0"/>
          <w:numId w:val="0"/>
        </w:numPr>
        <w:jc w:val="both"/>
        <w:rPr>
          <w:rFonts w:hint="default"/>
          <w:b/>
          <w:bCs/>
          <w:sz w:val="52"/>
          <w:szCs w:val="52"/>
          <w:lang w:val="en-US" w:eastAsia="zh-CN"/>
        </w:rPr>
      </w:pPr>
    </w:p>
    <w:p w14:paraId="413AF47A">
      <w:pPr>
        <w:bidi w:val="0"/>
        <w:rPr>
          <w:rFonts w:hint="eastAsia" w:ascii="黑体" w:hAnsi="黑体" w:eastAsia="黑体" w:cs="黑体"/>
          <w:lang w:val="en-US" w:eastAsia="zh-CN"/>
        </w:rPr>
      </w:pPr>
    </w:p>
    <w:p w14:paraId="59C33AB3">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F1F1A66">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12B6539E">
      <w:pPr>
        <w:rPr>
          <w:rFonts w:ascii="仿宋" w:hAnsi="仿宋" w:cs="宋体"/>
          <w:szCs w:val="32"/>
        </w:rPr>
      </w:pPr>
      <w:r>
        <w:rPr>
          <w:rFonts w:ascii="仿宋" w:hAnsi="仿宋" w:cs="宋体"/>
          <w:szCs w:val="32"/>
        </w:rPr>
        <w:t>（1）宣传贯彻执行党和国家的教育方针、政策、法律法规等，坚持依法治教、依法治学，贯彻执行县教育局的行政规章制度。</w:t>
      </w:r>
    </w:p>
    <w:p w14:paraId="635B27C4">
      <w:pPr>
        <w:rPr>
          <w:rFonts w:ascii="仿宋" w:hAnsi="仿宋" w:cs="宋体"/>
          <w:szCs w:val="32"/>
        </w:rPr>
      </w:pPr>
      <w:r>
        <w:rPr>
          <w:rFonts w:ascii="仿宋" w:hAnsi="仿宋" w:cs="宋体"/>
          <w:szCs w:val="32"/>
        </w:rPr>
        <w:t>（2）配合县、镇人民政府制定符合党的教育方针和国家教育法律法规以及本校实际的教育发展规划和学校布局调整规划，并抓好组织实施和落实工作。</w:t>
      </w:r>
    </w:p>
    <w:p w14:paraId="208DB846">
      <w:pPr>
        <w:rPr>
          <w:rFonts w:ascii="仿宋" w:hAnsi="仿宋" w:cs="宋体"/>
          <w:szCs w:val="32"/>
        </w:rPr>
      </w:pPr>
      <w:r>
        <w:rPr>
          <w:rFonts w:ascii="仿宋" w:hAnsi="仿宋" w:cs="宋体"/>
          <w:szCs w:val="32"/>
        </w:rPr>
        <w:t>（3）巩固提高“两基”工作成果和整体水平，配合各级人民政府依法动员、组织适龄儿童少年入学，严格控制辍学。负责抓所在镇的成人教育工作，抓好扫盲和巩固工作，推进普及义务教育。</w:t>
      </w:r>
    </w:p>
    <w:p w14:paraId="0B79D431">
      <w:pPr>
        <w:rPr>
          <w:rFonts w:ascii="仿宋" w:hAnsi="仿宋" w:cs="宋体"/>
          <w:szCs w:val="32"/>
        </w:rPr>
      </w:pPr>
      <w:r>
        <w:rPr>
          <w:rFonts w:ascii="仿宋" w:hAnsi="仿宋" w:cs="宋体"/>
          <w:szCs w:val="32"/>
        </w:rPr>
        <w:t>（4）组织开展本校的教育教学科研和教育教学改革，科研兴教，科研兴校。负责对本校教育教学业务的具体管理，负责教育教学管理及教研教改工作，全力推进素质教育实施。</w:t>
      </w:r>
      <w:r>
        <w:rPr>
          <w:rFonts w:ascii="宋体" w:hAnsi="宋体" w:cs="宋体"/>
          <w:szCs w:val="32"/>
        </w:rPr>
        <w:t>     </w:t>
      </w:r>
    </w:p>
    <w:p w14:paraId="4CFAFCDA">
      <w:pPr>
        <w:rPr>
          <w:rFonts w:ascii="仿宋" w:hAnsi="仿宋"/>
          <w:szCs w:val="32"/>
        </w:rPr>
      </w:pPr>
      <w:r>
        <w:rPr>
          <w:rFonts w:hint="eastAsia" w:ascii="仿宋" w:hAnsi="仿宋" w:cs="宋体"/>
          <w:szCs w:val="32"/>
        </w:rPr>
        <w:t>（5）按照干部和教师的职数、编制和管理权限，负责本校教师人事管理、继续教育、考核考评等工作。</w:t>
      </w:r>
      <w:r>
        <w:rPr>
          <w:rFonts w:hint="eastAsia" w:ascii="宋体" w:hAnsi="宋体" w:cs="宋体"/>
          <w:szCs w:val="32"/>
        </w:rPr>
        <w:t> </w:t>
      </w:r>
    </w:p>
    <w:p w14:paraId="3003B4BC">
      <w:pPr>
        <w:rPr>
          <w:rFonts w:ascii="仿宋" w:hAnsi="仿宋"/>
          <w:szCs w:val="32"/>
        </w:rPr>
      </w:pPr>
      <w:r>
        <w:rPr>
          <w:rFonts w:ascii="仿宋" w:hAnsi="仿宋" w:cs="宋体"/>
          <w:szCs w:val="32"/>
        </w:rPr>
        <w:t>（6）负责本校财务和基建管理，筹措资金，改善办学条</w:t>
      </w:r>
      <w:r>
        <w:rPr>
          <w:rFonts w:hint="eastAsia" w:ascii="仿宋" w:hAnsi="仿宋" w:cs="宋体"/>
          <w:szCs w:val="32"/>
        </w:rPr>
        <w:t>件等工作。</w:t>
      </w:r>
    </w:p>
    <w:p w14:paraId="65030E18">
      <w:pPr>
        <w:rPr>
          <w:rFonts w:ascii="仿宋" w:hAnsi="仿宋"/>
          <w:szCs w:val="32"/>
        </w:rPr>
      </w:pPr>
      <w:r>
        <w:rPr>
          <w:rFonts w:ascii="仿宋" w:hAnsi="仿宋" w:cs="宋体"/>
          <w:szCs w:val="32"/>
        </w:rPr>
        <w:t>（7）指导、管理、检查、评价本校的教育教学工作，提高办学质量和办学效益。按照义务教育课程计划，开齐课程，开足课时，认真实施中小学的教育教学管理，全面推进素质教育，全面提高教育教学质量</w:t>
      </w:r>
    </w:p>
    <w:p w14:paraId="12B43B91">
      <w:pPr>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45089D9E">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新学年，新希望，2026年春季学期对于觉莫小学来说，面临着“机遇与挑战并存，发展与困难同在”的局面，学校将以习近平新时代中国特色社会主义思想为指导，认真落实上级教育主管局工作要点。“夯实一个理念，坚守一个中心，突出三项重点，加强六方面落实。”即夯实“立德树人”教育理念，把育人放在学校工作首要位置；坚守“教育质量”核心地位，抓好教师队伍建设，抓好“教学六认真”，抓好“德育课程建设”，全方位推动教育教学质量的提升；全力提高教学质量；突出学校管理体系建设，明确议事规则，制度规范，活动丰富，凸显党支部、党员、积极分子在学校管理中的核心、示范作用，努力提升学校管理水平；突出“教育科研管理”，抓好省级县级课题推进，抓好公开示范课，抓好“听课评课”，开展丰富的教研活动，打造研究型的教师队伍；突出“寄宿制管理”，抓好“早晚作息管理”，抓好“寝室内务管理”，抓好“食堂管理”，抓好“突发事件应急管理”，落实好“五项管理”，让学生在学校感受到“家”的温暖。同时做好“安全管理”“五项管理”“艺术体育”“劳动教育”“语言文字工作”“村幼管理工作”等六方面重点工作的落实。通过践行“1126”工作目标，全面推进本学年工作。</w:t>
      </w:r>
    </w:p>
    <w:p w14:paraId="5E805964">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一、牢固树立“立德树人 卓越发展”的办学理念。坚决把“立德树人”“为党育人、为国育才”理念作为学校办学方向，贯穿于学校教育全过程。通过学习、教育、活动将此理念内化到每一位教育者的心里，贯穿到每一项教育活动中，在常态学校活动中，做到作为校园文化中心内容，活动必讲，会议必讲，进入课堂。</w:t>
      </w:r>
    </w:p>
    <w:p w14:paraId="50AC0D12">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1.加强德育阵地建设。形成学校党支部、工会、少先队、班级一以贯之的德育阵地，把师生思想教育放在学校工作核心位置，引领学校全面工作。由学校党支部主导实施。</w:t>
      </w:r>
    </w:p>
    <w:p w14:paraId="0DF1508F">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德高为师，身正为范。加强“讲政治”“讲规矩”“讲师德”“讲奉献”学习教育，让每一位教育工作者在走上讲台“言传”之前，更加重视自身的“身教”。以“师德师风建设”为平台，通过丰富的德育活动，打造师德高尚、能力优良的教育队伍。</w:t>
      </w:r>
    </w:p>
    <w:p w14:paraId="3CBB55EE">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3.以社会主义核心价值观为指导，通过加强“爱祖国”“爱家乡”“爱父母”“文明礼仪”“良好行为习惯”教育，让学生从小树立建设祖国、建设家乡、立志成才的远大理想，从小铸牢中华民族共同体意识。</w:t>
      </w:r>
    </w:p>
    <w:p w14:paraId="36E9F811">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4.打造良好校园环境。学校要加强有利于“立德树人”的育人环境建设，多方筹资，用心设计，认真落实，建设丰富的学校校园德育课程。</w:t>
      </w:r>
    </w:p>
    <w:p w14:paraId="660984D2">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5.加强学校德育课程建设。在部颁德育课程的基础上，积极丰富德育校本课程。以丰富的德育课程为平台，实现学校德育教育目标。</w:t>
      </w:r>
    </w:p>
    <w:p w14:paraId="79F1B6D9">
      <w:pPr>
        <w:rPr>
          <w:rFonts w:hint="eastAsia" w:ascii="仿宋" w:hAnsi="仿宋"/>
          <w:szCs w:val="32"/>
          <w:lang w:val="en-US" w:eastAsia="zh-CN"/>
        </w:rPr>
      </w:pPr>
      <w:r>
        <w:rPr>
          <w:rFonts w:hint="eastAsia" w:ascii="仿宋" w:hAnsi="仿宋"/>
          <w:szCs w:val="32"/>
          <w:lang w:val="en-US" w:eastAsia="zh-CN"/>
        </w:rPr>
        <w:t>二、坚守“教育质量”的核心地位，全面提高教学质量。</w:t>
      </w:r>
    </w:p>
    <w:p w14:paraId="105C9517">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1.没有质量的教学是无效教学，失败的教学，全体教育工作者都要树立质量是生命线的核心意识，通过学校全方位的教学活动，促进学生德智体全面发展。</w:t>
      </w:r>
    </w:p>
    <w:p w14:paraId="11FFFF61">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抓好教师队伍建设，一是抓好师德教育，学高为师，身正为范，每个教师都要注重“身教”，树立“榜样”。二是加强教育理论和教学课标的学习，明确本学科、本学段教学目标是什么。三是采取“集体备课”“师徒结对”等有效措施，推动年轻教师的快速成长。</w:t>
      </w:r>
    </w:p>
    <w:p w14:paraId="13B0BFC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3.加强教学过程管理。教导处以“教学六认真”为主要依据，加强对各学科教学过程的指导、督促和检查，做到一月一督查，根据检查的情况及时调整和纠正教学过程中的不足。</w:t>
      </w:r>
    </w:p>
    <w:p w14:paraId="034D212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抓好德育课程建设。一是教导处要开齐开足如《品德与生活》等国家德育课程；二是督促各学科要渗透德育教育；三是立足学校实际，建立“升旗仪式”“风纪评比”“小手拉大手”“节庆主题活动”等丰富的校本德育课程。</w:t>
      </w:r>
    </w:p>
    <w:p w14:paraId="4D1C0983">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5.结合上级主管部门的相关文件精神和学校实际，完善学科教学激励评价制度，以“教学质量奖”“年度考核”等机制予以激励。</w:t>
      </w:r>
    </w:p>
    <w:p w14:paraId="7442E951">
      <w:pPr>
        <w:ind w:left="0" w:leftChars="0" w:firstLine="0" w:firstLineChars="0"/>
        <w:rPr>
          <w:rFonts w:hint="eastAsia" w:ascii="仿宋" w:hAnsi="仿宋"/>
          <w:szCs w:val="32"/>
          <w:lang w:val="en-US" w:eastAsia="zh-CN"/>
        </w:rPr>
      </w:pPr>
      <w:r>
        <w:rPr>
          <w:rFonts w:hint="eastAsia" w:ascii="仿宋" w:hAnsi="仿宋"/>
          <w:szCs w:val="32"/>
          <w:lang w:val="en-US" w:eastAsia="zh-CN"/>
        </w:rPr>
        <w:t>三、突出两项重点工作</w:t>
      </w:r>
    </w:p>
    <w:p w14:paraId="4B1E3851">
      <w:pPr>
        <w:ind w:left="0" w:leftChars="0" w:firstLine="0" w:firstLineChars="0"/>
        <w:rPr>
          <w:rFonts w:hint="eastAsia" w:ascii="仿宋" w:hAnsi="仿宋"/>
          <w:szCs w:val="32"/>
          <w:lang w:val="en-US" w:eastAsia="zh-CN"/>
        </w:rPr>
      </w:pPr>
      <w:r>
        <w:rPr>
          <w:rFonts w:hint="eastAsia" w:ascii="仿宋" w:hAnsi="仿宋"/>
          <w:szCs w:val="32"/>
          <w:lang w:val="en-US" w:eastAsia="zh-CN"/>
        </w:rPr>
        <w:t>（一）突出教育科研</w:t>
      </w:r>
    </w:p>
    <w:p w14:paraId="0629AA2D">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1.加强学校常规教研活动。选择配备好教研组长，结合学校实际拟定好教研方向、目标，扎实开展丰富、有效的校内教研活动。</w:t>
      </w:r>
    </w:p>
    <w:p w14:paraId="4D66EF7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2.结合实际需要，选派教师参加学习培训。参加学习培训的老师学完回校必须上好汇报课或做好专题交流。</w:t>
      </w:r>
    </w:p>
    <w:p w14:paraId="74B6C6C4">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3.积极组织学校优秀教师到优秀学校学习，到同类学校教研。</w:t>
      </w:r>
    </w:p>
    <w:p w14:paraId="203B537F">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4.扎实推进省级课题《新时代彝族小学移风文化策略研究》、本期有明显的阶段研究成果。</w:t>
      </w:r>
    </w:p>
    <w:p w14:paraId="78655A8F">
      <w:pPr>
        <w:ind w:left="0" w:leftChars="0" w:firstLine="0" w:firstLineChars="0"/>
        <w:rPr>
          <w:rFonts w:hint="eastAsia" w:ascii="仿宋" w:hAnsi="仿宋"/>
          <w:szCs w:val="32"/>
          <w:lang w:val="en-US" w:eastAsia="zh-CN"/>
        </w:rPr>
      </w:pPr>
      <w:r>
        <w:rPr>
          <w:rFonts w:hint="eastAsia" w:ascii="仿宋" w:hAnsi="仿宋"/>
          <w:szCs w:val="32"/>
          <w:lang w:val="en-US" w:eastAsia="zh-CN"/>
        </w:rPr>
        <w:t>（二）突出寄宿制管理工作</w:t>
      </w:r>
    </w:p>
    <w:p w14:paraId="45D33E4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做好学生在学校学习、生活、安全、心理疏导、关心关怀等工作，让学生在学校寄宿制生活中感受到“家”的温暖。</w:t>
      </w:r>
    </w:p>
    <w:p w14:paraId="008CEC0E">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抓好早晚作息管理，按时睡觉、按时起床、按时吃饭、按时自习，培养学生时间观念，规矩意识。</w:t>
      </w:r>
    </w:p>
    <w:p w14:paraId="2142B468">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抓好寝室内务管理，叠好被子更换床单，睡前洗脚起床洗脸漱口，个人东西收拾好，让学生养成良好的生活习惯。</w:t>
      </w:r>
    </w:p>
    <w:p w14:paraId="357C3CB9">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抓好学生食堂管理，专款专用、定期结算、定点采购、双人采购、双人验货、值周行政、教师陪餐、家委会陪餐，规范食堂常规操作，让学生在校吃饱吃好。</w:t>
      </w:r>
    </w:p>
    <w:p w14:paraId="6124E3DC">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抓好突发事件应急管理，学生在校和睦相处，强化安全意识，学校校长到后勤教职工人人有责。制定好应急预案，学生出现打架、生病等突发情况，相关人员严格按照学校应急预案快速、有效处理。</w:t>
      </w:r>
    </w:p>
    <w:p w14:paraId="5C72A896">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抓好学生在校心理疏导、关心关怀工作，行政要经常巡查学生学习生活，班主任要经常深入学生寝室，对需要心理疏导的要及时介入疏导，让学生切实感受到来自老师的爱和温暖。</w:t>
      </w:r>
    </w:p>
    <w:p w14:paraId="537DD382">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同时做好“安全管理”“五项管理”“艺术体育”“劳动教育”“语言文字工作”“村幼管理工作”等六方面重点工作的落实。</w:t>
      </w:r>
    </w:p>
    <w:p w14:paraId="533A75F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四、抓好六项主要工作。</w:t>
      </w:r>
    </w:p>
    <w:p w14:paraId="55244F82">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（一）抓好安全管理工作。</w:t>
      </w:r>
    </w:p>
    <w:p w14:paraId="04F889B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1.通过学习、会议、讲座等有效途径，加强教职工、学生安全意识，牢固树立安全警钟长鸣、安全责任重于泰山、防范胜于救灾的安全工作理念，全面提升安全意识。</w:t>
      </w:r>
    </w:p>
    <w:p w14:paraId="590FB07A">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2.结合学校职责，做到校园安全工作常态化、及时化，做到工作职责明确，工作措施及时，工作档案规范。</w:t>
      </w:r>
    </w:p>
    <w:p w14:paraId="2D18129F">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3.认真学习国家《中小学校学生违规行为惩戒实施暂行办法》，结合学校实际情况，制定学校《学生违规行为惩戒实施办法》，规范教师教育教学行为，严防教育教学安全事件。</w:t>
      </w:r>
    </w:p>
    <w:p w14:paraId="19E33C4E">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4.规范好学校安全管理制度，拟定好应急预案，做到制度不断完善，预案经常演练。</w:t>
      </w:r>
    </w:p>
    <w:p w14:paraId="4B7A28EF">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5.出现校内安全突发事件，学校安办要及时启动应急预案，快速高效处置。</w:t>
      </w:r>
    </w:p>
    <w:p w14:paraId="4C76C44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（二）抓好“五项管理”</w:t>
      </w:r>
    </w:p>
    <w:p w14:paraId="7656500A">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1.组织全体老师学习“五项管理”的重要意义，明确学校落实“五项管理”的具体方案。</w:t>
      </w:r>
    </w:p>
    <w:p w14:paraId="79663A3C">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2.根据“五项管理”要求，落实好各职能部门职责，做到职责明确，分工协作。</w:t>
      </w:r>
    </w:p>
    <w:p w14:paraId="1204F544">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3.建好“五项管理”档案资料。</w:t>
      </w:r>
    </w:p>
    <w:p w14:paraId="44951316">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（三）抓好艺术体育工作、劳动教育</w:t>
      </w:r>
    </w:p>
    <w:p w14:paraId="35AC45D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1.开齐开足部颁音乐、体育、美术课程，努力提高教学质量。</w:t>
      </w:r>
    </w:p>
    <w:p w14:paraId="0641A4A0">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2.积极开发艺体校本课程，明确目标，落实老师，扎实推进学校素质教育。</w:t>
      </w:r>
    </w:p>
    <w:p w14:paraId="07EF6B0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3.用好课后服务平台，积极开展艺术体育活动。</w:t>
      </w:r>
    </w:p>
    <w:p w14:paraId="0DA82172">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4.开展好六一节、运动会、艺术团等工作。</w:t>
      </w:r>
    </w:p>
    <w:p w14:paraId="4020F19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（四）抓好劳动教育</w:t>
      </w:r>
    </w:p>
    <w:p w14:paraId="3A5218B7">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1.加强劳动教育。开好学校劳动课程，让学生从小养成热爱劳动，学会劳动。</w:t>
      </w:r>
    </w:p>
    <w:p w14:paraId="07A24A65">
      <w:pPr>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2.建好校园劳动实践基地。</w:t>
      </w:r>
    </w:p>
    <w:p w14:paraId="5CC959B2">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（五）抓好语言文字工作</w:t>
      </w:r>
    </w:p>
    <w:p w14:paraId="0CC40470">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1.教师必须具备二级乙等以上普通话证书，在学校教育教学活动中，要求老师全程规范使用普通话。</w:t>
      </w:r>
    </w:p>
    <w:p w14:paraId="2B593300">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2.抓好小学起始年级与幼儿园的衔接，扎实巩固推进“学前学普”成果，把普通话作为学生学习中的必备语言，鼓励学生在平常交流中使用普通话。</w:t>
      </w:r>
    </w:p>
    <w:p w14:paraId="4570A2F4">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3.根据民族地区教育特点，抓好“彝语文”教学工作。明确目标，建好课程，落实师资，做好宣传，努力实现彝族地区小学特色语文教学。</w:t>
      </w:r>
    </w:p>
    <w:p w14:paraId="385E607A">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（六）抓好村幼工作</w:t>
      </w:r>
    </w:p>
    <w:p w14:paraId="6E80762E">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1.加强村幼硬件、软件建设，创建良好的村幼办学环境条件。</w:t>
      </w:r>
    </w:p>
    <w:p w14:paraId="169698C9">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2.加强村幼老师的管理。配备好村幼管理团队，让村幼负责老师进入学校管理团队，做到让专业人员做专业的事情；做到奖优惩懒、优胜劣汰，充分发挥村幼老师工作积极性。</w:t>
      </w:r>
    </w:p>
    <w:p w14:paraId="605B7A62">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3.继续加强“学前学普”巩固工作。</w:t>
      </w:r>
    </w:p>
    <w:p w14:paraId="0DACD9A4">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4C4DF4F">
      <w:pPr>
        <w:bidi w:val="0"/>
        <w:rPr>
          <w:rFonts w:hint="eastAsia" w:ascii="仿宋" w:hAnsi="仿宋" w:eastAsia="仿宋"/>
          <w:sz w:val="32"/>
          <w:szCs w:val="32"/>
        </w:rPr>
      </w:pPr>
      <w:r>
        <w:rPr>
          <w:rFonts w:hint="eastAsia" w:ascii="仿宋" w:hAnsi="仿宋"/>
          <w:color w:val="auto"/>
          <w:sz w:val="32"/>
          <w:szCs w:val="32"/>
          <w:lang w:val="en-US" w:eastAsia="zh-CN"/>
        </w:rPr>
        <w:t>峨边彝族自治县觉莫乡中心小学</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49D0AABD">
      <w:pPr>
        <w:bidi w:val="0"/>
        <w:rPr>
          <w:rFonts w:hint="eastAsia" w:ascii="仿宋" w:hAnsi="仿宋" w:eastAsia="仿宋"/>
          <w:sz w:val="32"/>
          <w:szCs w:val="32"/>
        </w:rPr>
      </w:pPr>
      <w:r>
        <w:rPr>
          <w:rFonts w:hint="eastAsia" w:ascii="仿宋" w:hAnsi="仿宋"/>
          <w:color w:val="auto"/>
          <w:sz w:val="32"/>
          <w:szCs w:val="32"/>
          <w:lang w:val="en-US" w:eastAsia="zh-CN"/>
        </w:rPr>
        <w:t>峨边彝族自治县觉莫乡中心小学</w:t>
      </w:r>
      <w:r>
        <w:rPr>
          <w:rFonts w:hint="eastAsia" w:ascii="仿宋" w:hAnsi="仿宋" w:eastAsia="仿宋"/>
          <w:sz w:val="32"/>
          <w:szCs w:val="32"/>
        </w:rPr>
        <w:t>总编制</w:t>
      </w:r>
      <w:r>
        <w:rPr>
          <w:rFonts w:hint="eastAsia" w:ascii="仿宋" w:hAnsi="仿宋"/>
          <w:sz w:val="32"/>
          <w:szCs w:val="32"/>
          <w:lang w:val="en-US" w:eastAsia="zh-CN"/>
        </w:rPr>
        <w:t>12</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12</w:t>
      </w:r>
      <w:r>
        <w:rPr>
          <w:rFonts w:hint="eastAsia" w:ascii="仿宋" w:hAnsi="仿宋" w:eastAsia="仿宋"/>
          <w:sz w:val="32"/>
          <w:szCs w:val="32"/>
        </w:rPr>
        <w:t>名。在职人员总数</w:t>
      </w:r>
      <w:r>
        <w:rPr>
          <w:rFonts w:hint="eastAsia" w:ascii="仿宋" w:hAnsi="仿宋"/>
          <w:sz w:val="32"/>
          <w:szCs w:val="32"/>
          <w:lang w:val="en-US" w:eastAsia="zh-CN"/>
        </w:rPr>
        <w:t>12</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12</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7C877569">
      <w:pPr>
        <w:spacing w:line="600" w:lineRule="exact"/>
        <w:ind w:firstLine="640" w:firstLineChars="200"/>
        <w:rPr>
          <w:rFonts w:hint="eastAsia" w:ascii="仿宋" w:hAnsi="仿宋" w:eastAsia="仿宋"/>
          <w:sz w:val="32"/>
          <w:szCs w:val="32"/>
        </w:rPr>
      </w:pPr>
    </w:p>
    <w:p w14:paraId="5E5122BF">
      <w:pPr>
        <w:pStyle w:val="2"/>
        <w:numPr>
          <w:ilvl w:val="0"/>
          <w:numId w:val="0"/>
        </w:numPr>
        <w:bidi w:val="0"/>
        <w:jc w:val="both"/>
        <w:rPr>
          <w:rFonts w:hint="eastAsia"/>
          <w:lang w:val="en-US" w:eastAsia="zh-CN"/>
        </w:rPr>
      </w:pPr>
    </w:p>
    <w:p w14:paraId="7EDD7973">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w:t>
      </w:r>
      <w:r>
        <w:rPr>
          <w:rFonts w:hint="eastAsia" w:ascii="方正小标宋简体" w:hAnsi="方正小标宋简体" w:eastAsia="方正小标宋简体" w:cs="方正小标宋简体"/>
          <w:b w:val="0"/>
          <w:bCs/>
          <w:sz w:val="48"/>
          <w:szCs w:val="22"/>
          <w:lang w:val="en-US" w:eastAsia="zh-CN"/>
        </w:rPr>
        <w:t>觉莫乡中心小学</w:t>
      </w:r>
      <w:r>
        <w:rPr>
          <w:rFonts w:hint="eastAsia" w:ascii="方正小标宋简体" w:hAnsi="方正小标宋简体" w:eastAsia="方正小标宋简体" w:cs="方正小标宋简体"/>
          <w:b w:val="0"/>
          <w:bCs/>
          <w:sz w:val="52"/>
          <w:szCs w:val="52"/>
          <w:lang w:val="en-US" w:eastAsia="zh-CN"/>
        </w:rPr>
        <w:t>2026年部门预算表</w:t>
      </w:r>
    </w:p>
    <w:p w14:paraId="5BFC0715">
      <w:pPr>
        <w:spacing w:line="600" w:lineRule="exact"/>
        <w:rPr>
          <w:rFonts w:hint="default" w:ascii="仿宋" w:hAnsi="仿宋" w:eastAsia="仿宋" w:cs="Times New Roman"/>
          <w:sz w:val="32"/>
          <w:szCs w:val="32"/>
          <w:lang w:val="en-US" w:eastAsia="zh-CN"/>
        </w:rPr>
      </w:pPr>
    </w:p>
    <w:p w14:paraId="30A5FD16">
      <w:pPr>
        <w:spacing w:line="600" w:lineRule="exact"/>
        <w:rPr>
          <w:rFonts w:hint="default" w:ascii="仿宋" w:hAnsi="仿宋" w:eastAsia="仿宋" w:cs="Times New Roman"/>
          <w:sz w:val="32"/>
          <w:szCs w:val="32"/>
          <w:lang w:val="en-US" w:eastAsia="zh-CN"/>
        </w:rPr>
      </w:pPr>
    </w:p>
    <w:p w14:paraId="24BBA203">
      <w:pPr>
        <w:spacing w:line="600" w:lineRule="exact"/>
        <w:rPr>
          <w:rFonts w:hint="default" w:ascii="仿宋" w:hAnsi="仿宋" w:eastAsia="仿宋" w:cs="Times New Roman"/>
          <w:sz w:val="32"/>
          <w:szCs w:val="32"/>
          <w:lang w:val="en-US" w:eastAsia="zh-CN"/>
        </w:rPr>
      </w:pPr>
    </w:p>
    <w:p w14:paraId="50B783CC">
      <w:pPr>
        <w:spacing w:line="600" w:lineRule="exact"/>
        <w:rPr>
          <w:rFonts w:hint="default" w:ascii="仿宋" w:hAnsi="仿宋" w:eastAsia="仿宋" w:cs="Times New Roman"/>
          <w:sz w:val="32"/>
          <w:szCs w:val="32"/>
          <w:lang w:val="en-US" w:eastAsia="zh-CN"/>
        </w:rPr>
      </w:pPr>
    </w:p>
    <w:p w14:paraId="7DA734D1">
      <w:pPr>
        <w:spacing w:line="600" w:lineRule="exact"/>
        <w:ind w:left="0" w:leftChars="0" w:firstLine="0" w:firstLineChars="0"/>
        <w:rPr>
          <w:rFonts w:hint="eastAsia" w:ascii="仿宋_GB2312" w:hAnsi="仿宋_GB2312" w:eastAsia="仿宋_GB2312" w:cs="仿宋_GB2312"/>
          <w:sz w:val="32"/>
          <w:szCs w:val="32"/>
          <w:lang w:val="en-US" w:eastAsia="zh-CN"/>
        </w:rPr>
      </w:pPr>
    </w:p>
    <w:p w14:paraId="104FBD30">
      <w:pPr>
        <w:spacing w:line="600" w:lineRule="exact"/>
        <w:ind w:left="0" w:leftChars="0" w:firstLine="0" w:firstLineChars="0"/>
        <w:rPr>
          <w:rFonts w:hint="eastAsia" w:ascii="仿宋_GB2312" w:hAnsi="仿宋_GB2312" w:eastAsia="仿宋_GB2312" w:cs="仿宋_GB2312"/>
          <w:sz w:val="32"/>
          <w:szCs w:val="32"/>
          <w:lang w:val="en-US" w:eastAsia="zh-CN"/>
        </w:rPr>
      </w:pPr>
    </w:p>
    <w:p w14:paraId="3EF623C7">
      <w:pPr>
        <w:spacing w:line="600" w:lineRule="exact"/>
        <w:ind w:left="0" w:leftChars="0" w:firstLine="0" w:firstLineChars="0"/>
        <w:rPr>
          <w:rFonts w:hint="eastAsia" w:ascii="仿宋_GB2312" w:hAnsi="仿宋_GB2312" w:eastAsia="仿宋_GB2312" w:cs="仿宋_GB2312"/>
          <w:sz w:val="32"/>
          <w:szCs w:val="32"/>
          <w:lang w:val="en-US" w:eastAsia="zh-CN"/>
        </w:rPr>
      </w:pPr>
    </w:p>
    <w:p w14:paraId="3F157195">
      <w:pPr>
        <w:spacing w:line="600" w:lineRule="exact"/>
        <w:ind w:left="0" w:leftChars="0" w:firstLine="0" w:firstLineChars="0"/>
        <w:rPr>
          <w:rFonts w:hint="eastAsia" w:ascii="仿宋_GB2312" w:hAnsi="仿宋_GB2312" w:eastAsia="仿宋_GB2312" w:cs="仿宋_GB2312"/>
          <w:sz w:val="32"/>
          <w:szCs w:val="32"/>
          <w:lang w:val="en-US" w:eastAsia="zh-CN"/>
        </w:rPr>
      </w:pPr>
    </w:p>
    <w:p w14:paraId="32E4E89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峨边彝族自治县觉莫乡中心小学</w:t>
      </w:r>
      <w:r>
        <w:rPr>
          <w:rFonts w:hint="eastAsia" w:ascii="仿宋_GB2312" w:hAnsi="仿宋_GB2312" w:eastAsia="仿宋_GB2312" w:cs="仿宋_GB2312"/>
          <w:sz w:val="32"/>
          <w:szCs w:val="32"/>
          <w:lang w:val="en-US" w:eastAsia="zh-CN"/>
        </w:rPr>
        <w:t xml:space="preserve">预算公开报表  </w:t>
      </w:r>
    </w:p>
    <w:p w14:paraId="4B9E94C0">
      <w:pPr>
        <w:spacing w:line="600" w:lineRule="exact"/>
        <w:ind w:left="0" w:leftChars="0" w:firstLine="0" w:firstLineChars="0"/>
        <w:rPr>
          <w:rFonts w:hint="eastAsia" w:ascii="仿宋_GB2312" w:hAnsi="仿宋_GB2312" w:eastAsia="仿宋_GB2312" w:cs="仿宋_GB2312"/>
          <w:sz w:val="32"/>
          <w:szCs w:val="32"/>
          <w:lang w:val="en-US" w:eastAsia="zh-CN"/>
        </w:rPr>
      </w:pPr>
    </w:p>
    <w:p w14:paraId="783874E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61415AD">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w:t>
      </w:r>
      <w:r>
        <w:rPr>
          <w:rFonts w:hint="eastAsia" w:ascii="方正小标宋简体" w:hAnsi="方正小标宋简体" w:eastAsia="方正小标宋简体" w:cs="方正小标宋简体"/>
          <w:b w:val="0"/>
          <w:bCs/>
          <w:sz w:val="48"/>
          <w:szCs w:val="22"/>
          <w:lang w:val="en-US" w:eastAsia="zh-CN"/>
        </w:rPr>
        <w:t>觉莫乡中心小学</w:t>
      </w:r>
      <w:r>
        <w:rPr>
          <w:rFonts w:hint="eastAsia" w:ascii="方正小标宋简体" w:hAnsi="方正小标宋简体" w:eastAsia="方正小标宋简体" w:cs="方正小标宋简体"/>
          <w:b w:val="0"/>
          <w:bCs/>
          <w:sz w:val="52"/>
          <w:szCs w:val="52"/>
          <w:lang w:val="en-US" w:eastAsia="zh-CN"/>
        </w:rPr>
        <w:t>2026年部门预算情况说明</w:t>
      </w:r>
    </w:p>
    <w:p w14:paraId="03D9775D">
      <w:pPr>
        <w:numPr>
          <w:ilvl w:val="0"/>
          <w:numId w:val="0"/>
        </w:numPr>
        <w:jc w:val="center"/>
        <w:rPr>
          <w:rFonts w:hint="default"/>
          <w:b/>
          <w:bCs/>
          <w:sz w:val="52"/>
          <w:szCs w:val="52"/>
          <w:lang w:val="en-US" w:eastAsia="zh-CN"/>
        </w:rPr>
      </w:pPr>
    </w:p>
    <w:p w14:paraId="7B218F24">
      <w:pPr>
        <w:numPr>
          <w:ilvl w:val="0"/>
          <w:numId w:val="0"/>
        </w:numPr>
        <w:spacing w:line="600" w:lineRule="exact"/>
        <w:rPr>
          <w:rFonts w:hint="eastAsia" w:ascii="仿宋" w:hAnsi="仿宋" w:eastAsia="仿宋" w:cs="Times New Roman"/>
          <w:sz w:val="32"/>
          <w:szCs w:val="32"/>
          <w:lang w:val="en-US" w:eastAsia="zh-CN"/>
        </w:rPr>
      </w:pPr>
    </w:p>
    <w:p w14:paraId="6E11A1A9">
      <w:pPr>
        <w:numPr>
          <w:ilvl w:val="0"/>
          <w:numId w:val="0"/>
        </w:numPr>
        <w:spacing w:line="600" w:lineRule="exact"/>
        <w:rPr>
          <w:rFonts w:hint="eastAsia" w:ascii="仿宋" w:hAnsi="仿宋" w:eastAsia="仿宋" w:cs="Times New Roman"/>
          <w:sz w:val="32"/>
          <w:szCs w:val="32"/>
          <w:lang w:val="en-US" w:eastAsia="zh-CN"/>
        </w:rPr>
      </w:pPr>
    </w:p>
    <w:p w14:paraId="18FB0149">
      <w:pPr>
        <w:numPr>
          <w:ilvl w:val="0"/>
          <w:numId w:val="0"/>
        </w:numPr>
        <w:spacing w:line="600" w:lineRule="exact"/>
        <w:rPr>
          <w:rFonts w:hint="eastAsia" w:ascii="仿宋" w:hAnsi="仿宋" w:eastAsia="仿宋" w:cs="Times New Roman"/>
          <w:sz w:val="32"/>
          <w:szCs w:val="32"/>
          <w:lang w:val="en-US" w:eastAsia="zh-CN"/>
        </w:rPr>
      </w:pPr>
    </w:p>
    <w:p w14:paraId="73E3A146">
      <w:pPr>
        <w:numPr>
          <w:ilvl w:val="0"/>
          <w:numId w:val="0"/>
        </w:numPr>
        <w:spacing w:line="600" w:lineRule="exact"/>
        <w:rPr>
          <w:rFonts w:hint="eastAsia" w:ascii="仿宋" w:hAnsi="仿宋" w:eastAsia="仿宋" w:cs="Times New Roman"/>
          <w:sz w:val="32"/>
          <w:szCs w:val="32"/>
          <w:lang w:val="en-US" w:eastAsia="zh-CN"/>
        </w:rPr>
      </w:pPr>
    </w:p>
    <w:p w14:paraId="58E7A2B6">
      <w:pPr>
        <w:numPr>
          <w:ilvl w:val="0"/>
          <w:numId w:val="0"/>
        </w:numPr>
        <w:jc w:val="center"/>
        <w:rPr>
          <w:rFonts w:hint="default"/>
          <w:b/>
          <w:bCs/>
          <w:sz w:val="52"/>
          <w:szCs w:val="52"/>
          <w:lang w:val="en-US" w:eastAsia="zh-CN"/>
        </w:rPr>
      </w:pPr>
    </w:p>
    <w:p w14:paraId="6AB203ED">
      <w:pPr>
        <w:numPr>
          <w:ilvl w:val="0"/>
          <w:numId w:val="0"/>
        </w:numPr>
        <w:jc w:val="center"/>
        <w:rPr>
          <w:rFonts w:hint="default"/>
          <w:b/>
          <w:bCs/>
          <w:sz w:val="52"/>
          <w:szCs w:val="52"/>
          <w:lang w:val="en-US" w:eastAsia="zh-CN"/>
        </w:rPr>
      </w:pPr>
    </w:p>
    <w:p w14:paraId="15BAD9E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5192A2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峨边彝族自治县觉莫乡中心小学</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所有收入和支出均纳入部门预算管理。收入包括：一般公共预算拨款收入；支出包括：教育支出、社会保障和就业支出、卫生健康支出、住房保障支出。</w:t>
      </w:r>
      <w:r>
        <w:rPr>
          <w:rFonts w:hint="eastAsia" w:ascii="Times New Roman" w:hAnsi="Times New Roman" w:eastAsia="仿宋_GB2312" w:cs="仿宋_GB2312"/>
          <w:color w:val="auto"/>
          <w:sz w:val="32"/>
          <w:szCs w:val="32"/>
          <w:lang w:val="en-US" w:eastAsia="zh-CN"/>
        </w:rPr>
        <w:t>峨边彝族自治县觉莫乡中心小学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191.27</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color w:val="auto"/>
          <w:kern w:val="0"/>
          <w:sz w:val="32"/>
          <w:szCs w:val="32"/>
          <w:highlight w:val="none"/>
        </w:rPr>
        <w:t>增加</w:t>
      </w:r>
      <w:r>
        <w:rPr>
          <w:rFonts w:hint="eastAsia" w:ascii="Times New Roman" w:hAnsi="Times New Roman" w:eastAsia="仿宋_GB2312" w:cs="仿宋_GB2312"/>
          <w:color w:val="auto"/>
          <w:kern w:val="0"/>
          <w:sz w:val="32"/>
          <w:szCs w:val="32"/>
          <w:highlight w:val="none"/>
          <w:lang w:val="en-US" w:eastAsia="zh-CN"/>
        </w:rPr>
        <w:t>15.27</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住房公积金支出增加</w:t>
      </w:r>
      <w:r>
        <w:rPr>
          <w:rFonts w:hint="eastAsia" w:ascii="Times New Roman" w:hAnsi="Times New Roman" w:eastAsia="仿宋_GB2312" w:cs="仿宋_GB2312"/>
          <w:kern w:val="0"/>
          <w:sz w:val="32"/>
          <w:szCs w:val="32"/>
        </w:rPr>
        <w:t>。</w:t>
      </w:r>
    </w:p>
    <w:p w14:paraId="533727B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64028A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峨边彝族自治县觉莫乡中心小学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191.27</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191.27</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sz w:val="32"/>
          <w:szCs w:val="32"/>
        </w:rPr>
        <w:t>国有资本经营预算拨款收入</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00A581FC">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CF06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峨边彝族自治县觉莫乡中心小学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191.27</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191.27</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379BC95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73E575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峨边彝族自治县觉莫乡中心小学</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191.27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176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增加15.27</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住房</w:t>
      </w:r>
      <w:r>
        <w:rPr>
          <w:rFonts w:hint="eastAsia" w:ascii="Times New Roman" w:hAnsi="Times New Roman" w:eastAsia="仿宋_GB2312" w:cs="仿宋_GB2312"/>
          <w:color w:val="auto"/>
          <w:kern w:val="0"/>
          <w:sz w:val="32"/>
          <w:szCs w:val="32"/>
          <w:lang w:val="en-US" w:eastAsia="zh-CN"/>
        </w:rPr>
        <w:t>公积金支出增加</w:t>
      </w:r>
      <w:r>
        <w:rPr>
          <w:rFonts w:hint="eastAsia" w:ascii="Times New Roman" w:hAnsi="Times New Roman" w:eastAsia="仿宋_GB2312" w:cs="仿宋_GB2312"/>
          <w:kern w:val="0"/>
          <w:sz w:val="32"/>
          <w:szCs w:val="32"/>
          <w:lang w:val="en-US" w:eastAsia="zh-CN"/>
        </w:rPr>
        <w:t>。</w:t>
      </w:r>
    </w:p>
    <w:p w14:paraId="4E8FA9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191.27</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137.24</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29.21</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7.27</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17.55</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5147F03A">
      <w:pPr>
        <w:numPr>
          <w:ilvl w:val="0"/>
          <w:numId w:val="0"/>
        </w:numPr>
        <w:spacing w:line="600" w:lineRule="exact"/>
        <w:ind w:firstLine="640" w:firstLineChars="200"/>
        <w:rPr>
          <w:rStyle w:val="24"/>
          <w:rFonts w:hint="eastAsia" w:ascii="黑体" w:hAnsi="黑体" w:eastAsia="黑体" w:cs="黑体"/>
          <w:b w:val="0"/>
          <w:bCs/>
          <w:color w:val="FF0000"/>
          <w:sz w:val="28"/>
          <w:szCs w:val="22"/>
          <w:lang w:eastAsia="zh-CN"/>
        </w:rPr>
      </w:pPr>
      <w:r>
        <w:rPr>
          <w:rStyle w:val="24"/>
          <w:rFonts w:hint="eastAsia" w:ascii="黑体" w:hAnsi="黑体" w:eastAsia="黑体" w:cs="黑体"/>
          <w:b w:val="0"/>
          <w:bCs/>
        </w:rPr>
        <w:t>三、一般公共预算当年拨款情况说明</w:t>
      </w:r>
    </w:p>
    <w:p w14:paraId="5406FDD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C70E04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sz w:val="32"/>
          <w:szCs w:val="32"/>
          <w:lang w:val="en-US" w:eastAsia="zh-CN"/>
        </w:rPr>
        <w:t>峨边彝族自治县觉莫乡中心小学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191.27</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auto"/>
          <w:kern w:val="0"/>
          <w:sz w:val="32"/>
          <w:szCs w:val="32"/>
        </w:rPr>
        <w:t>增加</w:t>
      </w:r>
      <w:r>
        <w:rPr>
          <w:rFonts w:hint="eastAsia" w:ascii="Times New Roman" w:hAnsi="Times New Roman" w:eastAsia="仿宋_GB2312" w:cs="仿宋_GB2312"/>
          <w:color w:val="auto"/>
          <w:kern w:val="0"/>
          <w:sz w:val="32"/>
          <w:szCs w:val="32"/>
          <w:lang w:val="en-US" w:eastAsia="zh-CN"/>
        </w:rPr>
        <w:t>15.27</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color w:val="auto"/>
          <w:kern w:val="0"/>
          <w:sz w:val="32"/>
          <w:szCs w:val="32"/>
          <w:lang w:val="en-US" w:eastAsia="zh-CN"/>
        </w:rPr>
        <w:t>住房保障支出增加</w:t>
      </w:r>
      <w:r>
        <w:rPr>
          <w:rFonts w:hint="eastAsia" w:ascii="Times New Roman" w:hAnsi="Times New Roman" w:eastAsia="仿宋_GB2312" w:cs="仿宋_GB2312"/>
          <w:color w:val="000000"/>
          <w:kern w:val="0"/>
          <w:sz w:val="32"/>
          <w:szCs w:val="32"/>
        </w:rPr>
        <w:t>。</w:t>
      </w:r>
    </w:p>
    <w:p w14:paraId="0B50FA1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7B51AFB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教育</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137.24</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71.75</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29.21</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15.27</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7.27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3.8</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17.55</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9.18</w:t>
      </w:r>
      <w:r>
        <w:rPr>
          <w:rFonts w:hint="eastAsia" w:ascii="Times New Roman" w:hAnsi="Times New Roman" w:eastAsia="仿宋_GB2312" w:cs="仿宋_GB2312"/>
          <w:color w:val="000000"/>
          <w:kern w:val="0"/>
          <w:sz w:val="32"/>
          <w:szCs w:val="32"/>
        </w:rPr>
        <w:t>%。</w:t>
      </w:r>
    </w:p>
    <w:p w14:paraId="607239F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CC5330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137.24</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341BF7A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.社会保障和就业（类）</w:t>
      </w:r>
      <w:r>
        <w:rPr>
          <w:rStyle w:val="13"/>
          <w:rFonts w:hint="eastAsia" w:ascii="仿宋" w:hAnsi="仿宋" w:eastAsia="仿宋"/>
          <w:b w:val="0"/>
          <w:color w:val="auto"/>
          <w:sz w:val="32"/>
          <w:szCs w:val="32"/>
        </w:rPr>
        <w:t>行政事业单位离退休</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其他社会保障与就业支出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1.61</w:t>
      </w:r>
      <w:r>
        <w:rPr>
          <w:rFonts w:hint="eastAsia" w:ascii="Times New Roman" w:hAnsi="Times New Roman" w:eastAsia="仿宋_GB2312" w:cs="仿宋_GB2312"/>
          <w:color w:val="000000"/>
          <w:kern w:val="0"/>
          <w:sz w:val="32"/>
          <w:szCs w:val="32"/>
        </w:rPr>
        <w:t>万元，主要用于：保障离退休人员经费支出。</w:t>
      </w:r>
    </w:p>
    <w:p w14:paraId="498F484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Style w:val="13"/>
          <w:rFonts w:hint="eastAsia" w:ascii="仿宋" w:hAnsi="仿宋" w:eastAsia="仿宋"/>
          <w:b w:val="0"/>
          <w:color w:val="auto"/>
          <w:sz w:val="32"/>
          <w:szCs w:val="32"/>
        </w:rPr>
        <w:t>行政事业单位离退休</w:t>
      </w:r>
      <w:r>
        <w:rPr>
          <w:rFonts w:hint="eastAsia" w:ascii="Times New Roman" w:hAnsi="Times New Roman" w:eastAsia="仿宋_GB2312" w:cs="仿宋_GB2312"/>
          <w:color w:val="000000"/>
          <w:kern w:val="0"/>
          <w:sz w:val="32"/>
          <w:szCs w:val="32"/>
        </w:rPr>
        <w:t>（款）</w:t>
      </w:r>
      <w:r>
        <w:rPr>
          <w:rStyle w:val="13"/>
          <w:rFonts w:hint="eastAsia" w:ascii="仿宋" w:hAnsi="仿宋" w:eastAsia="仿宋"/>
          <w:b w:val="0"/>
          <w:color w:val="auto"/>
          <w:sz w:val="32"/>
          <w:szCs w:val="32"/>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18.40</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5B4428F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Style w:val="13"/>
          <w:rFonts w:hint="eastAsia" w:ascii="仿宋" w:hAnsi="仿宋" w:eastAsia="仿宋"/>
          <w:b w:val="0"/>
          <w:color w:val="auto"/>
          <w:sz w:val="32"/>
          <w:szCs w:val="32"/>
        </w:rPr>
        <w:t>行政事业单位离退休</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auto"/>
          <w:kern w:val="0"/>
          <w:sz w:val="32"/>
          <w:szCs w:val="32"/>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9.20</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3934A92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卫生健康</w:t>
      </w:r>
      <w:r>
        <w:rPr>
          <w:rFonts w:hint="eastAsia" w:ascii="Times New Roman" w:hAnsi="Times New Roman" w:eastAsia="仿宋_GB2312" w:cs="仿宋_GB2312"/>
          <w:color w:val="000000"/>
          <w:kern w:val="0"/>
          <w:sz w:val="32"/>
          <w:szCs w:val="32"/>
        </w:rPr>
        <w:t>（类）</w:t>
      </w:r>
      <w:r>
        <w:rPr>
          <w:rStyle w:val="13"/>
          <w:rFonts w:hint="eastAsia" w:ascii="仿宋" w:hAnsi="仿宋" w:eastAsia="仿宋"/>
          <w:b w:val="0"/>
          <w:color w:val="auto"/>
          <w:sz w:val="32"/>
          <w:szCs w:val="32"/>
        </w:rPr>
        <w:t>行政事业单位医疗</w:t>
      </w:r>
      <w:r>
        <w:rPr>
          <w:rFonts w:hint="eastAsia" w:ascii="Times New Roman" w:hAnsi="Times New Roman" w:eastAsia="仿宋_GB2312" w:cs="仿宋_GB2312"/>
          <w:color w:val="000000"/>
          <w:kern w:val="0"/>
          <w:sz w:val="32"/>
          <w:szCs w:val="32"/>
        </w:rPr>
        <w:t>（款）</w:t>
      </w:r>
      <w:r>
        <w:rPr>
          <w:rStyle w:val="13"/>
          <w:rFonts w:hint="eastAsia" w:ascii="仿宋" w:hAnsi="仿宋" w:eastAsia="仿宋"/>
          <w:b w:val="0"/>
          <w:color w:val="auto"/>
          <w:sz w:val="32"/>
          <w:szCs w:val="32"/>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7.27</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446B1AA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Style w:val="13"/>
          <w:rFonts w:hint="eastAsia" w:ascii="仿宋" w:hAnsi="仿宋" w:eastAsia="仿宋"/>
          <w:b w:val="0"/>
          <w:color w:val="auto"/>
          <w:sz w:val="32"/>
          <w:szCs w:val="32"/>
        </w:rPr>
        <w:t>其他社会保障和就业支出</w:t>
      </w:r>
      <w:r>
        <w:rPr>
          <w:rFonts w:hint="eastAsia" w:ascii="Times New Roman" w:hAnsi="Times New Roman" w:eastAsia="仿宋_GB2312" w:cs="仿宋_GB2312"/>
          <w:color w:val="000000"/>
          <w:kern w:val="0"/>
          <w:sz w:val="32"/>
          <w:szCs w:val="32"/>
        </w:rPr>
        <w:t>（款）</w:t>
      </w:r>
      <w:r>
        <w:rPr>
          <w:rStyle w:val="13"/>
          <w:rFonts w:hint="eastAsia" w:ascii="仿宋" w:hAnsi="仿宋" w:eastAsia="仿宋"/>
          <w:b w:val="0"/>
          <w:color w:val="auto"/>
          <w:sz w:val="32"/>
          <w:szCs w:val="32"/>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17.55</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C891C40">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59C2510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191.27</w:t>
      </w:r>
      <w:r>
        <w:rPr>
          <w:rFonts w:hint="eastAsia" w:ascii="Times New Roman" w:hAnsi="Times New Roman" w:eastAsia="仿宋_GB2312" w:cs="仿宋_GB2312"/>
          <w:color w:val="000000"/>
          <w:kern w:val="0"/>
          <w:sz w:val="32"/>
          <w:szCs w:val="32"/>
        </w:rPr>
        <w:t>万元，其中：</w:t>
      </w:r>
    </w:p>
    <w:p w14:paraId="14D48077">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184.30</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 其他津贴补贴</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机关事业单位基本养老保险缴费、职业年金缴费、其他工资福利支出、</w:t>
      </w:r>
      <w:r>
        <w:rPr>
          <w:rFonts w:hint="eastAsia" w:ascii="Times New Roman" w:hAnsi="Times New Roman" w:eastAsia="仿宋_GB2312" w:cs="仿宋_GB2312"/>
          <w:color w:val="auto"/>
          <w:kern w:val="0"/>
          <w:sz w:val="32"/>
          <w:szCs w:val="32"/>
          <w:lang w:val="en-US" w:eastAsia="zh-CN"/>
        </w:rPr>
        <w:t>伙食费</w:t>
      </w:r>
      <w:r>
        <w:rPr>
          <w:rFonts w:hint="eastAsia" w:ascii="Times New Roman" w:hAnsi="Times New Roman" w:eastAsia="仿宋_GB2312" w:cs="仿宋_GB2312"/>
          <w:color w:val="auto"/>
          <w:kern w:val="0"/>
          <w:sz w:val="32"/>
          <w:szCs w:val="32"/>
        </w:rPr>
        <w:t>、住房公积金、其他社会保障缴费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工伤保险、失业保险</w:t>
      </w:r>
      <w:r>
        <w:rPr>
          <w:rFonts w:hint="eastAsia" w:ascii="Times New Roman" w:hAnsi="Times New Roman" w:eastAsia="仿宋_GB2312" w:cs="仿宋_GB2312"/>
          <w:color w:val="auto"/>
          <w:kern w:val="0"/>
          <w:sz w:val="32"/>
          <w:szCs w:val="32"/>
        </w:rPr>
        <w:t>。</w:t>
      </w:r>
    </w:p>
    <w:p w14:paraId="2980540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6.97</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办公费、印刷费、手续费、水费、电费、邮电费、</w:t>
      </w:r>
      <w:r>
        <w:rPr>
          <w:rFonts w:hint="eastAsia" w:ascii="Times New Roman" w:hAnsi="Times New Roman" w:eastAsia="仿宋_GB2312" w:cs="仿宋_GB2312"/>
          <w:color w:val="auto"/>
          <w:kern w:val="0"/>
          <w:sz w:val="32"/>
          <w:szCs w:val="32"/>
          <w:lang w:val="en-US" w:eastAsia="zh-CN"/>
        </w:rPr>
        <w:t>培训费、</w:t>
      </w:r>
      <w:r>
        <w:rPr>
          <w:rFonts w:hint="eastAsia" w:ascii="Times New Roman" w:hAnsi="Times New Roman" w:eastAsia="仿宋_GB2312" w:cs="仿宋_GB2312"/>
          <w:color w:val="auto"/>
          <w:kern w:val="0"/>
          <w:sz w:val="32"/>
          <w:szCs w:val="32"/>
        </w:rPr>
        <w:t>差旅费、工会经费、福利费、其他商品和服务支出。</w:t>
      </w:r>
    </w:p>
    <w:p w14:paraId="28ACD0F9">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55AABE5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万元，比2025年预算数</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lang w:eastAsia="zh-CN"/>
        </w:rPr>
        <w:t>。</w:t>
      </w:r>
    </w:p>
    <w:p w14:paraId="7D6A3C46">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37BF9B54">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7B7FF85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万元，比2025年预算数</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lang w:eastAsia="zh-CN"/>
        </w:rPr>
        <w:t>。</w:t>
      </w:r>
    </w:p>
    <w:p w14:paraId="4C01D8D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6C7889B0">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0C71E03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111E2FA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69528B2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06ECEF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本单位无公务用车</w:t>
      </w:r>
      <w:r>
        <w:rPr>
          <w:rFonts w:hint="eastAsia" w:ascii="Times New Roman" w:hAnsi="Times New Roman" w:eastAsia="仿宋_GB2312" w:cs="仿宋_GB2312"/>
          <w:color w:val="000000"/>
          <w:kern w:val="0"/>
          <w:sz w:val="32"/>
          <w:szCs w:val="32"/>
        </w:rPr>
        <w:t>。</w:t>
      </w:r>
    </w:p>
    <w:p w14:paraId="71FE98E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4A9819E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25FC948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35507951">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652F24A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79544D5">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000000"/>
          <w:sz w:val="32"/>
          <w:szCs w:val="32"/>
          <w:shd w:val="clear" w:color="auto" w:fill="FFFFFF"/>
          <w:lang w:val="en-US" w:eastAsia="zh-CN"/>
        </w:rPr>
        <w:t>持平</w:t>
      </w:r>
      <w:r>
        <w:rPr>
          <w:rFonts w:hint="eastAsia" w:ascii="Times New Roman" w:hAnsi="Times New Roman" w:eastAsia="仿宋_GB2312" w:cs="仿宋_GB2312"/>
          <w:color w:val="000000"/>
          <w:sz w:val="32"/>
          <w:szCs w:val="32"/>
          <w:shd w:val="clear" w:color="auto" w:fill="FFFFFF"/>
        </w:rPr>
        <w:t>。</w:t>
      </w:r>
    </w:p>
    <w:p w14:paraId="23A3628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273AD8B">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kern w:val="0"/>
          <w:sz w:val="32"/>
          <w:szCs w:val="32"/>
          <w:lang w:eastAsia="zh-CN"/>
        </w:rPr>
        <w:t>安排政府采购预算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万元，其中，政府采购货物预算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万元；政府采购工程预算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万元；政府采购服务预算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p>
    <w:p w14:paraId="367DBCB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kern w:val="0"/>
          <w:sz w:val="32"/>
          <w:szCs w:val="32"/>
          <w:lang w:eastAsia="zh-CN"/>
        </w:rPr>
        <w:t>2026年无政府采购项目，未安排政府采购预算。</w:t>
      </w:r>
    </w:p>
    <w:p w14:paraId="5D3BFE6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B11D257">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4E7D1E7E">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lang w:eastAsia="zh-CN"/>
        </w:rPr>
        <w:t>2026年部门预算安排车辆购置经费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万元。其中，财政拨款预算安排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万元，非财政拨款安排</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万元。拟购置县级领导干部用车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辆。安排大型设备购置经费</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万元，购置</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lang w:eastAsia="zh-CN"/>
        </w:rPr>
        <w:t>台（套）。</w:t>
      </w:r>
    </w:p>
    <w:p w14:paraId="207592D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19CBD00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6BBCE3A">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6.97</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6.97</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583E8EE">
      <w:pPr>
        <w:pStyle w:val="2"/>
        <w:numPr>
          <w:ilvl w:val="0"/>
          <w:numId w:val="0"/>
        </w:numPr>
        <w:bidi w:val="0"/>
        <w:jc w:val="both"/>
        <w:rPr>
          <w:rFonts w:hint="eastAsia"/>
          <w:lang w:val="en-US" w:eastAsia="zh-CN"/>
        </w:rPr>
      </w:pPr>
    </w:p>
    <w:p w14:paraId="48378A8A">
      <w:pPr>
        <w:rPr>
          <w:rFonts w:hint="eastAsia"/>
          <w:lang w:val="en-US" w:eastAsia="zh-CN"/>
        </w:rPr>
      </w:pPr>
    </w:p>
    <w:p w14:paraId="132583CB">
      <w:pPr>
        <w:rPr>
          <w:rFonts w:hint="eastAsia"/>
          <w:lang w:val="en-US" w:eastAsia="zh-CN"/>
        </w:rPr>
      </w:pPr>
    </w:p>
    <w:p w14:paraId="5F564CEA">
      <w:pPr>
        <w:pStyle w:val="2"/>
        <w:numPr>
          <w:ilvl w:val="0"/>
          <w:numId w:val="0"/>
        </w:numPr>
        <w:bidi w:val="0"/>
        <w:ind w:firstLine="1040" w:firstLineChars="2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669C2F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0C77195">
      <w:pPr>
        <w:widowControl/>
        <w:numPr>
          <w:ilvl w:val="0"/>
          <w:numId w:val="0"/>
        </w:numPr>
        <w:shd w:val="clear" w:color="auto" w:fill="FFFFFF"/>
        <w:jc w:val="left"/>
        <w:rPr>
          <w:rFonts w:hint="eastAsia" w:ascii="仿宋" w:hAnsi="宋体" w:eastAsia="仿宋" w:cs="宋体"/>
          <w:color w:val="000000"/>
          <w:kern w:val="0"/>
          <w:sz w:val="32"/>
          <w:szCs w:val="32"/>
        </w:rPr>
      </w:pPr>
    </w:p>
    <w:p w14:paraId="497999E6">
      <w:pPr>
        <w:widowControl/>
        <w:numPr>
          <w:ilvl w:val="0"/>
          <w:numId w:val="0"/>
        </w:numPr>
        <w:shd w:val="clear" w:color="auto" w:fill="FFFFFF"/>
        <w:jc w:val="left"/>
        <w:rPr>
          <w:rFonts w:hint="eastAsia" w:ascii="仿宋" w:hAnsi="宋体" w:eastAsia="仿宋" w:cs="宋体"/>
          <w:color w:val="000000"/>
          <w:kern w:val="0"/>
          <w:sz w:val="32"/>
          <w:szCs w:val="32"/>
        </w:rPr>
      </w:pPr>
    </w:p>
    <w:p w14:paraId="5CD989D3">
      <w:pPr>
        <w:widowControl/>
        <w:numPr>
          <w:ilvl w:val="0"/>
          <w:numId w:val="0"/>
        </w:numPr>
        <w:shd w:val="clear" w:color="auto" w:fill="FFFFFF"/>
        <w:jc w:val="left"/>
        <w:rPr>
          <w:rFonts w:hint="eastAsia" w:ascii="仿宋" w:hAnsi="宋体" w:eastAsia="仿宋" w:cs="宋体"/>
          <w:color w:val="000000"/>
          <w:kern w:val="0"/>
          <w:sz w:val="32"/>
          <w:szCs w:val="32"/>
        </w:rPr>
      </w:pPr>
    </w:p>
    <w:p w14:paraId="165BFF13">
      <w:pPr>
        <w:widowControl/>
        <w:numPr>
          <w:ilvl w:val="0"/>
          <w:numId w:val="0"/>
        </w:numPr>
        <w:shd w:val="clear" w:color="auto" w:fill="FFFFFF"/>
        <w:jc w:val="left"/>
        <w:rPr>
          <w:rFonts w:hint="eastAsia" w:ascii="仿宋" w:hAnsi="宋体" w:eastAsia="仿宋" w:cs="宋体"/>
          <w:color w:val="000000"/>
          <w:kern w:val="0"/>
          <w:sz w:val="32"/>
          <w:szCs w:val="32"/>
        </w:rPr>
      </w:pPr>
    </w:p>
    <w:p w14:paraId="6512453F">
      <w:pPr>
        <w:widowControl/>
        <w:numPr>
          <w:ilvl w:val="0"/>
          <w:numId w:val="0"/>
        </w:numPr>
        <w:shd w:val="clear" w:color="auto" w:fill="FFFFFF"/>
        <w:jc w:val="left"/>
        <w:rPr>
          <w:rFonts w:hint="eastAsia" w:ascii="仿宋" w:hAnsi="宋体" w:eastAsia="仿宋" w:cs="宋体"/>
          <w:color w:val="000000"/>
          <w:kern w:val="0"/>
          <w:sz w:val="32"/>
          <w:szCs w:val="32"/>
        </w:rPr>
      </w:pPr>
    </w:p>
    <w:p w14:paraId="515557F6">
      <w:pPr>
        <w:widowControl/>
        <w:numPr>
          <w:ilvl w:val="0"/>
          <w:numId w:val="0"/>
        </w:numPr>
        <w:shd w:val="clear" w:color="auto" w:fill="FFFFFF"/>
        <w:jc w:val="left"/>
        <w:rPr>
          <w:rFonts w:hint="eastAsia" w:ascii="仿宋" w:hAnsi="宋体" w:eastAsia="仿宋" w:cs="宋体"/>
          <w:color w:val="000000"/>
          <w:kern w:val="0"/>
          <w:sz w:val="32"/>
          <w:szCs w:val="32"/>
        </w:rPr>
      </w:pPr>
    </w:p>
    <w:p w14:paraId="6E7F349F">
      <w:pPr>
        <w:widowControl/>
        <w:numPr>
          <w:ilvl w:val="0"/>
          <w:numId w:val="0"/>
        </w:numPr>
        <w:shd w:val="clear" w:color="auto" w:fill="FFFFFF"/>
        <w:jc w:val="left"/>
        <w:rPr>
          <w:rFonts w:hint="eastAsia" w:ascii="仿宋" w:hAnsi="宋体" w:eastAsia="仿宋" w:cs="宋体"/>
          <w:color w:val="000000"/>
          <w:kern w:val="0"/>
          <w:sz w:val="32"/>
          <w:szCs w:val="32"/>
        </w:rPr>
      </w:pPr>
    </w:p>
    <w:p w14:paraId="3B41B171">
      <w:pPr>
        <w:widowControl/>
        <w:numPr>
          <w:ilvl w:val="0"/>
          <w:numId w:val="0"/>
        </w:numPr>
        <w:shd w:val="clear" w:color="auto" w:fill="FFFFFF"/>
        <w:jc w:val="left"/>
        <w:rPr>
          <w:rFonts w:hint="eastAsia" w:ascii="仿宋" w:hAnsi="宋体" w:eastAsia="仿宋" w:cs="宋体"/>
          <w:color w:val="000000"/>
          <w:kern w:val="0"/>
          <w:sz w:val="32"/>
          <w:szCs w:val="32"/>
        </w:rPr>
      </w:pPr>
    </w:p>
    <w:p w14:paraId="79988AE5">
      <w:pPr>
        <w:widowControl/>
        <w:numPr>
          <w:ilvl w:val="0"/>
          <w:numId w:val="0"/>
        </w:numPr>
        <w:shd w:val="clear" w:color="auto" w:fill="FFFFFF"/>
        <w:jc w:val="left"/>
        <w:rPr>
          <w:rFonts w:hint="eastAsia" w:ascii="仿宋" w:hAnsi="宋体" w:eastAsia="仿宋" w:cs="宋体"/>
          <w:color w:val="000000"/>
          <w:kern w:val="0"/>
          <w:sz w:val="32"/>
          <w:szCs w:val="32"/>
        </w:rPr>
      </w:pPr>
    </w:p>
    <w:p w14:paraId="40DBB109">
      <w:pPr>
        <w:widowControl/>
        <w:numPr>
          <w:ilvl w:val="0"/>
          <w:numId w:val="0"/>
        </w:numPr>
        <w:shd w:val="clear" w:color="auto" w:fill="FFFFFF"/>
        <w:jc w:val="left"/>
        <w:rPr>
          <w:rFonts w:hint="eastAsia" w:ascii="仿宋" w:hAnsi="宋体" w:eastAsia="仿宋" w:cs="宋体"/>
          <w:color w:val="000000"/>
          <w:kern w:val="0"/>
          <w:sz w:val="32"/>
          <w:szCs w:val="32"/>
        </w:rPr>
      </w:pPr>
    </w:p>
    <w:p w14:paraId="3DE3F64D">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7FEB760">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4C2D8B1">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BC9743D">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A79FEB1">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706529DA">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4F2FA23">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8728B46">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5802E4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180CD20A">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A5ADCD2">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FFF855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CD4B137">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928F33B">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82D74A3">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821B55C">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7FF7FEE">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6F04775">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1893B26">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5E9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FDE07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BFDE07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F73ED5"/>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AE1E3D"/>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3EB3172"/>
    <w:rsid w:val="24150A7F"/>
    <w:rsid w:val="24213EC8"/>
    <w:rsid w:val="24307A0E"/>
    <w:rsid w:val="245034D6"/>
    <w:rsid w:val="246A6DCB"/>
    <w:rsid w:val="247453B8"/>
    <w:rsid w:val="25212915"/>
    <w:rsid w:val="26461511"/>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9F6A33"/>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CC701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347EBE"/>
    <w:rsid w:val="3D7E788D"/>
    <w:rsid w:val="3DE5239C"/>
    <w:rsid w:val="3DF73841"/>
    <w:rsid w:val="3DFF6B24"/>
    <w:rsid w:val="3E337D9D"/>
    <w:rsid w:val="3E4A3184"/>
    <w:rsid w:val="3EA15BEA"/>
    <w:rsid w:val="3EEC3285"/>
    <w:rsid w:val="3F0A7128"/>
    <w:rsid w:val="3F7517C8"/>
    <w:rsid w:val="3FAE1258"/>
    <w:rsid w:val="401D6094"/>
    <w:rsid w:val="40300C0E"/>
    <w:rsid w:val="40534228"/>
    <w:rsid w:val="4063108E"/>
    <w:rsid w:val="408D251C"/>
    <w:rsid w:val="40C07780"/>
    <w:rsid w:val="410A15F9"/>
    <w:rsid w:val="412A1254"/>
    <w:rsid w:val="41656000"/>
    <w:rsid w:val="4187503D"/>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2260BC"/>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617434"/>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226FEB"/>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CF74D38"/>
    <w:rsid w:val="5D6E287B"/>
    <w:rsid w:val="5DD054B3"/>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083D20"/>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7C3CAB"/>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8C19C2"/>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2B105F1"/>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CD4814"/>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7E02D9C"/>
    <w:rsid w:val="78361828"/>
    <w:rsid w:val="78557445"/>
    <w:rsid w:val="788E1D2B"/>
    <w:rsid w:val="78AC5FDC"/>
    <w:rsid w:val="79223282"/>
    <w:rsid w:val="79FC224E"/>
    <w:rsid w:val="7A01796E"/>
    <w:rsid w:val="7A056E77"/>
    <w:rsid w:val="7A5173A9"/>
    <w:rsid w:val="7A5A076F"/>
    <w:rsid w:val="7B3C7DB9"/>
    <w:rsid w:val="7BC22FF4"/>
    <w:rsid w:val="7BCD462C"/>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eb41b6a1-e406-40b4-b2bd-3e1d9e4141cd</errorID>
      <errorWord>办学理念</errorWord>
      <group>L1_Knowledge</group>
      <groupName>知识性问题</groupName>
      <ability>L2_Term</ability>
      <abilityName>专业术语</abilityName>
      <candidateList>
        <item>大学理念</item>
      </candidateList>
      <explain/>
      <paraID>5E805964</paraID>
      <start>18</start>
      <end>22</end>
      <status>ignored</status>
      <modifiedWord/>
      <trackRevisions>false</trackRevisions>
    </reviewItem>
    <reviewItem>
      <errorID>11b65dc2-c156-4132-88a1-ea32d441c86a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75192A23</paraID>
      <start>46</start>
      <end>54</end>
      <status>ignored</status>
      <modifiedWord/>
      <trackRevisions>false</trackRevisions>
    </reviewItem>
    <reviewItem>
      <errorID>bebd4c6e-e984-4a38-805c-fa949db35861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64028AB7</paraID>
      <start>47</start>
      <end>55</end>
      <status>ignored</status>
      <modifiedWord/>
      <trackRevisions>false</trackRevisions>
    </reviewItem>
    <reviewItem>
      <errorID>66f622f9-1c47-4b8e-9540-06b93241e262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4E8FA90A</paraID>
      <start>7</start>
      <end>15</end>
      <status>ignored</status>
      <modifiedWord/>
      <trackRevisions>false</trackRevisions>
    </reviewItem>
    <reviewItem>
      <errorID>797ed5b1-417a-4e07-b8ac-ec28a733858e</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5406FDD1</paraID>
      <start>3</start>
      <end>13</end>
      <status>ignored</status>
      <modifiedWord/>
      <trackRevisions>false</trackRevisions>
    </reviewItem>
    <reviewItem>
      <errorID>094f2b0e-db75-46dd-a148-1c0b1a3c253c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5A79FEB1</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4f8af-71c5-4dae-8a2e-2edc4df40d03}">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7780</Words>
  <Characters>8119</Characters>
  <Lines>1</Lines>
  <Paragraphs>1</Paragraphs>
  <TotalTime>14</TotalTime>
  <ScaleCrop>false</ScaleCrop>
  <LinksUpToDate>false</LinksUpToDate>
  <CharactersWithSpaces>8143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2026-04-07T08:01:26Z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DE7CC317F4B848F4998782D7DF1D7477_13</vt:lpwstr>
  </property>
</Properties>
</file>