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07B0EB">
      <w:pPr>
        <w:spacing w:line="600" w:lineRule="exact"/>
        <w:outlineLvl w:val="0"/>
        <w:rPr>
          <w:rFonts w:ascii="方正小标宋简体" w:hAnsi="宋体" w:eastAsia="方正小标宋简体"/>
          <w:sz w:val="72"/>
          <w:szCs w:val="72"/>
        </w:rPr>
      </w:pPr>
      <w:bookmarkStart w:id="0" w:name="_Toc15306267"/>
    </w:p>
    <w:p w14:paraId="20EDE42C">
      <w:pPr>
        <w:pStyle w:val="2"/>
        <w:rPr>
          <w:rFonts w:ascii="方正小标宋简体" w:hAnsi="宋体" w:eastAsia="方正小标宋简体"/>
          <w:sz w:val="72"/>
          <w:szCs w:val="72"/>
        </w:rPr>
      </w:pPr>
    </w:p>
    <w:p w14:paraId="0950DB6D">
      <w:pPr>
        <w:pStyle w:val="3"/>
        <w:rPr>
          <w:rFonts w:ascii="方正小标宋简体" w:hAnsi="宋体" w:eastAsia="方正小标宋简体"/>
          <w:sz w:val="72"/>
          <w:szCs w:val="72"/>
        </w:rPr>
      </w:pPr>
    </w:p>
    <w:p w14:paraId="221633A5">
      <w:pPr>
        <w:rPr>
          <w:rFonts w:ascii="方正小标宋简体" w:hAnsi="宋体" w:eastAsia="方正小标宋简体"/>
          <w:sz w:val="72"/>
          <w:szCs w:val="72"/>
        </w:rPr>
      </w:pPr>
    </w:p>
    <w:p w14:paraId="3832CDD0">
      <w:pPr>
        <w:pStyle w:val="2"/>
      </w:pPr>
    </w:p>
    <w:p w14:paraId="2113FC92">
      <w:pPr>
        <w:spacing w:line="600" w:lineRule="exact"/>
        <w:jc w:val="center"/>
        <w:outlineLvl w:val="0"/>
        <w:rPr>
          <w:rFonts w:ascii="方正小标宋简体" w:hAnsi="宋体" w:eastAsia="方正小标宋简体"/>
          <w:sz w:val="72"/>
          <w:szCs w:val="72"/>
        </w:rPr>
      </w:pPr>
    </w:p>
    <w:p w14:paraId="7B4A5ACC">
      <w:pPr>
        <w:pStyle w:val="7"/>
        <w:suppressAutoHyphens/>
        <w:bidi w:val="0"/>
        <w:spacing w:before="0" w:beforeLines="-2147483648" w:after="140" w:line="276" w:lineRule="auto"/>
        <w:jc w:val="center"/>
        <w:rPr>
          <w:rFonts w:hint="eastAsia" w:ascii="方正小标宋简体" w:hAnsi="方正小标宋简体" w:eastAsia="方正小标宋简体" w:cs="方正小标宋简体"/>
          <w:color w:val="auto"/>
          <w:kern w:val="2"/>
          <w:sz w:val="44"/>
          <w:szCs w:val="44"/>
          <w:highlight w:val="none"/>
          <w:lang w:val="en-US" w:eastAsia="zh-CN" w:bidi="ar-SA"/>
        </w:rPr>
      </w:pPr>
      <w:bookmarkStart w:id="1" w:name="_Toc15378441"/>
      <w:bookmarkStart w:id="2" w:name="_Toc15377193"/>
      <w:bookmarkStart w:id="3" w:name="_Toc15396597"/>
      <w:bookmarkStart w:id="4" w:name="_Toc15396475"/>
      <w:bookmarkStart w:id="5" w:name="_Toc15377425"/>
      <w:r>
        <w:rPr>
          <w:rFonts w:hint="eastAsia" w:ascii="方正小标宋简体" w:hAnsi="方正小标宋简体" w:eastAsia="方正小标宋简体" w:cs="方正小标宋简体"/>
          <w:color w:val="auto"/>
          <w:kern w:val="2"/>
          <w:sz w:val="44"/>
          <w:szCs w:val="44"/>
          <w:highlight w:val="none"/>
          <w:lang w:val="en-US" w:eastAsia="zh-CN" w:bidi="ar-SA"/>
        </w:rPr>
        <w:t>2024年度</w:t>
      </w:r>
      <w:bookmarkEnd w:id="1"/>
      <w:bookmarkEnd w:id="2"/>
      <w:bookmarkEnd w:id="3"/>
      <w:bookmarkEnd w:id="4"/>
      <w:bookmarkEnd w:id="5"/>
    </w:p>
    <w:p w14:paraId="2D35AFE6">
      <w:pPr>
        <w:pStyle w:val="7"/>
        <w:suppressAutoHyphens/>
        <w:bidi w:val="0"/>
        <w:spacing w:before="0" w:beforeLines="-2147483648" w:after="140" w:line="276" w:lineRule="auto"/>
        <w:jc w:val="center"/>
        <w:rPr>
          <w:rFonts w:hint="eastAsia" w:ascii="方正小标宋简体" w:hAnsi="方正小标宋简体" w:eastAsia="方正小标宋简体" w:cs="方正小标宋简体"/>
          <w:color w:val="auto"/>
          <w:kern w:val="2"/>
          <w:sz w:val="44"/>
          <w:szCs w:val="44"/>
          <w:highlight w:val="none"/>
          <w:lang w:val="en-US" w:eastAsia="zh-CN" w:bidi="ar-SA"/>
        </w:rPr>
      </w:pPr>
      <w:bookmarkStart w:id="6" w:name="_Toc15396598"/>
      <w:bookmarkStart w:id="7" w:name="_Toc15377194"/>
      <w:bookmarkStart w:id="8" w:name="_Toc15396476"/>
      <w:bookmarkStart w:id="9" w:name="_Toc15377426"/>
      <w:bookmarkStart w:id="10" w:name="_Toc15378442"/>
      <w:r>
        <w:rPr>
          <w:rFonts w:hint="eastAsia" w:ascii="方正小标宋简体" w:hAnsi="方正小标宋简体" w:eastAsia="方正小标宋简体" w:cs="方正小标宋简体"/>
          <w:color w:val="auto"/>
          <w:kern w:val="2"/>
          <w:sz w:val="44"/>
          <w:szCs w:val="44"/>
          <w:highlight w:val="none"/>
          <w:lang w:val="en-US" w:eastAsia="zh-CN" w:bidi="ar-SA"/>
        </w:rPr>
        <w:t>峨边彝族自治县</w:t>
      </w:r>
      <w:bookmarkEnd w:id="0"/>
      <w:bookmarkStart w:id="11" w:name="_Toc15306268"/>
      <w:r>
        <w:rPr>
          <w:rFonts w:hint="eastAsia" w:ascii="方正小标宋简体" w:hAnsi="方正小标宋简体" w:eastAsia="方正小标宋简体" w:cs="方正小标宋简体"/>
          <w:color w:val="auto"/>
          <w:kern w:val="2"/>
          <w:sz w:val="44"/>
          <w:szCs w:val="44"/>
          <w:highlight w:val="none"/>
          <w:lang w:val="en-US" w:eastAsia="zh-CN" w:bidi="ar-SA"/>
        </w:rPr>
        <w:t>觉莫乡中心小学</w:t>
      </w:r>
    </w:p>
    <w:p w14:paraId="317F6EE4">
      <w:pPr>
        <w:pStyle w:val="7"/>
        <w:suppressAutoHyphens/>
        <w:bidi w:val="0"/>
        <w:spacing w:before="0" w:beforeLines="-2147483648" w:after="140" w:line="276" w:lineRule="auto"/>
        <w:jc w:val="center"/>
        <w:rPr>
          <w:rFonts w:hint="eastAsia" w:ascii="方正小标宋简体" w:hAnsi="方正小标宋简体" w:eastAsia="方正小标宋简体" w:cs="方正小标宋简体"/>
          <w:color w:val="auto"/>
          <w:kern w:val="2"/>
          <w:sz w:val="44"/>
          <w:szCs w:val="44"/>
          <w:highlight w:val="none"/>
          <w:lang w:val="en-US" w:eastAsia="zh-CN" w:bidi="ar-SA"/>
        </w:rPr>
      </w:pPr>
      <w:r>
        <w:rPr>
          <w:rFonts w:hint="eastAsia" w:ascii="方正小标宋简体" w:hAnsi="方正小标宋简体" w:eastAsia="方正小标宋简体" w:cs="方正小标宋简体"/>
          <w:color w:val="auto"/>
          <w:kern w:val="2"/>
          <w:sz w:val="44"/>
          <w:szCs w:val="44"/>
          <w:highlight w:val="none"/>
          <w:lang w:val="en-US" w:eastAsia="zh-CN" w:bidi="ar-SA"/>
        </w:rPr>
        <w:t>单位决算</w:t>
      </w:r>
      <w:bookmarkEnd w:id="6"/>
      <w:bookmarkEnd w:id="7"/>
      <w:bookmarkEnd w:id="8"/>
      <w:bookmarkEnd w:id="9"/>
      <w:bookmarkEnd w:id="10"/>
      <w:bookmarkEnd w:id="11"/>
    </w:p>
    <w:p w14:paraId="0D3440E7">
      <w:pPr>
        <w:adjustRightInd w:val="0"/>
        <w:snapToGrid w:val="0"/>
        <w:spacing w:line="360" w:lineRule="auto"/>
        <w:jc w:val="center"/>
        <w:outlineLvl w:val="0"/>
        <w:rPr>
          <w:rFonts w:hint="eastAsia" w:ascii="仿宋_GB2312" w:hAnsi="仿宋_GB2312" w:eastAsia="仿宋_GB2312" w:cs="仿宋_GB2312"/>
          <w:sz w:val="44"/>
          <w:szCs w:val="44"/>
        </w:rPr>
      </w:pPr>
    </w:p>
    <w:p w14:paraId="2995D80E">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59CD0030">
      <w:pPr>
        <w:widowControl/>
        <w:rPr>
          <w:rFonts w:ascii="黑体" w:hAnsi="黑体" w:eastAsia="黑体"/>
          <w:sz w:val="48"/>
          <w:szCs w:val="48"/>
        </w:rPr>
      </w:pPr>
      <w:bookmarkStart w:id="12" w:name="_Toc15396599"/>
      <w:bookmarkStart w:id="13" w:name="_Toc15377196"/>
    </w:p>
    <w:p w14:paraId="3FE6E930">
      <w:pPr>
        <w:widowControl/>
        <w:jc w:val="center"/>
      </w:pPr>
    </w:p>
    <w:p w14:paraId="1B833220">
      <w:pPr>
        <w:pStyle w:val="11"/>
      </w:pPr>
      <w:r>
        <w:rPr>
          <w:rFonts w:hint="eastAsia"/>
        </w:rPr>
        <w:t>公开时间：202</w:t>
      </w:r>
      <w:r>
        <w:rPr>
          <w:rFonts w:hint="eastAsia"/>
          <w:lang w:val="en-US" w:eastAsia="zh-CN"/>
        </w:rPr>
        <w:t>5</w:t>
      </w:r>
      <w:r>
        <w:rPr>
          <w:rFonts w:hint="eastAsia"/>
        </w:rPr>
        <w:t>年1</w:t>
      </w:r>
      <w:r>
        <w:rPr>
          <w:rFonts w:hint="eastAsia"/>
          <w:lang w:val="en-US" w:eastAsia="zh-CN"/>
        </w:rPr>
        <w:t>1</w:t>
      </w:r>
      <w:r>
        <w:rPr>
          <w:rFonts w:hint="eastAsia"/>
        </w:rPr>
        <w:t>月</w:t>
      </w:r>
      <w:r>
        <w:rPr>
          <w:rFonts w:hint="eastAsia"/>
          <w:lang w:val="en-US" w:eastAsia="zh-CN"/>
        </w:rPr>
        <w:t>27</w:t>
      </w:r>
      <w:r>
        <w:rPr>
          <w:rFonts w:hint="eastAsia"/>
        </w:rPr>
        <w:t>日</w:t>
      </w:r>
    </w:p>
    <w:p w14:paraId="7CB4300D">
      <w:pPr>
        <w:widowControl/>
        <w:spacing w:line="440" w:lineRule="exact"/>
        <w:jc w:val="center"/>
        <w:rPr>
          <w:rFonts w:ascii="黑体" w:hAnsi="黑体" w:eastAsia="黑体" w:cstheme="minorBidi"/>
          <w:sz w:val="28"/>
          <w:szCs w:val="28"/>
        </w:rPr>
      </w:pPr>
      <w:r>
        <w:rPr>
          <w:rFonts w:ascii="黑体" w:hAnsi="黑体" w:eastAsia="黑体"/>
          <w:color w:val="000000"/>
          <w:sz w:val="48"/>
          <w:szCs w:val="48"/>
        </w:rPr>
        <w:fldChar w:fldCharType="begin"/>
      </w:r>
      <w:r>
        <w:rPr>
          <w:rFonts w:ascii="黑体" w:hAnsi="黑体" w:eastAsia="黑体"/>
          <w:color w:val="000000"/>
          <w:sz w:val="48"/>
          <w:szCs w:val="48"/>
        </w:rPr>
        <w:instrText xml:space="preserve"> TOC \o "1-2" \h \z \u </w:instrText>
      </w:r>
      <w:r>
        <w:rPr>
          <w:rFonts w:ascii="黑体" w:hAnsi="黑体" w:eastAsia="黑体"/>
          <w:color w:val="000000"/>
          <w:sz w:val="48"/>
          <w:szCs w:val="48"/>
        </w:rPr>
        <w:fldChar w:fldCharType="separate"/>
      </w:r>
    </w:p>
    <w:p w14:paraId="69910AD7">
      <w:pPr>
        <w:pStyle w:val="11"/>
        <w:spacing w:line="440" w:lineRule="exact"/>
        <w:rPr>
          <w:rFonts w:cstheme="minorBidi"/>
        </w:rPr>
      </w:pPr>
      <w:r>
        <w:fldChar w:fldCharType="begin"/>
      </w:r>
      <w:r>
        <w:instrText xml:space="preserve"> HYPERLINK \l "_Toc15396599" </w:instrText>
      </w:r>
      <w:r>
        <w:fldChar w:fldCharType="separate"/>
      </w:r>
      <w:r>
        <w:rPr>
          <w:rStyle w:val="16"/>
          <w:rFonts w:hint="eastAsia"/>
          <w:sz w:val="24"/>
          <w:szCs w:val="24"/>
        </w:rPr>
        <w:t>第一部分单位概况</w:t>
      </w:r>
      <w:r>
        <w:tab/>
      </w:r>
      <w:r>
        <w:rPr>
          <w:rFonts w:hint="eastAsia"/>
          <w:sz w:val="24"/>
          <w:szCs w:val="24"/>
        </w:rPr>
        <w:t>4</w:t>
      </w:r>
      <w:r>
        <w:rPr>
          <w:rFonts w:hint="eastAsia"/>
          <w:sz w:val="24"/>
          <w:szCs w:val="24"/>
        </w:rPr>
        <w:fldChar w:fldCharType="end"/>
      </w:r>
    </w:p>
    <w:p w14:paraId="30888E1E">
      <w:pPr>
        <w:pStyle w:val="12"/>
        <w:spacing w:line="440" w:lineRule="exact"/>
        <w:rPr>
          <w:rFonts w:ascii="仿宋" w:hAnsi="仿宋" w:eastAsia="仿宋" w:cstheme="minorBidi"/>
          <w:sz w:val="28"/>
          <w:szCs w:val="28"/>
        </w:rPr>
      </w:pPr>
      <w:r>
        <w:fldChar w:fldCharType="begin"/>
      </w:r>
      <w:r>
        <w:instrText xml:space="preserve"> HYPERLINK \l "_Toc15396600" </w:instrText>
      </w:r>
      <w:r>
        <w:fldChar w:fldCharType="separate"/>
      </w:r>
      <w:r>
        <w:rPr>
          <w:rStyle w:val="16"/>
          <w:rFonts w:hint="eastAsia" w:asciiTheme="minorEastAsia" w:hAnsiTheme="minorEastAsia" w:eastAsiaTheme="minorEastAsia"/>
          <w:sz w:val="24"/>
        </w:rPr>
        <w:t>一、主要职责</w:t>
      </w:r>
      <w:r>
        <w:rPr>
          <w:rFonts w:ascii="仿宋" w:hAnsi="仿宋" w:eastAsia="仿宋"/>
          <w:sz w:val="28"/>
          <w:szCs w:val="28"/>
        </w:rPr>
        <w:tab/>
      </w:r>
      <w:r>
        <w:rPr>
          <w:rFonts w:hint="eastAsia" w:ascii="仿宋" w:hAnsi="仿宋" w:eastAsia="仿宋"/>
          <w:sz w:val="28"/>
          <w:szCs w:val="28"/>
        </w:rPr>
        <w:t>4</w:t>
      </w:r>
      <w:r>
        <w:rPr>
          <w:rFonts w:hint="eastAsia" w:ascii="仿宋" w:hAnsi="仿宋" w:eastAsia="仿宋"/>
          <w:sz w:val="28"/>
          <w:szCs w:val="28"/>
        </w:rPr>
        <w:fldChar w:fldCharType="end"/>
      </w:r>
    </w:p>
    <w:p w14:paraId="30E11BF2">
      <w:pPr>
        <w:pStyle w:val="12"/>
        <w:spacing w:line="440" w:lineRule="exact"/>
        <w:rPr>
          <w:rFonts w:ascii="仿宋" w:hAnsi="仿宋" w:eastAsia="仿宋" w:cstheme="minorBidi"/>
          <w:sz w:val="28"/>
          <w:szCs w:val="28"/>
        </w:rPr>
      </w:pPr>
      <w:r>
        <w:fldChar w:fldCharType="begin"/>
      </w:r>
      <w:r>
        <w:instrText xml:space="preserve"> HYPERLINK \l "_Toc15396601" </w:instrText>
      </w:r>
      <w:r>
        <w:fldChar w:fldCharType="separate"/>
      </w:r>
      <w:r>
        <w:rPr>
          <w:rStyle w:val="16"/>
          <w:rFonts w:hint="eastAsia" w:asciiTheme="minorEastAsia" w:hAnsiTheme="minorEastAsia" w:eastAsiaTheme="minorEastAsia"/>
          <w:sz w:val="24"/>
        </w:rPr>
        <w:t>二、机构设置</w:t>
      </w:r>
      <w:r>
        <w:rPr>
          <w:rFonts w:ascii="仿宋" w:hAnsi="仿宋" w:eastAsia="仿宋"/>
          <w:sz w:val="28"/>
          <w:szCs w:val="28"/>
        </w:rPr>
        <w:tab/>
      </w:r>
      <w:r>
        <w:rPr>
          <w:rFonts w:hint="eastAsia" w:ascii="仿宋" w:hAnsi="仿宋" w:eastAsia="仿宋"/>
          <w:sz w:val="24"/>
        </w:rPr>
        <w:t>5</w:t>
      </w:r>
      <w:r>
        <w:rPr>
          <w:rFonts w:hint="eastAsia" w:ascii="仿宋" w:hAnsi="仿宋" w:eastAsia="仿宋"/>
          <w:sz w:val="24"/>
        </w:rPr>
        <w:fldChar w:fldCharType="end"/>
      </w:r>
    </w:p>
    <w:p w14:paraId="1BE79E70">
      <w:pPr>
        <w:pStyle w:val="11"/>
      </w:pPr>
      <w:r>
        <w:fldChar w:fldCharType="begin"/>
      </w:r>
      <w:r>
        <w:instrText xml:space="preserve"> HYPERLINK \l "_Toc15396602" </w:instrText>
      </w:r>
      <w:r>
        <w:fldChar w:fldCharType="separate"/>
      </w:r>
      <w:r>
        <w:rPr>
          <w:rStyle w:val="16"/>
          <w:rFonts w:hint="eastAsia"/>
          <w:sz w:val="24"/>
          <w:szCs w:val="24"/>
        </w:rPr>
        <w:t>第二部分</w:t>
      </w:r>
      <w:r>
        <w:rPr>
          <w:rStyle w:val="16"/>
          <w:sz w:val="24"/>
          <w:szCs w:val="24"/>
        </w:rPr>
        <w:t xml:space="preserve"> 20</w:t>
      </w:r>
      <w:r>
        <w:rPr>
          <w:rStyle w:val="16"/>
          <w:rFonts w:hint="eastAsia"/>
          <w:sz w:val="24"/>
          <w:szCs w:val="24"/>
        </w:rPr>
        <w:t>2</w:t>
      </w:r>
      <w:r>
        <w:rPr>
          <w:rStyle w:val="16"/>
          <w:rFonts w:hint="eastAsia"/>
          <w:sz w:val="24"/>
          <w:szCs w:val="24"/>
          <w:lang w:val="en-US" w:eastAsia="zh-CN"/>
        </w:rPr>
        <w:t>4</w:t>
      </w:r>
      <w:r>
        <w:rPr>
          <w:rStyle w:val="16"/>
          <w:rFonts w:hint="eastAsia"/>
          <w:sz w:val="24"/>
          <w:szCs w:val="24"/>
        </w:rPr>
        <w:t>年度单位决算情况说明</w:t>
      </w:r>
      <w:r>
        <w:tab/>
      </w:r>
      <w:r>
        <w:rPr>
          <w:rFonts w:hint="eastAsia"/>
          <w:sz w:val="24"/>
          <w:szCs w:val="24"/>
        </w:rPr>
        <w:t>6</w:t>
      </w:r>
      <w:r>
        <w:rPr>
          <w:rFonts w:hint="eastAsia"/>
          <w:sz w:val="24"/>
          <w:szCs w:val="24"/>
        </w:rPr>
        <w:fldChar w:fldCharType="end"/>
      </w:r>
    </w:p>
    <w:p w14:paraId="701B2177">
      <w:pPr>
        <w:pStyle w:val="12"/>
        <w:spacing w:line="440" w:lineRule="exact"/>
        <w:rPr>
          <w:rFonts w:asciiTheme="minorEastAsia" w:hAnsiTheme="minorEastAsia" w:eastAsiaTheme="minorEastAsia" w:cstheme="minorBidi"/>
          <w:sz w:val="24"/>
        </w:rPr>
      </w:pPr>
      <w:r>
        <w:fldChar w:fldCharType="begin"/>
      </w:r>
      <w:r>
        <w:instrText xml:space="preserve"> HYPERLINK \l "_Toc15396603" </w:instrText>
      </w:r>
      <w:r>
        <w:fldChar w:fldCharType="separate"/>
      </w:r>
      <w:r>
        <w:rPr>
          <w:rStyle w:val="16"/>
          <w:rFonts w:hint="eastAsia" w:asciiTheme="minorEastAsia" w:hAnsiTheme="minorEastAsia" w:eastAsiaTheme="minorEastAsia" w:cstheme="majorBidi"/>
          <w:bCs/>
          <w:sz w:val="24"/>
        </w:rPr>
        <w:t>一、</w:t>
      </w:r>
      <w:r>
        <w:rPr>
          <w:rStyle w:val="16"/>
          <w:rFonts w:hint="eastAsia" w:asciiTheme="minorEastAsia" w:hAnsiTheme="minorEastAsia" w:eastAsiaTheme="minorEastAsia"/>
          <w:sz w:val="24"/>
        </w:rPr>
        <w:t>收</w:t>
      </w:r>
      <w:r>
        <w:rPr>
          <w:rStyle w:val="16"/>
          <w:rFonts w:hint="eastAsia" w:asciiTheme="minorEastAsia" w:hAnsiTheme="minorEastAsia" w:eastAsiaTheme="minorEastAsia" w:cstheme="majorBidi"/>
          <w:bCs/>
          <w:sz w:val="24"/>
        </w:rPr>
        <w:t>入支出决算总体情况说明</w:t>
      </w:r>
      <w:r>
        <w:rPr>
          <w:rFonts w:asciiTheme="minorEastAsia" w:hAnsiTheme="minorEastAsia" w:eastAsiaTheme="minorEastAsia"/>
          <w:sz w:val="24"/>
        </w:rPr>
        <w:tab/>
      </w:r>
      <w:r>
        <w:rPr>
          <w:rFonts w:hint="eastAsia" w:asciiTheme="minorEastAsia" w:hAnsiTheme="minorEastAsia" w:eastAsiaTheme="minorEastAsia"/>
          <w:sz w:val="24"/>
        </w:rPr>
        <w:t>6</w:t>
      </w:r>
      <w:r>
        <w:rPr>
          <w:rFonts w:hint="eastAsia" w:asciiTheme="minorEastAsia" w:hAnsiTheme="minorEastAsia" w:eastAsiaTheme="minorEastAsia"/>
          <w:sz w:val="24"/>
        </w:rPr>
        <w:fldChar w:fldCharType="end"/>
      </w:r>
    </w:p>
    <w:p w14:paraId="616D931A">
      <w:pPr>
        <w:pStyle w:val="12"/>
        <w:spacing w:line="440" w:lineRule="exact"/>
        <w:rPr>
          <w:rFonts w:asciiTheme="minorEastAsia" w:hAnsiTheme="minorEastAsia" w:eastAsiaTheme="minorEastAsia" w:cstheme="minorBidi"/>
          <w:sz w:val="24"/>
        </w:rPr>
      </w:pPr>
      <w:r>
        <w:fldChar w:fldCharType="begin"/>
      </w:r>
      <w:r>
        <w:instrText xml:space="preserve"> HYPERLINK \l "_Toc15396604" </w:instrText>
      </w:r>
      <w:r>
        <w:fldChar w:fldCharType="separate"/>
      </w:r>
      <w:r>
        <w:rPr>
          <w:rStyle w:val="16"/>
          <w:rFonts w:hint="eastAsia" w:asciiTheme="minorEastAsia" w:hAnsiTheme="minorEastAsia" w:eastAsiaTheme="minorEastAsia" w:cstheme="majorBidi"/>
          <w:bCs/>
          <w:sz w:val="24"/>
        </w:rPr>
        <w:t>二、</w:t>
      </w:r>
      <w:r>
        <w:rPr>
          <w:rStyle w:val="16"/>
          <w:rFonts w:hint="eastAsia" w:asciiTheme="minorEastAsia" w:hAnsiTheme="minorEastAsia" w:eastAsiaTheme="minorEastAsia"/>
          <w:sz w:val="24"/>
        </w:rPr>
        <w:t>收</w:t>
      </w:r>
      <w:r>
        <w:rPr>
          <w:rStyle w:val="16"/>
          <w:rFonts w:hint="eastAsia" w:asciiTheme="minorEastAsia" w:hAnsiTheme="minorEastAsia" w:eastAsiaTheme="minorEastAsia" w:cstheme="majorBidi"/>
          <w:bCs/>
          <w:sz w:val="24"/>
        </w:rPr>
        <w:t>入决算情况说明</w:t>
      </w:r>
      <w:r>
        <w:rPr>
          <w:rFonts w:asciiTheme="minorEastAsia" w:hAnsiTheme="minorEastAsia" w:eastAsiaTheme="minorEastAsia"/>
          <w:sz w:val="24"/>
        </w:rPr>
        <w:tab/>
      </w:r>
      <w:r>
        <w:rPr>
          <w:rFonts w:hint="eastAsia" w:asciiTheme="minorEastAsia" w:hAnsiTheme="minorEastAsia" w:eastAsiaTheme="minorEastAsia"/>
          <w:sz w:val="24"/>
        </w:rPr>
        <w:t>6</w:t>
      </w:r>
      <w:r>
        <w:rPr>
          <w:rFonts w:hint="eastAsia" w:asciiTheme="minorEastAsia" w:hAnsiTheme="minorEastAsia" w:eastAsiaTheme="minorEastAsia"/>
          <w:sz w:val="24"/>
        </w:rPr>
        <w:fldChar w:fldCharType="end"/>
      </w:r>
    </w:p>
    <w:p w14:paraId="4F9CA696">
      <w:pPr>
        <w:pStyle w:val="12"/>
        <w:spacing w:line="440" w:lineRule="exact"/>
        <w:rPr>
          <w:rFonts w:asciiTheme="minorEastAsia" w:hAnsiTheme="minorEastAsia" w:eastAsiaTheme="minorEastAsia" w:cstheme="minorBidi"/>
          <w:sz w:val="24"/>
        </w:rPr>
      </w:pPr>
      <w:r>
        <w:fldChar w:fldCharType="begin"/>
      </w:r>
      <w:r>
        <w:instrText xml:space="preserve"> HYPERLINK \l "_Toc15396605" </w:instrText>
      </w:r>
      <w:r>
        <w:fldChar w:fldCharType="separate"/>
      </w:r>
      <w:r>
        <w:rPr>
          <w:rStyle w:val="16"/>
          <w:rFonts w:hint="eastAsia" w:asciiTheme="minorEastAsia" w:hAnsiTheme="minorEastAsia" w:eastAsiaTheme="minorEastAsia" w:cstheme="majorBidi"/>
          <w:bCs/>
          <w:sz w:val="24"/>
        </w:rPr>
        <w:t>三、</w:t>
      </w:r>
      <w:r>
        <w:rPr>
          <w:rStyle w:val="16"/>
          <w:rFonts w:hint="eastAsia" w:asciiTheme="minorEastAsia" w:hAnsiTheme="minorEastAsia" w:eastAsiaTheme="minorEastAsia"/>
          <w:sz w:val="24"/>
        </w:rPr>
        <w:t>支</w:t>
      </w:r>
      <w:r>
        <w:rPr>
          <w:rStyle w:val="16"/>
          <w:rFonts w:hint="eastAsia" w:asciiTheme="minorEastAsia" w:hAnsiTheme="minorEastAsia" w:eastAsiaTheme="minorEastAsia" w:cstheme="majorBidi"/>
          <w:bCs/>
          <w:sz w:val="24"/>
        </w:rPr>
        <w:t>出决算情况说明</w:t>
      </w:r>
      <w:r>
        <w:rPr>
          <w:rFonts w:asciiTheme="minorEastAsia" w:hAnsiTheme="minorEastAsia" w:eastAsiaTheme="minorEastAsia"/>
          <w:sz w:val="24"/>
        </w:rPr>
        <w:tab/>
      </w:r>
      <w:r>
        <w:rPr>
          <w:rFonts w:hint="eastAsia" w:asciiTheme="minorEastAsia" w:hAnsiTheme="minorEastAsia" w:eastAsiaTheme="minorEastAsia"/>
          <w:sz w:val="24"/>
        </w:rPr>
        <w:t>7</w:t>
      </w:r>
      <w:r>
        <w:rPr>
          <w:rFonts w:hint="eastAsia" w:asciiTheme="minorEastAsia" w:hAnsiTheme="minorEastAsia" w:eastAsiaTheme="minorEastAsia"/>
          <w:sz w:val="24"/>
        </w:rPr>
        <w:fldChar w:fldCharType="end"/>
      </w:r>
    </w:p>
    <w:p w14:paraId="1902A9FD">
      <w:pPr>
        <w:pStyle w:val="12"/>
        <w:spacing w:line="440" w:lineRule="exact"/>
        <w:rPr>
          <w:rFonts w:asciiTheme="minorEastAsia" w:hAnsiTheme="minorEastAsia" w:eastAsiaTheme="minorEastAsia" w:cstheme="minorBidi"/>
          <w:sz w:val="24"/>
        </w:rPr>
      </w:pPr>
      <w:r>
        <w:fldChar w:fldCharType="begin"/>
      </w:r>
      <w:r>
        <w:instrText xml:space="preserve"> HYPERLINK \l "_Toc15396606" </w:instrText>
      </w:r>
      <w:r>
        <w:fldChar w:fldCharType="separate"/>
      </w:r>
      <w:r>
        <w:rPr>
          <w:rStyle w:val="16"/>
          <w:rFonts w:hint="eastAsia" w:asciiTheme="minorEastAsia" w:hAnsiTheme="minorEastAsia" w:eastAsiaTheme="minorEastAsia"/>
          <w:sz w:val="24"/>
        </w:rPr>
        <w:t>四、财</w:t>
      </w:r>
      <w:r>
        <w:rPr>
          <w:rStyle w:val="16"/>
          <w:rFonts w:hint="eastAsia" w:asciiTheme="minorEastAsia" w:hAnsiTheme="minorEastAsia" w:eastAsiaTheme="minorEastAsia" w:cstheme="majorBidi"/>
          <w:bCs/>
          <w:sz w:val="24"/>
        </w:rPr>
        <w:t>政拨款收入支出决算总体情况说明</w:t>
      </w:r>
      <w:r>
        <w:rPr>
          <w:rFonts w:asciiTheme="minorEastAsia" w:hAnsiTheme="minorEastAsia" w:eastAsiaTheme="minorEastAsia"/>
          <w:sz w:val="24"/>
        </w:rPr>
        <w:tab/>
      </w:r>
      <w:r>
        <w:rPr>
          <w:rFonts w:hint="eastAsia" w:asciiTheme="minorEastAsia" w:hAnsiTheme="minorEastAsia" w:eastAsiaTheme="minorEastAsia"/>
          <w:sz w:val="24"/>
        </w:rPr>
        <w:t>7</w:t>
      </w:r>
      <w:r>
        <w:rPr>
          <w:rFonts w:hint="eastAsia" w:asciiTheme="minorEastAsia" w:hAnsiTheme="minorEastAsia" w:eastAsiaTheme="minorEastAsia"/>
          <w:sz w:val="24"/>
        </w:rPr>
        <w:fldChar w:fldCharType="end"/>
      </w:r>
    </w:p>
    <w:p w14:paraId="6C6B9956">
      <w:pPr>
        <w:pStyle w:val="12"/>
        <w:spacing w:line="440" w:lineRule="exact"/>
        <w:rPr>
          <w:rFonts w:asciiTheme="minorEastAsia" w:hAnsiTheme="minorEastAsia" w:eastAsiaTheme="minorEastAsia" w:cstheme="minorBidi"/>
          <w:sz w:val="24"/>
        </w:rPr>
      </w:pPr>
      <w:r>
        <w:fldChar w:fldCharType="begin"/>
      </w:r>
      <w:r>
        <w:instrText xml:space="preserve"> HYPERLINK \l "_Toc15396607" </w:instrText>
      </w:r>
      <w:r>
        <w:fldChar w:fldCharType="separate"/>
      </w:r>
      <w:r>
        <w:rPr>
          <w:rStyle w:val="16"/>
          <w:rFonts w:hint="eastAsia" w:asciiTheme="minorEastAsia" w:hAnsiTheme="minorEastAsia" w:eastAsiaTheme="minorEastAsia"/>
          <w:sz w:val="24"/>
        </w:rPr>
        <w:t>五、一</w:t>
      </w:r>
      <w:r>
        <w:rPr>
          <w:rStyle w:val="16"/>
          <w:rFonts w:hint="eastAsia" w:asciiTheme="minorEastAsia" w:hAnsiTheme="minorEastAsia" w:eastAsiaTheme="minorEastAsia" w:cstheme="majorBidi"/>
          <w:bCs/>
          <w:sz w:val="24"/>
        </w:rPr>
        <w:t>般公共预算财政拨款支出决算情况说明</w:t>
      </w:r>
      <w:r>
        <w:rPr>
          <w:rFonts w:asciiTheme="minorEastAsia" w:hAnsiTheme="minorEastAsia" w:eastAsiaTheme="minorEastAsia"/>
          <w:sz w:val="24"/>
        </w:rPr>
        <w:tab/>
      </w:r>
      <w:r>
        <w:rPr>
          <w:rFonts w:hint="eastAsia" w:asciiTheme="minorEastAsia" w:hAnsiTheme="minorEastAsia" w:eastAsiaTheme="minorEastAsia"/>
          <w:sz w:val="24"/>
        </w:rPr>
        <w:t>8</w:t>
      </w:r>
      <w:r>
        <w:rPr>
          <w:rFonts w:hint="eastAsia" w:asciiTheme="minorEastAsia" w:hAnsiTheme="minorEastAsia" w:eastAsiaTheme="minorEastAsia"/>
          <w:sz w:val="24"/>
        </w:rPr>
        <w:fldChar w:fldCharType="end"/>
      </w:r>
    </w:p>
    <w:p w14:paraId="2A3495DA">
      <w:pPr>
        <w:pStyle w:val="12"/>
        <w:spacing w:line="440" w:lineRule="exact"/>
        <w:rPr>
          <w:rFonts w:asciiTheme="minorEastAsia" w:hAnsiTheme="minorEastAsia" w:eastAsiaTheme="minorEastAsia" w:cstheme="minorBidi"/>
          <w:sz w:val="24"/>
        </w:rPr>
      </w:pPr>
      <w:r>
        <w:fldChar w:fldCharType="begin"/>
      </w:r>
      <w:r>
        <w:instrText xml:space="preserve"> HYPERLINK \l "_Toc15396608" </w:instrText>
      </w:r>
      <w:r>
        <w:fldChar w:fldCharType="separate"/>
      </w:r>
      <w:r>
        <w:rPr>
          <w:rStyle w:val="16"/>
          <w:rFonts w:hint="eastAsia" w:asciiTheme="minorEastAsia" w:hAnsiTheme="minorEastAsia" w:eastAsiaTheme="minorEastAsia"/>
          <w:sz w:val="24"/>
        </w:rPr>
        <w:t>六、一</w:t>
      </w:r>
      <w:r>
        <w:rPr>
          <w:rStyle w:val="16"/>
          <w:rFonts w:hint="eastAsia" w:asciiTheme="minorEastAsia" w:hAnsiTheme="minorEastAsia" w:eastAsiaTheme="minorEastAsia" w:cstheme="majorBidi"/>
          <w:bCs/>
          <w:sz w:val="24"/>
        </w:rPr>
        <w:t>般公共预算财政拨款基本支出决算情况说明</w:t>
      </w:r>
      <w:r>
        <w:rPr>
          <w:rFonts w:asciiTheme="minorEastAsia" w:hAnsiTheme="minorEastAsia" w:eastAsiaTheme="minorEastAsia"/>
          <w:sz w:val="24"/>
        </w:rPr>
        <w:tab/>
      </w:r>
      <w:r>
        <w:rPr>
          <w:rFonts w:hint="eastAsia" w:asciiTheme="minorEastAsia" w:hAnsiTheme="minorEastAsia" w:eastAsiaTheme="minorEastAsia"/>
          <w:sz w:val="24"/>
        </w:rPr>
        <w:t>10</w:t>
      </w:r>
      <w:r>
        <w:rPr>
          <w:rFonts w:hint="eastAsia" w:asciiTheme="minorEastAsia" w:hAnsiTheme="minorEastAsia" w:eastAsiaTheme="minorEastAsia"/>
          <w:sz w:val="24"/>
        </w:rPr>
        <w:fldChar w:fldCharType="end"/>
      </w:r>
    </w:p>
    <w:p w14:paraId="36992D52">
      <w:pPr>
        <w:pStyle w:val="12"/>
        <w:spacing w:line="440" w:lineRule="exact"/>
        <w:rPr>
          <w:rFonts w:asciiTheme="minorEastAsia" w:hAnsiTheme="minorEastAsia" w:eastAsiaTheme="minorEastAsia" w:cstheme="minorBidi"/>
          <w:sz w:val="24"/>
        </w:rPr>
      </w:pPr>
      <w:r>
        <w:fldChar w:fldCharType="begin"/>
      </w:r>
      <w:r>
        <w:instrText xml:space="preserve"> HYPERLINK \l "_Toc15396609" </w:instrText>
      </w:r>
      <w:r>
        <w:fldChar w:fldCharType="separate"/>
      </w:r>
      <w:r>
        <w:rPr>
          <w:rStyle w:val="16"/>
          <w:rFonts w:hint="eastAsia" w:asciiTheme="minorEastAsia" w:hAnsiTheme="minorEastAsia" w:eastAsiaTheme="minorEastAsia"/>
          <w:sz w:val="24"/>
        </w:rPr>
        <w:t>七、</w:t>
      </w:r>
      <w:r>
        <w:rPr>
          <w:rStyle w:val="16"/>
          <w:rFonts w:asciiTheme="minorEastAsia" w:hAnsiTheme="minorEastAsia" w:eastAsiaTheme="minorEastAsia"/>
          <w:sz w:val="24"/>
        </w:rPr>
        <w:t>“</w:t>
      </w:r>
      <w:r>
        <w:rPr>
          <w:rStyle w:val="16"/>
          <w:rFonts w:hint="eastAsia" w:asciiTheme="minorEastAsia" w:hAnsiTheme="minorEastAsia" w:eastAsiaTheme="minorEastAsia" w:cstheme="majorBidi"/>
          <w:bCs/>
          <w:sz w:val="24"/>
        </w:rPr>
        <w:t>三公”经费财政拨款支出决算情况说明</w:t>
      </w:r>
      <w:r>
        <w:rPr>
          <w:rFonts w:asciiTheme="minorEastAsia" w:hAnsiTheme="minorEastAsia" w:eastAsiaTheme="minorEastAsia"/>
          <w:sz w:val="24"/>
        </w:rPr>
        <w:tab/>
      </w:r>
      <w:r>
        <w:rPr>
          <w:rFonts w:hint="eastAsia" w:asciiTheme="minorEastAsia" w:hAnsiTheme="minorEastAsia" w:eastAsiaTheme="minorEastAsia"/>
          <w:sz w:val="24"/>
        </w:rPr>
        <w:t>1</w:t>
      </w:r>
      <w:r>
        <w:rPr>
          <w:rFonts w:hint="eastAsia" w:asciiTheme="minorEastAsia" w:hAnsiTheme="minorEastAsia" w:eastAsiaTheme="minorEastAsia"/>
          <w:sz w:val="24"/>
        </w:rPr>
        <w:fldChar w:fldCharType="end"/>
      </w:r>
      <w:r>
        <w:rPr>
          <w:rFonts w:hint="eastAsia" w:asciiTheme="minorEastAsia" w:hAnsiTheme="minorEastAsia" w:eastAsiaTheme="minorEastAsia"/>
          <w:sz w:val="24"/>
        </w:rPr>
        <w:t>0</w:t>
      </w:r>
    </w:p>
    <w:p w14:paraId="005C77E2">
      <w:pPr>
        <w:pStyle w:val="12"/>
        <w:spacing w:line="440" w:lineRule="exact"/>
        <w:rPr>
          <w:rFonts w:asciiTheme="minorEastAsia" w:hAnsiTheme="minorEastAsia" w:eastAsiaTheme="minorEastAsia" w:cstheme="minorBidi"/>
          <w:sz w:val="24"/>
        </w:rPr>
      </w:pPr>
      <w:r>
        <w:fldChar w:fldCharType="begin"/>
      </w:r>
      <w:r>
        <w:instrText xml:space="preserve"> HYPERLINK \l "_Toc15396610" </w:instrText>
      </w:r>
      <w:r>
        <w:fldChar w:fldCharType="separate"/>
      </w:r>
      <w:r>
        <w:rPr>
          <w:rStyle w:val="16"/>
          <w:rFonts w:hint="eastAsia" w:asciiTheme="minorEastAsia" w:hAnsiTheme="minorEastAsia" w:eastAsiaTheme="minorEastAsia"/>
          <w:sz w:val="24"/>
        </w:rPr>
        <w:t>八、</w:t>
      </w:r>
      <w:r>
        <w:rPr>
          <w:rStyle w:val="16"/>
          <w:rFonts w:hint="eastAsia" w:asciiTheme="minorEastAsia" w:hAnsiTheme="minorEastAsia" w:eastAsiaTheme="minorEastAsia" w:cstheme="majorBidi"/>
          <w:bCs/>
          <w:sz w:val="24"/>
        </w:rPr>
        <w:t>政府性基金预算支出决算情况说明</w:t>
      </w:r>
      <w:r>
        <w:rPr>
          <w:rFonts w:asciiTheme="minorEastAsia" w:hAnsiTheme="minorEastAsia" w:eastAsiaTheme="minorEastAsia"/>
          <w:sz w:val="24"/>
        </w:rPr>
        <w:tab/>
      </w:r>
      <w:r>
        <w:rPr>
          <w:rFonts w:hint="eastAsia" w:asciiTheme="minorEastAsia" w:hAnsiTheme="minorEastAsia" w:eastAsiaTheme="minorEastAsia"/>
          <w:sz w:val="24"/>
        </w:rPr>
        <w:t>1</w:t>
      </w:r>
      <w:r>
        <w:rPr>
          <w:rFonts w:hint="eastAsia" w:asciiTheme="minorEastAsia" w:hAnsiTheme="minorEastAsia" w:eastAsiaTheme="minorEastAsia"/>
          <w:sz w:val="24"/>
        </w:rPr>
        <w:fldChar w:fldCharType="end"/>
      </w:r>
      <w:r>
        <w:rPr>
          <w:rFonts w:hint="eastAsia" w:asciiTheme="minorEastAsia" w:hAnsiTheme="minorEastAsia" w:eastAsiaTheme="minorEastAsia"/>
          <w:sz w:val="24"/>
        </w:rPr>
        <w:t>1</w:t>
      </w:r>
    </w:p>
    <w:p w14:paraId="5A7D8F13">
      <w:pPr>
        <w:pStyle w:val="12"/>
        <w:spacing w:line="440" w:lineRule="exact"/>
        <w:rPr>
          <w:rFonts w:asciiTheme="minorEastAsia" w:hAnsiTheme="minorEastAsia" w:eastAsiaTheme="minorEastAsia"/>
          <w:sz w:val="24"/>
        </w:rPr>
      </w:pPr>
      <w:r>
        <w:fldChar w:fldCharType="begin"/>
      </w:r>
      <w:r>
        <w:instrText xml:space="preserve"> HYPERLINK \l "_Toc15396611" </w:instrText>
      </w:r>
      <w:r>
        <w:fldChar w:fldCharType="separate"/>
      </w:r>
      <w:r>
        <w:rPr>
          <w:rStyle w:val="16"/>
          <w:rFonts w:hint="eastAsia" w:asciiTheme="minorEastAsia" w:hAnsiTheme="minorEastAsia" w:eastAsiaTheme="minorEastAsia" w:cstheme="majorBidi"/>
          <w:bCs/>
          <w:sz w:val="24"/>
        </w:rPr>
        <w:t>九、</w:t>
      </w:r>
      <w:r>
        <w:rPr>
          <w:rStyle w:val="16"/>
          <w:rFonts w:hint="eastAsia" w:asciiTheme="minorEastAsia" w:hAnsiTheme="minorEastAsia" w:eastAsiaTheme="minorEastAsia"/>
          <w:sz w:val="24"/>
        </w:rPr>
        <w:t xml:space="preserve"> 国</w:t>
      </w:r>
      <w:r>
        <w:rPr>
          <w:rStyle w:val="16"/>
          <w:rFonts w:hint="eastAsia" w:asciiTheme="minorEastAsia" w:hAnsiTheme="minorEastAsia" w:eastAsiaTheme="minorEastAsia" w:cstheme="majorBidi"/>
          <w:bCs/>
          <w:sz w:val="24"/>
        </w:rPr>
        <w:t>有资本经营预算支出决算情况说明</w:t>
      </w:r>
      <w:r>
        <w:rPr>
          <w:rFonts w:asciiTheme="minorEastAsia" w:hAnsiTheme="minorEastAsia" w:eastAsiaTheme="minorEastAsia"/>
          <w:sz w:val="24"/>
        </w:rPr>
        <w:tab/>
      </w:r>
      <w:r>
        <w:rPr>
          <w:rFonts w:hint="eastAsia" w:asciiTheme="minorEastAsia" w:hAnsiTheme="minorEastAsia" w:eastAsiaTheme="minorEastAsia"/>
          <w:sz w:val="24"/>
        </w:rPr>
        <w:t>1</w:t>
      </w:r>
      <w:r>
        <w:rPr>
          <w:rFonts w:hint="eastAsia" w:asciiTheme="minorEastAsia" w:hAnsiTheme="minorEastAsia" w:eastAsiaTheme="minorEastAsia"/>
          <w:sz w:val="24"/>
        </w:rPr>
        <w:fldChar w:fldCharType="end"/>
      </w:r>
      <w:r>
        <w:rPr>
          <w:rFonts w:hint="eastAsia" w:asciiTheme="minorEastAsia" w:hAnsiTheme="minorEastAsia" w:eastAsiaTheme="minorEastAsia"/>
          <w:sz w:val="24"/>
        </w:rPr>
        <w:t>1</w:t>
      </w:r>
    </w:p>
    <w:p w14:paraId="37961D5D">
      <w:pPr>
        <w:pStyle w:val="12"/>
        <w:spacing w:line="440" w:lineRule="exact"/>
        <w:rPr>
          <w:rFonts w:ascii="仿宋" w:hAnsi="仿宋" w:eastAsiaTheme="minorEastAsia" w:cstheme="minorBidi"/>
          <w:sz w:val="28"/>
          <w:szCs w:val="28"/>
        </w:rPr>
      </w:pPr>
      <w:r>
        <w:fldChar w:fldCharType="begin"/>
      </w:r>
      <w:r>
        <w:instrText xml:space="preserve"> HYPERLINK \l "_Toc15396612" </w:instrText>
      </w:r>
      <w:r>
        <w:fldChar w:fldCharType="separate"/>
      </w:r>
      <w:r>
        <w:rPr>
          <w:rStyle w:val="16"/>
          <w:rFonts w:hint="eastAsia" w:asciiTheme="minorEastAsia" w:hAnsiTheme="minorEastAsia" w:eastAsiaTheme="minorEastAsia"/>
          <w:sz w:val="24"/>
        </w:rPr>
        <w:t>十</w:t>
      </w:r>
      <w:r>
        <w:rPr>
          <w:rStyle w:val="16"/>
          <w:rFonts w:hint="eastAsia" w:asciiTheme="minorEastAsia" w:hAnsiTheme="minorEastAsia" w:eastAsiaTheme="minorEastAsia" w:cstheme="majorBidi"/>
          <w:bCs/>
          <w:sz w:val="24"/>
        </w:rPr>
        <w:t>、其他重要事项的情况说明</w:t>
      </w:r>
      <w:r>
        <w:rPr>
          <w:rFonts w:asciiTheme="minorEastAsia" w:hAnsiTheme="minorEastAsia" w:eastAsiaTheme="minorEastAsia"/>
          <w:sz w:val="24"/>
        </w:rPr>
        <w:tab/>
      </w:r>
      <w:r>
        <w:rPr>
          <w:rFonts w:hint="eastAsia" w:asciiTheme="minorEastAsia" w:hAnsiTheme="minorEastAsia" w:eastAsiaTheme="minorEastAsia"/>
          <w:sz w:val="24"/>
        </w:rPr>
        <w:t>1</w:t>
      </w:r>
      <w:r>
        <w:rPr>
          <w:rFonts w:hint="eastAsia" w:asciiTheme="minorEastAsia" w:hAnsiTheme="minorEastAsia" w:eastAsiaTheme="minorEastAsia"/>
          <w:sz w:val="24"/>
        </w:rPr>
        <w:fldChar w:fldCharType="end"/>
      </w:r>
      <w:r>
        <w:rPr>
          <w:rFonts w:hint="eastAsia" w:asciiTheme="minorEastAsia" w:hAnsiTheme="minorEastAsia" w:eastAsiaTheme="minorEastAsia"/>
          <w:sz w:val="24"/>
        </w:rPr>
        <w:t>1</w:t>
      </w:r>
    </w:p>
    <w:p w14:paraId="787706AE">
      <w:pPr>
        <w:pStyle w:val="11"/>
        <w:rPr>
          <w:rFonts w:cstheme="minorBidi"/>
        </w:rPr>
      </w:pPr>
      <w:r>
        <w:fldChar w:fldCharType="begin"/>
      </w:r>
      <w:r>
        <w:instrText xml:space="preserve"> HYPERLINK \l "_Toc15396613" </w:instrText>
      </w:r>
      <w:r>
        <w:fldChar w:fldCharType="separate"/>
      </w:r>
      <w:r>
        <w:rPr>
          <w:rStyle w:val="16"/>
          <w:rFonts w:hint="eastAsia"/>
          <w:bCs/>
          <w:kern w:val="44"/>
          <w:sz w:val="24"/>
          <w:szCs w:val="24"/>
        </w:rPr>
        <w:t>第三部分</w:t>
      </w:r>
      <w:r>
        <w:rPr>
          <w:rStyle w:val="16"/>
          <w:rFonts w:hint="eastAsia"/>
          <w:sz w:val="24"/>
          <w:szCs w:val="24"/>
        </w:rPr>
        <w:t xml:space="preserve"> 名</w:t>
      </w:r>
      <w:r>
        <w:rPr>
          <w:rStyle w:val="16"/>
          <w:rFonts w:hint="eastAsia"/>
          <w:bCs/>
          <w:kern w:val="44"/>
          <w:sz w:val="24"/>
          <w:szCs w:val="24"/>
        </w:rPr>
        <w:t>词解释</w:t>
      </w:r>
      <w:r>
        <w:rPr>
          <w:sz w:val="24"/>
          <w:szCs w:val="24"/>
        </w:rPr>
        <w:tab/>
      </w:r>
      <w:r>
        <w:rPr>
          <w:rFonts w:hint="eastAsia"/>
          <w:sz w:val="24"/>
          <w:szCs w:val="24"/>
        </w:rPr>
        <w:t>1</w:t>
      </w:r>
      <w:r>
        <w:rPr>
          <w:rFonts w:hint="eastAsia"/>
          <w:sz w:val="24"/>
          <w:szCs w:val="24"/>
        </w:rPr>
        <w:fldChar w:fldCharType="end"/>
      </w:r>
      <w:r>
        <w:rPr>
          <w:rFonts w:hint="eastAsia"/>
          <w:sz w:val="24"/>
          <w:szCs w:val="24"/>
        </w:rPr>
        <w:t>3</w:t>
      </w:r>
    </w:p>
    <w:p w14:paraId="06D45DA7">
      <w:pPr>
        <w:pStyle w:val="11"/>
        <w:rPr>
          <w:rFonts w:cstheme="minorBidi"/>
        </w:rPr>
      </w:pPr>
      <w:r>
        <w:fldChar w:fldCharType="begin"/>
      </w:r>
      <w:r>
        <w:instrText xml:space="preserve"> HYPERLINK \l "_Toc15396614" </w:instrText>
      </w:r>
      <w:r>
        <w:fldChar w:fldCharType="separate"/>
      </w:r>
      <w:r>
        <w:rPr>
          <w:rStyle w:val="16"/>
          <w:rFonts w:hint="eastAsia"/>
          <w:sz w:val="24"/>
          <w:szCs w:val="24"/>
        </w:rPr>
        <w:t>第</w:t>
      </w:r>
      <w:r>
        <w:rPr>
          <w:rStyle w:val="16"/>
          <w:rFonts w:hint="eastAsia"/>
          <w:bCs/>
          <w:kern w:val="44"/>
          <w:sz w:val="24"/>
          <w:szCs w:val="24"/>
        </w:rPr>
        <w:t xml:space="preserve">四部分 </w:t>
      </w:r>
      <w:r>
        <w:rPr>
          <w:rStyle w:val="16"/>
          <w:rFonts w:hint="eastAsia"/>
          <w:sz w:val="24"/>
          <w:szCs w:val="24"/>
        </w:rPr>
        <w:t>附件</w:t>
      </w:r>
      <w:r>
        <w:rPr>
          <w:sz w:val="24"/>
          <w:szCs w:val="24"/>
        </w:rPr>
        <w:tab/>
      </w:r>
      <w:r>
        <w:rPr>
          <w:rFonts w:hint="eastAsia"/>
          <w:sz w:val="24"/>
          <w:szCs w:val="24"/>
        </w:rPr>
        <w:t>1</w:t>
      </w:r>
      <w:r>
        <w:rPr>
          <w:rFonts w:hint="eastAsia"/>
          <w:sz w:val="24"/>
          <w:szCs w:val="24"/>
        </w:rPr>
        <w:fldChar w:fldCharType="end"/>
      </w:r>
      <w:r>
        <w:rPr>
          <w:rFonts w:hint="eastAsia"/>
          <w:sz w:val="24"/>
          <w:szCs w:val="24"/>
        </w:rPr>
        <w:t>6</w:t>
      </w:r>
    </w:p>
    <w:p w14:paraId="387C9B41">
      <w:pPr>
        <w:pStyle w:val="11"/>
        <w:rPr>
          <w:rFonts w:hint="eastAsia" w:eastAsia="仿宋" w:cstheme="minorBidi"/>
          <w:lang w:val="en-US" w:eastAsia="zh-CN"/>
        </w:rPr>
      </w:pPr>
      <w:r>
        <w:fldChar w:fldCharType="begin"/>
      </w:r>
      <w:r>
        <w:instrText xml:space="preserve"> HYPERLINK \l "_Toc15396618" </w:instrText>
      </w:r>
      <w:r>
        <w:fldChar w:fldCharType="separate"/>
      </w:r>
      <w:r>
        <w:rPr>
          <w:rStyle w:val="16"/>
          <w:rFonts w:hint="eastAsia"/>
          <w:sz w:val="24"/>
          <w:szCs w:val="24"/>
        </w:rPr>
        <w:t>第</w:t>
      </w:r>
      <w:r>
        <w:rPr>
          <w:rStyle w:val="16"/>
          <w:rFonts w:hint="eastAsia"/>
          <w:bCs/>
          <w:kern w:val="44"/>
          <w:sz w:val="24"/>
          <w:szCs w:val="24"/>
        </w:rPr>
        <w:t>五部分附表</w:t>
      </w:r>
      <w:r>
        <w:tab/>
      </w:r>
      <w:r>
        <w:fldChar w:fldCharType="end"/>
      </w:r>
      <w:r>
        <w:rPr>
          <w:rFonts w:hint="eastAsia"/>
          <w:sz w:val="24"/>
          <w:szCs w:val="24"/>
        </w:rPr>
        <w:t>2</w:t>
      </w:r>
      <w:r>
        <w:rPr>
          <w:rFonts w:hint="eastAsia"/>
          <w:sz w:val="24"/>
          <w:szCs w:val="24"/>
          <w:lang w:val="en-US" w:eastAsia="zh-CN"/>
        </w:rPr>
        <w:t>1</w:t>
      </w:r>
    </w:p>
    <w:p w14:paraId="7AA16139">
      <w:pPr>
        <w:pStyle w:val="12"/>
        <w:spacing w:line="440" w:lineRule="exact"/>
        <w:rPr>
          <w:rFonts w:hint="eastAsia" w:asciiTheme="minorEastAsia" w:hAnsiTheme="minorEastAsia" w:eastAsiaTheme="minorEastAsia" w:cstheme="minorBidi"/>
          <w:sz w:val="24"/>
          <w:lang w:val="en-US" w:eastAsia="zh-CN"/>
        </w:rPr>
      </w:pPr>
      <w:r>
        <w:rPr>
          <w:rFonts w:hint="eastAsia" w:ascii="仿宋" w:hAnsi="仿宋" w:eastAsia="仿宋"/>
          <w:sz w:val="28"/>
          <w:szCs w:val="28"/>
        </w:rPr>
        <w:t>一</w:t>
      </w:r>
      <w:r>
        <w:rPr>
          <w:rFonts w:hint="eastAsia" w:asciiTheme="minorEastAsia" w:hAnsiTheme="minorEastAsia" w:eastAsiaTheme="minorEastAsia"/>
          <w:sz w:val="24"/>
        </w:rPr>
        <w:t>、</w:t>
      </w:r>
      <w:r>
        <w:fldChar w:fldCharType="begin"/>
      </w:r>
      <w:r>
        <w:instrText xml:space="preserve"> HYPERLINK \l "_Toc15396619" </w:instrText>
      </w:r>
      <w:r>
        <w:fldChar w:fldCharType="separate"/>
      </w:r>
      <w:r>
        <w:rPr>
          <w:rStyle w:val="16"/>
          <w:rFonts w:hint="eastAsia" w:asciiTheme="minorEastAsia" w:hAnsiTheme="minorEastAsia" w:eastAsiaTheme="minorEastAsia"/>
          <w:sz w:val="24"/>
        </w:rPr>
        <w:t>收入支出决算总表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1</w:t>
      </w:r>
    </w:p>
    <w:p w14:paraId="084A6401">
      <w:pPr>
        <w:pStyle w:val="12"/>
        <w:spacing w:line="440" w:lineRule="exact"/>
        <w:rPr>
          <w:rFonts w:hint="eastAsia" w:asciiTheme="minorEastAsia" w:hAnsiTheme="minorEastAsia" w:eastAsiaTheme="minorEastAsia" w:cstheme="minorBidi"/>
          <w:sz w:val="24"/>
          <w:lang w:val="en-US" w:eastAsia="zh-CN"/>
        </w:rPr>
      </w:pPr>
      <w:r>
        <w:rPr>
          <w:rFonts w:hint="eastAsia" w:asciiTheme="minorEastAsia" w:hAnsiTheme="minorEastAsia" w:eastAsiaTheme="minorEastAsia"/>
          <w:sz w:val="24"/>
        </w:rPr>
        <w:t>二、</w:t>
      </w:r>
      <w:r>
        <w:fldChar w:fldCharType="begin"/>
      </w:r>
      <w:r>
        <w:instrText xml:space="preserve"> HYPERLINK \l "_Toc15396620" </w:instrText>
      </w:r>
      <w:r>
        <w:fldChar w:fldCharType="separate"/>
      </w:r>
      <w:r>
        <w:rPr>
          <w:rStyle w:val="16"/>
          <w:rFonts w:hint="eastAsia" w:asciiTheme="minorEastAsia" w:hAnsiTheme="minorEastAsia" w:eastAsiaTheme="minorEastAsia"/>
          <w:sz w:val="24"/>
        </w:rPr>
        <w:t>收入总表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1</w:t>
      </w:r>
    </w:p>
    <w:p w14:paraId="5BA50C9C">
      <w:pPr>
        <w:pStyle w:val="12"/>
        <w:spacing w:line="440" w:lineRule="exact"/>
        <w:rPr>
          <w:rFonts w:hint="eastAsia" w:asciiTheme="minorEastAsia" w:hAnsiTheme="minorEastAsia" w:eastAsiaTheme="minorEastAsia" w:cstheme="minorBidi"/>
          <w:sz w:val="24"/>
          <w:lang w:val="en-US" w:eastAsia="zh-CN"/>
        </w:rPr>
      </w:pPr>
      <w:r>
        <w:rPr>
          <w:rFonts w:hint="eastAsia" w:asciiTheme="minorEastAsia" w:hAnsiTheme="minorEastAsia" w:eastAsiaTheme="minorEastAsia"/>
          <w:sz w:val="24"/>
        </w:rPr>
        <w:t>三、</w:t>
      </w:r>
      <w:r>
        <w:fldChar w:fldCharType="begin"/>
      </w:r>
      <w:r>
        <w:instrText xml:space="preserve"> HYPERLINK \l "_Toc15396621" </w:instrText>
      </w:r>
      <w:r>
        <w:fldChar w:fldCharType="separate"/>
      </w:r>
      <w:r>
        <w:rPr>
          <w:rStyle w:val="16"/>
          <w:rFonts w:hint="eastAsia" w:asciiTheme="minorEastAsia" w:hAnsiTheme="minorEastAsia" w:eastAsiaTheme="minorEastAsia"/>
          <w:sz w:val="24"/>
        </w:rPr>
        <w:t>支出总表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1</w:t>
      </w:r>
    </w:p>
    <w:p w14:paraId="471E6B7A">
      <w:pPr>
        <w:pStyle w:val="12"/>
        <w:spacing w:line="440" w:lineRule="exact"/>
        <w:rPr>
          <w:rFonts w:hint="eastAsia" w:asciiTheme="minorEastAsia" w:hAnsiTheme="minorEastAsia" w:eastAsiaTheme="minorEastAsia" w:cstheme="minorBidi"/>
          <w:sz w:val="24"/>
          <w:lang w:val="en-US" w:eastAsia="zh-CN"/>
        </w:rPr>
      </w:pPr>
      <w:r>
        <w:rPr>
          <w:rFonts w:hint="eastAsia" w:asciiTheme="minorEastAsia" w:hAnsiTheme="minorEastAsia" w:eastAsiaTheme="minorEastAsia"/>
          <w:sz w:val="24"/>
        </w:rPr>
        <w:t>四、</w:t>
      </w:r>
      <w:r>
        <w:fldChar w:fldCharType="begin"/>
      </w:r>
      <w:r>
        <w:instrText xml:space="preserve"> HYPERLINK \l "_Toc15396622" </w:instrText>
      </w:r>
      <w:r>
        <w:fldChar w:fldCharType="separate"/>
      </w:r>
      <w:r>
        <w:rPr>
          <w:rStyle w:val="16"/>
          <w:rFonts w:hint="eastAsia" w:asciiTheme="minorEastAsia" w:hAnsiTheme="minorEastAsia" w:eastAsiaTheme="minorEastAsia"/>
          <w:sz w:val="24"/>
        </w:rPr>
        <w:t>财政拨款收入支出决算总表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lang w:val="en-US" w:eastAsia="zh-CN"/>
        </w:rPr>
        <w:t>1</w:t>
      </w:r>
      <w:r>
        <w:rPr>
          <w:rFonts w:hint="eastAsia" w:asciiTheme="minorEastAsia" w:hAnsiTheme="minorEastAsia" w:eastAsiaTheme="minorEastAsia"/>
          <w:sz w:val="24"/>
        </w:rPr>
        <w:fldChar w:fldCharType="end"/>
      </w:r>
    </w:p>
    <w:p w14:paraId="4CC33BEC">
      <w:pPr>
        <w:pStyle w:val="12"/>
        <w:spacing w:line="440" w:lineRule="exact"/>
        <w:rPr>
          <w:rFonts w:hint="eastAsia" w:asciiTheme="minorEastAsia" w:hAnsiTheme="minorEastAsia" w:eastAsiaTheme="minorEastAsia"/>
          <w:sz w:val="24"/>
          <w:lang w:eastAsia="zh-CN"/>
        </w:rPr>
      </w:pPr>
      <w:r>
        <w:rPr>
          <w:rFonts w:hint="eastAsia" w:asciiTheme="minorEastAsia" w:hAnsiTheme="minorEastAsia" w:eastAsiaTheme="minorEastAsia"/>
          <w:sz w:val="24"/>
        </w:rPr>
        <w:t>五、</w:t>
      </w:r>
      <w:r>
        <w:fldChar w:fldCharType="begin"/>
      </w:r>
      <w:r>
        <w:instrText xml:space="preserve"> HYPERLINK \l "_Toc15396623" </w:instrText>
      </w:r>
      <w:r>
        <w:fldChar w:fldCharType="separate"/>
      </w:r>
      <w:r>
        <w:rPr>
          <w:rFonts w:hint="eastAsia" w:asciiTheme="minorEastAsia" w:hAnsiTheme="minorEastAsia" w:eastAsiaTheme="minorEastAsia"/>
          <w:sz w:val="24"/>
        </w:rPr>
        <w:t>财政拨款支出决算明细表（政府经济分类科目）</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1</w:t>
      </w:r>
    </w:p>
    <w:p w14:paraId="222B0889">
      <w:pPr>
        <w:pStyle w:val="12"/>
        <w:spacing w:line="440" w:lineRule="exact"/>
        <w:rPr>
          <w:rFonts w:hint="eastAsia" w:asciiTheme="minorEastAsia" w:hAnsiTheme="minorEastAsia" w:eastAsiaTheme="minorEastAsia" w:cstheme="minorBidi"/>
          <w:sz w:val="24"/>
          <w:lang w:eastAsia="zh-CN"/>
        </w:rPr>
      </w:pPr>
      <w:r>
        <w:rPr>
          <w:rFonts w:hint="eastAsia" w:asciiTheme="minorEastAsia" w:hAnsiTheme="minorEastAsia" w:eastAsiaTheme="minorEastAsia"/>
          <w:sz w:val="24"/>
        </w:rPr>
        <w:t>六、</w:t>
      </w:r>
      <w:r>
        <w:fldChar w:fldCharType="begin"/>
      </w:r>
      <w:r>
        <w:instrText xml:space="preserve"> HYPERLINK \l "_Toc15396624" </w:instrText>
      </w:r>
      <w:r>
        <w:fldChar w:fldCharType="separate"/>
      </w:r>
      <w:r>
        <w:rPr>
          <w:rStyle w:val="16"/>
          <w:rFonts w:hint="eastAsia" w:asciiTheme="minorEastAsia" w:hAnsiTheme="minorEastAsia" w:eastAsiaTheme="minorEastAsia"/>
          <w:sz w:val="24"/>
        </w:rPr>
        <w:t>一般公共预算财政拨款支出决算表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1</w:t>
      </w:r>
    </w:p>
    <w:p w14:paraId="3BA3C017">
      <w:pPr>
        <w:pStyle w:val="12"/>
        <w:spacing w:line="440" w:lineRule="exact"/>
        <w:rPr>
          <w:rFonts w:hint="eastAsia" w:asciiTheme="minorEastAsia" w:hAnsiTheme="minorEastAsia" w:eastAsiaTheme="minorEastAsia" w:cstheme="minorBidi"/>
          <w:sz w:val="24"/>
          <w:lang w:eastAsia="zh-CN"/>
        </w:rPr>
      </w:pPr>
      <w:r>
        <w:rPr>
          <w:rFonts w:hint="eastAsia" w:asciiTheme="minorEastAsia" w:hAnsiTheme="minorEastAsia" w:eastAsiaTheme="minorEastAsia"/>
          <w:sz w:val="24"/>
        </w:rPr>
        <w:t>七、</w:t>
      </w:r>
      <w:r>
        <w:fldChar w:fldCharType="begin"/>
      </w:r>
      <w:r>
        <w:instrText xml:space="preserve"> HYPERLINK \l "_Toc15396625" </w:instrText>
      </w:r>
      <w:r>
        <w:fldChar w:fldCharType="separate"/>
      </w:r>
      <w:r>
        <w:rPr>
          <w:rStyle w:val="16"/>
          <w:rFonts w:hint="eastAsia" w:asciiTheme="minorEastAsia" w:hAnsiTheme="minorEastAsia" w:eastAsiaTheme="minorEastAsia"/>
          <w:sz w:val="24"/>
        </w:rPr>
        <w:t>一般公共预算财政拨款支出决算明细表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1</w:t>
      </w:r>
    </w:p>
    <w:p w14:paraId="7CBB0048">
      <w:pPr>
        <w:pStyle w:val="12"/>
        <w:spacing w:line="440" w:lineRule="exact"/>
        <w:rPr>
          <w:rFonts w:hint="eastAsia" w:asciiTheme="minorEastAsia" w:hAnsiTheme="minorEastAsia" w:eastAsiaTheme="minorEastAsia" w:cstheme="minorBidi"/>
          <w:sz w:val="24"/>
          <w:lang w:eastAsia="zh-CN"/>
        </w:rPr>
      </w:pPr>
      <w:r>
        <w:rPr>
          <w:rFonts w:hint="eastAsia" w:asciiTheme="minorEastAsia" w:hAnsiTheme="minorEastAsia" w:eastAsiaTheme="minorEastAsia"/>
          <w:sz w:val="24"/>
        </w:rPr>
        <w:t>八、</w:t>
      </w:r>
      <w:r>
        <w:fldChar w:fldCharType="begin"/>
      </w:r>
      <w:r>
        <w:instrText xml:space="preserve"> HYPERLINK \l "_Toc15396626" </w:instrText>
      </w:r>
      <w:r>
        <w:fldChar w:fldCharType="separate"/>
      </w:r>
      <w:r>
        <w:rPr>
          <w:rStyle w:val="16"/>
          <w:rFonts w:hint="eastAsia" w:asciiTheme="minorEastAsia" w:hAnsiTheme="minorEastAsia" w:eastAsiaTheme="minorEastAsia"/>
          <w:sz w:val="24"/>
        </w:rPr>
        <w:t>一般公共预算财政拨款基本支出决算表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1</w:t>
      </w:r>
    </w:p>
    <w:p w14:paraId="4FFCAC20">
      <w:pPr>
        <w:pStyle w:val="12"/>
        <w:spacing w:line="440" w:lineRule="exact"/>
        <w:rPr>
          <w:rFonts w:hint="eastAsia" w:asciiTheme="minorEastAsia" w:hAnsiTheme="minorEastAsia" w:eastAsiaTheme="minorEastAsia" w:cstheme="minorBidi"/>
          <w:sz w:val="24"/>
          <w:lang w:eastAsia="zh-CN"/>
        </w:rPr>
      </w:pPr>
      <w:r>
        <w:rPr>
          <w:rFonts w:hint="eastAsia" w:asciiTheme="minorEastAsia" w:hAnsiTheme="minorEastAsia" w:eastAsiaTheme="minorEastAsia"/>
          <w:sz w:val="24"/>
        </w:rPr>
        <w:t>九、</w:t>
      </w:r>
      <w:r>
        <w:fldChar w:fldCharType="begin"/>
      </w:r>
      <w:r>
        <w:instrText xml:space="preserve"> HYPERLINK \l "_Toc15396627" </w:instrText>
      </w:r>
      <w:r>
        <w:fldChar w:fldCharType="separate"/>
      </w:r>
      <w:r>
        <w:rPr>
          <w:rStyle w:val="16"/>
          <w:rFonts w:hint="eastAsia" w:asciiTheme="minorEastAsia" w:hAnsiTheme="minorEastAsia" w:eastAsiaTheme="minorEastAsia"/>
          <w:sz w:val="24"/>
        </w:rPr>
        <w:t>一般公共预算财政拨款项目支出决算表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1</w:t>
      </w:r>
    </w:p>
    <w:p w14:paraId="3FD097B9">
      <w:pPr>
        <w:pStyle w:val="12"/>
        <w:spacing w:line="440" w:lineRule="exact"/>
        <w:rPr>
          <w:rFonts w:hint="eastAsia" w:asciiTheme="minorEastAsia" w:hAnsiTheme="minorEastAsia" w:eastAsiaTheme="minorEastAsia" w:cstheme="minorBidi"/>
          <w:sz w:val="24"/>
          <w:lang w:eastAsia="zh-CN"/>
        </w:rPr>
      </w:pPr>
      <w:r>
        <w:rPr>
          <w:rFonts w:hint="eastAsia" w:asciiTheme="minorEastAsia" w:hAnsiTheme="minorEastAsia" w:eastAsiaTheme="minorEastAsia"/>
          <w:sz w:val="24"/>
        </w:rPr>
        <w:t>十、</w:t>
      </w:r>
      <w:r>
        <w:fldChar w:fldCharType="begin"/>
      </w:r>
      <w:r>
        <w:instrText xml:space="preserve"> HYPERLINK \l "_Toc15396628" </w:instrText>
      </w:r>
      <w:r>
        <w:fldChar w:fldCharType="separate"/>
      </w:r>
      <w:r>
        <w:rPr>
          <w:rStyle w:val="16"/>
          <w:rFonts w:hint="eastAsia" w:asciiTheme="minorEastAsia" w:hAnsiTheme="minorEastAsia" w:eastAsiaTheme="minorEastAsia"/>
          <w:sz w:val="24"/>
        </w:rPr>
        <w:t>一般公共预算财政拨款“三公”经费支出决算表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1</w:t>
      </w:r>
    </w:p>
    <w:p w14:paraId="04AF0D73">
      <w:pPr>
        <w:pStyle w:val="12"/>
        <w:spacing w:line="440" w:lineRule="exact"/>
        <w:rPr>
          <w:rFonts w:hint="eastAsia" w:asciiTheme="minorEastAsia" w:hAnsiTheme="minorEastAsia" w:eastAsiaTheme="minorEastAsia" w:cstheme="minorBidi"/>
          <w:sz w:val="24"/>
          <w:lang w:eastAsia="zh-CN"/>
        </w:rPr>
      </w:pPr>
      <w:r>
        <w:rPr>
          <w:rFonts w:hint="eastAsia" w:asciiTheme="minorEastAsia" w:hAnsiTheme="minorEastAsia" w:eastAsiaTheme="minorEastAsia"/>
          <w:sz w:val="24"/>
        </w:rPr>
        <w:t>十一、</w:t>
      </w:r>
      <w:r>
        <w:fldChar w:fldCharType="begin"/>
      </w:r>
      <w:r>
        <w:instrText xml:space="preserve"> HYPERLINK \l "_Toc15396629" </w:instrText>
      </w:r>
      <w:r>
        <w:fldChar w:fldCharType="separate"/>
      </w:r>
      <w:r>
        <w:rPr>
          <w:rStyle w:val="16"/>
          <w:rFonts w:hint="eastAsia" w:asciiTheme="minorEastAsia" w:hAnsiTheme="minorEastAsia" w:eastAsiaTheme="minorEastAsia"/>
          <w:sz w:val="24"/>
        </w:rPr>
        <w:t>政府性基金预算财政拨款收入支出决算表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1</w:t>
      </w:r>
    </w:p>
    <w:p w14:paraId="60DAFC6A">
      <w:pPr>
        <w:pStyle w:val="12"/>
        <w:spacing w:line="440" w:lineRule="exact"/>
        <w:rPr>
          <w:rFonts w:hint="eastAsia" w:asciiTheme="minorEastAsia" w:hAnsiTheme="minorEastAsia" w:eastAsiaTheme="minorEastAsia" w:cstheme="minorBidi"/>
          <w:sz w:val="24"/>
          <w:lang w:eastAsia="zh-CN"/>
        </w:rPr>
      </w:pPr>
      <w:r>
        <w:rPr>
          <w:rFonts w:hint="eastAsia" w:asciiTheme="minorEastAsia" w:hAnsiTheme="minorEastAsia" w:eastAsiaTheme="minorEastAsia"/>
          <w:sz w:val="24"/>
        </w:rPr>
        <w:t>十二、</w:t>
      </w:r>
      <w:r>
        <w:fldChar w:fldCharType="begin"/>
      </w:r>
      <w:r>
        <w:instrText xml:space="preserve"> HYPERLINK \l "_Toc15396630" </w:instrText>
      </w:r>
      <w:r>
        <w:fldChar w:fldCharType="separate"/>
      </w:r>
      <w:r>
        <w:rPr>
          <w:rStyle w:val="16"/>
          <w:rFonts w:hint="eastAsia" w:asciiTheme="minorEastAsia" w:hAnsiTheme="minorEastAsia" w:eastAsiaTheme="minorEastAsia"/>
          <w:sz w:val="24"/>
        </w:rPr>
        <w:t>政府性基金预算财政拨款“三公”经费支出决算表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1</w:t>
      </w:r>
    </w:p>
    <w:p w14:paraId="2A94B313">
      <w:pPr>
        <w:pStyle w:val="12"/>
        <w:spacing w:line="440" w:lineRule="exact"/>
        <w:rPr>
          <w:rFonts w:hint="eastAsia" w:asciiTheme="minorEastAsia" w:hAnsiTheme="minorEastAsia" w:eastAsiaTheme="minorEastAsia" w:cstheme="minorBidi"/>
          <w:sz w:val="24"/>
          <w:lang w:eastAsia="zh-CN"/>
        </w:rPr>
      </w:pPr>
      <w:r>
        <w:rPr>
          <w:rFonts w:hint="eastAsia" w:asciiTheme="minorEastAsia" w:hAnsiTheme="minorEastAsia" w:eastAsiaTheme="minorEastAsia"/>
          <w:sz w:val="24"/>
        </w:rPr>
        <w:t>十三、</w:t>
      </w:r>
      <w:r>
        <w:fldChar w:fldCharType="begin"/>
      </w:r>
      <w:r>
        <w:instrText xml:space="preserve"> HYPERLINK \l "_Toc15396631" </w:instrText>
      </w:r>
      <w:r>
        <w:fldChar w:fldCharType="separate"/>
      </w:r>
      <w:r>
        <w:rPr>
          <w:rStyle w:val="16"/>
          <w:rFonts w:hint="eastAsia" w:asciiTheme="minorEastAsia" w:hAnsiTheme="minorEastAsia" w:eastAsiaTheme="minorEastAsia"/>
          <w:sz w:val="24"/>
        </w:rPr>
        <w:t>国有资本经营预算支出决算表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1</w:t>
      </w:r>
    </w:p>
    <w:p w14:paraId="1169A37C">
      <w:pPr>
        <w:pStyle w:val="5"/>
        <w:jc w:val="center"/>
        <w:rPr>
          <w:rFonts w:ascii="仿宋" w:hAnsi="仿宋" w:eastAsia="仿宋"/>
          <w:color w:val="000000"/>
          <w:sz w:val="24"/>
        </w:rPr>
      </w:pPr>
      <w:r>
        <w:rPr>
          <w:rFonts w:ascii="仿宋" w:hAnsi="仿宋" w:eastAsia="仿宋"/>
          <w:color w:val="000000"/>
          <w:sz w:val="24"/>
        </w:rPr>
        <w:fldChar w:fldCharType="end"/>
      </w:r>
    </w:p>
    <w:p w14:paraId="778465B8">
      <w:pPr>
        <w:rPr>
          <w:rFonts w:ascii="仿宋" w:hAnsi="仿宋" w:eastAsia="仿宋"/>
          <w:color w:val="000000"/>
          <w:sz w:val="24"/>
        </w:rPr>
      </w:pPr>
    </w:p>
    <w:p w14:paraId="5192E9B9">
      <w:pPr>
        <w:rPr>
          <w:rFonts w:ascii="仿宋" w:hAnsi="仿宋" w:eastAsia="仿宋"/>
          <w:color w:val="000000"/>
          <w:sz w:val="24"/>
        </w:rPr>
      </w:pPr>
    </w:p>
    <w:p w14:paraId="47584C3A">
      <w:pPr>
        <w:rPr>
          <w:rFonts w:ascii="仿宋" w:hAnsi="仿宋" w:eastAsia="仿宋"/>
          <w:color w:val="000000"/>
          <w:sz w:val="24"/>
        </w:rPr>
      </w:pPr>
    </w:p>
    <w:p w14:paraId="2333D6DA">
      <w:pPr>
        <w:rPr>
          <w:rFonts w:ascii="仿宋" w:hAnsi="仿宋" w:eastAsia="仿宋"/>
          <w:color w:val="000000"/>
          <w:sz w:val="24"/>
        </w:rPr>
      </w:pPr>
    </w:p>
    <w:p w14:paraId="1CE64018">
      <w:pPr>
        <w:rPr>
          <w:rFonts w:ascii="仿宋" w:hAnsi="仿宋" w:eastAsia="仿宋"/>
          <w:color w:val="000000"/>
          <w:sz w:val="24"/>
        </w:rPr>
      </w:pPr>
    </w:p>
    <w:p w14:paraId="7AFAB534">
      <w:pPr>
        <w:rPr>
          <w:rFonts w:ascii="仿宋" w:hAnsi="仿宋" w:eastAsia="仿宋"/>
          <w:color w:val="000000"/>
          <w:sz w:val="24"/>
        </w:rPr>
      </w:pPr>
    </w:p>
    <w:p w14:paraId="70B5CA82">
      <w:pPr>
        <w:rPr>
          <w:rFonts w:ascii="仿宋" w:hAnsi="仿宋" w:eastAsia="仿宋"/>
          <w:color w:val="000000"/>
          <w:sz w:val="24"/>
        </w:rPr>
      </w:pPr>
    </w:p>
    <w:p w14:paraId="6D85384C">
      <w:pPr>
        <w:rPr>
          <w:rFonts w:ascii="仿宋" w:hAnsi="仿宋" w:eastAsia="仿宋"/>
          <w:color w:val="000000"/>
          <w:sz w:val="24"/>
        </w:rPr>
      </w:pPr>
    </w:p>
    <w:p w14:paraId="69D74B9E">
      <w:pPr>
        <w:rPr>
          <w:rFonts w:ascii="仿宋" w:hAnsi="仿宋" w:eastAsia="仿宋"/>
          <w:color w:val="000000"/>
          <w:sz w:val="24"/>
        </w:rPr>
      </w:pPr>
    </w:p>
    <w:p w14:paraId="3A1D0D91">
      <w:pPr>
        <w:rPr>
          <w:rFonts w:ascii="仿宋" w:hAnsi="仿宋" w:eastAsia="仿宋"/>
          <w:color w:val="000000"/>
          <w:sz w:val="24"/>
        </w:rPr>
      </w:pPr>
    </w:p>
    <w:p w14:paraId="0313198B">
      <w:pPr>
        <w:rPr>
          <w:rFonts w:ascii="仿宋" w:hAnsi="仿宋" w:eastAsia="仿宋"/>
          <w:color w:val="000000"/>
          <w:sz w:val="24"/>
        </w:rPr>
      </w:pPr>
    </w:p>
    <w:p w14:paraId="4F249B9C">
      <w:pPr>
        <w:rPr>
          <w:rFonts w:ascii="仿宋" w:hAnsi="仿宋" w:eastAsia="仿宋"/>
          <w:color w:val="000000"/>
          <w:sz w:val="24"/>
        </w:rPr>
      </w:pPr>
    </w:p>
    <w:p w14:paraId="1B642E33">
      <w:pPr>
        <w:rPr>
          <w:rFonts w:ascii="仿宋" w:hAnsi="仿宋" w:eastAsia="仿宋"/>
          <w:color w:val="000000"/>
          <w:sz w:val="24"/>
        </w:rPr>
      </w:pPr>
    </w:p>
    <w:p w14:paraId="51A25BD6">
      <w:pPr>
        <w:rPr>
          <w:rFonts w:ascii="仿宋" w:hAnsi="仿宋" w:eastAsia="仿宋"/>
          <w:color w:val="000000"/>
          <w:sz w:val="24"/>
        </w:rPr>
      </w:pPr>
    </w:p>
    <w:p w14:paraId="394CBE50">
      <w:pPr>
        <w:rPr>
          <w:rFonts w:ascii="仿宋" w:hAnsi="仿宋" w:eastAsia="仿宋"/>
          <w:color w:val="000000"/>
          <w:sz w:val="24"/>
        </w:rPr>
      </w:pPr>
    </w:p>
    <w:p w14:paraId="0B4581E5">
      <w:pPr>
        <w:rPr>
          <w:rFonts w:ascii="仿宋" w:hAnsi="仿宋" w:eastAsia="仿宋"/>
          <w:color w:val="000000"/>
          <w:sz w:val="24"/>
        </w:rPr>
      </w:pPr>
    </w:p>
    <w:p w14:paraId="3593B894">
      <w:pPr>
        <w:rPr>
          <w:rFonts w:ascii="仿宋" w:hAnsi="仿宋" w:eastAsia="仿宋"/>
          <w:color w:val="000000"/>
          <w:sz w:val="24"/>
        </w:rPr>
      </w:pPr>
    </w:p>
    <w:p w14:paraId="6B1AF3F1">
      <w:pPr>
        <w:rPr>
          <w:rFonts w:ascii="仿宋" w:hAnsi="仿宋" w:eastAsia="仿宋"/>
          <w:color w:val="000000"/>
          <w:sz w:val="24"/>
        </w:rPr>
      </w:pPr>
    </w:p>
    <w:p w14:paraId="74BD0408">
      <w:pPr>
        <w:rPr>
          <w:rFonts w:ascii="仿宋" w:hAnsi="仿宋" w:eastAsia="仿宋"/>
          <w:color w:val="000000"/>
          <w:sz w:val="24"/>
        </w:rPr>
      </w:pPr>
    </w:p>
    <w:p w14:paraId="4907E967">
      <w:pPr>
        <w:rPr>
          <w:rFonts w:ascii="仿宋" w:hAnsi="仿宋" w:eastAsia="仿宋"/>
          <w:color w:val="000000"/>
          <w:sz w:val="24"/>
        </w:rPr>
      </w:pPr>
    </w:p>
    <w:p w14:paraId="5EE243BA">
      <w:pPr>
        <w:rPr>
          <w:rFonts w:ascii="仿宋" w:hAnsi="仿宋" w:eastAsia="仿宋"/>
          <w:color w:val="000000"/>
          <w:sz w:val="24"/>
        </w:rPr>
      </w:pPr>
    </w:p>
    <w:p w14:paraId="5ACD6086">
      <w:pPr>
        <w:rPr>
          <w:rFonts w:ascii="仿宋" w:hAnsi="仿宋" w:eastAsia="仿宋"/>
          <w:color w:val="000000"/>
          <w:sz w:val="24"/>
        </w:rPr>
      </w:pPr>
    </w:p>
    <w:p w14:paraId="7DC320F5">
      <w:pPr>
        <w:rPr>
          <w:rFonts w:ascii="仿宋" w:hAnsi="仿宋" w:eastAsia="仿宋"/>
          <w:color w:val="000000"/>
          <w:sz w:val="24"/>
        </w:rPr>
      </w:pPr>
    </w:p>
    <w:p w14:paraId="03850E90">
      <w:pPr>
        <w:rPr>
          <w:rFonts w:ascii="仿宋" w:hAnsi="仿宋" w:eastAsia="仿宋"/>
          <w:color w:val="000000"/>
          <w:sz w:val="24"/>
        </w:rPr>
      </w:pPr>
    </w:p>
    <w:p w14:paraId="1AEDC088">
      <w:pPr>
        <w:rPr>
          <w:rFonts w:ascii="仿宋" w:hAnsi="仿宋" w:eastAsia="仿宋"/>
          <w:color w:val="000000"/>
          <w:sz w:val="24"/>
        </w:rPr>
      </w:pPr>
    </w:p>
    <w:p w14:paraId="5BE734B3">
      <w:pPr>
        <w:rPr>
          <w:rFonts w:ascii="仿宋" w:hAnsi="仿宋" w:eastAsia="仿宋"/>
          <w:color w:val="000000"/>
          <w:sz w:val="24"/>
        </w:rPr>
      </w:pPr>
    </w:p>
    <w:p w14:paraId="7B83945E">
      <w:pPr>
        <w:rPr>
          <w:rFonts w:ascii="仿宋" w:hAnsi="仿宋" w:eastAsia="仿宋"/>
          <w:color w:val="000000"/>
          <w:sz w:val="24"/>
        </w:rPr>
      </w:pPr>
    </w:p>
    <w:p w14:paraId="6C049820">
      <w:pPr>
        <w:pStyle w:val="5"/>
        <w:jc w:val="center"/>
        <w:rPr>
          <w:rFonts w:ascii="黑体" w:hAnsi="黑体" w:eastAsia="黑体"/>
          <w:bCs w:val="0"/>
        </w:rPr>
      </w:pPr>
      <w:r>
        <w:rPr>
          <w:rFonts w:hint="eastAsia" w:ascii="黑体" w:hAnsi="黑体" w:eastAsia="黑体"/>
          <w:b w:val="0"/>
        </w:rPr>
        <w:t>第一部分 单位</w:t>
      </w:r>
      <w:r>
        <w:rPr>
          <w:rStyle w:val="17"/>
          <w:rFonts w:hint="eastAsia" w:ascii="黑体" w:hAnsi="黑体" w:eastAsia="黑体"/>
          <w:b w:val="0"/>
          <w:bCs w:val="0"/>
        </w:rPr>
        <w:t>概况</w:t>
      </w:r>
      <w:bookmarkEnd w:id="12"/>
      <w:bookmarkEnd w:id="13"/>
    </w:p>
    <w:p w14:paraId="07E66FD9">
      <w:pPr>
        <w:pStyle w:val="6"/>
        <w:keepNext/>
        <w:keepLines/>
        <w:pageBreakBefore w:val="0"/>
        <w:widowControl w:val="0"/>
        <w:numPr>
          <w:ilvl w:val="0"/>
          <w:numId w:val="1"/>
        </w:numPr>
        <w:kinsoku/>
        <w:wordWrap/>
        <w:overflowPunct/>
        <w:topLinePunct w:val="0"/>
        <w:autoSpaceDE/>
        <w:autoSpaceDN/>
        <w:bidi w:val="0"/>
        <w:adjustRightInd/>
        <w:snapToGrid/>
        <w:spacing w:line="416" w:lineRule="auto"/>
        <w:ind w:firstLine="640" w:firstLineChars="200"/>
        <w:textAlignment w:val="auto"/>
        <w:rPr>
          <w:rStyle w:val="18"/>
          <w:rFonts w:ascii="黑体" w:hAnsi="黑体" w:eastAsia="黑体"/>
          <w:b w:val="0"/>
          <w:bCs w:val="0"/>
        </w:rPr>
      </w:pPr>
      <w:bookmarkStart w:id="14" w:name="_Toc15377197"/>
      <w:bookmarkStart w:id="15" w:name="_Toc15396600"/>
      <w:r>
        <w:rPr>
          <w:rStyle w:val="18"/>
          <w:rFonts w:hint="eastAsia" w:ascii="黑体" w:hAnsi="黑体" w:eastAsia="黑体"/>
          <w:b w:val="0"/>
          <w:bCs w:val="0"/>
        </w:rPr>
        <w:t>主要职责</w:t>
      </w:r>
    </w:p>
    <w:p w14:paraId="2D828661">
      <w:pPr>
        <w:pStyle w:val="6"/>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sz w:val="32"/>
          <w:szCs w:val="32"/>
          <w:lang w:val="en-US" w:eastAsia="zh-CN"/>
        </w:rPr>
        <w:t>1.</w:t>
      </w:r>
      <w:r>
        <w:rPr>
          <w:rFonts w:hint="eastAsia" w:ascii="仿宋" w:hAnsi="仿宋" w:eastAsia="仿宋" w:cs="仿宋"/>
          <w:b w:val="0"/>
          <w:sz w:val="32"/>
          <w:szCs w:val="32"/>
        </w:rPr>
        <w:t>宣传贯彻执行党和国家的教育方针、政策、法律法规等，坚持依法治教、依法治学，贯彻执行县教育局的行政规章制度。</w:t>
      </w:r>
      <w:r>
        <w:rPr>
          <w:rFonts w:hint="eastAsia" w:ascii="仿宋" w:hAnsi="仿宋" w:eastAsia="仿宋" w:cs="仿宋"/>
          <w:b w:val="0"/>
          <w:sz w:val="32"/>
          <w:szCs w:val="32"/>
        </w:rPr>
        <w:br w:type="textWrapping"/>
      </w:r>
      <w:r>
        <w:rPr>
          <w:rFonts w:hint="eastAsia" w:ascii="仿宋" w:hAnsi="仿宋" w:eastAsia="仿宋" w:cs="仿宋"/>
          <w:b w:val="0"/>
          <w:sz w:val="32"/>
          <w:szCs w:val="32"/>
          <w:lang w:val="en-US" w:eastAsia="zh-CN"/>
        </w:rPr>
        <w:t xml:space="preserve">    2.</w:t>
      </w:r>
      <w:r>
        <w:rPr>
          <w:rFonts w:hint="eastAsia" w:ascii="仿宋" w:hAnsi="仿宋" w:eastAsia="仿宋" w:cs="仿宋"/>
          <w:b w:val="0"/>
          <w:sz w:val="32"/>
          <w:szCs w:val="32"/>
        </w:rPr>
        <w:t>配合县、镇人民政府制定符合党的教育方针和国家教育法律法规以及本校实际的教育发展规划和学校布局调整规划，并抓好组织实施和落实工作。</w:t>
      </w:r>
      <w:r>
        <w:rPr>
          <w:rFonts w:hint="eastAsia" w:ascii="仿宋" w:hAnsi="仿宋" w:eastAsia="仿宋" w:cs="仿宋"/>
          <w:b w:val="0"/>
          <w:sz w:val="32"/>
          <w:szCs w:val="32"/>
        </w:rPr>
        <w:br w:type="textWrapping"/>
      </w:r>
      <w:r>
        <w:rPr>
          <w:rFonts w:hint="eastAsia" w:ascii="仿宋" w:hAnsi="仿宋" w:eastAsia="仿宋" w:cs="仿宋"/>
          <w:b w:val="0"/>
          <w:sz w:val="32"/>
          <w:szCs w:val="32"/>
        </w:rPr>
        <w:t xml:space="preserve"> </w:t>
      </w:r>
      <w:r>
        <w:rPr>
          <w:rFonts w:hint="eastAsia" w:ascii="仿宋" w:hAnsi="仿宋" w:eastAsia="仿宋" w:cs="仿宋"/>
          <w:b w:val="0"/>
          <w:sz w:val="32"/>
          <w:szCs w:val="32"/>
          <w:lang w:val="en-US" w:eastAsia="zh-CN"/>
        </w:rPr>
        <w:t xml:space="preserve">   3.</w:t>
      </w:r>
      <w:r>
        <w:rPr>
          <w:rFonts w:hint="eastAsia" w:ascii="仿宋" w:hAnsi="仿宋" w:eastAsia="仿宋" w:cs="仿宋"/>
          <w:b w:val="0"/>
          <w:sz w:val="32"/>
          <w:szCs w:val="32"/>
        </w:rPr>
        <w:t>组织开展本校的教育教学科研和教育教学改革，科研兴教，科研兴校。负责对本校教育教学业务的具体管理，负责教育教学管理及教研教改工作，全力推进素质教育实施。     </w:t>
      </w:r>
      <w:r>
        <w:rPr>
          <w:rFonts w:hint="eastAsia" w:ascii="仿宋" w:hAnsi="仿宋" w:eastAsia="仿宋" w:cs="仿宋"/>
          <w:b w:val="0"/>
          <w:sz w:val="32"/>
          <w:szCs w:val="32"/>
        </w:rPr>
        <w:br w:type="textWrapping"/>
      </w:r>
      <w:r>
        <w:rPr>
          <w:rFonts w:hint="eastAsia" w:ascii="仿宋" w:hAnsi="仿宋" w:eastAsia="仿宋" w:cs="仿宋"/>
          <w:b w:val="0"/>
          <w:sz w:val="32"/>
          <w:szCs w:val="32"/>
          <w:lang w:val="en-US" w:eastAsia="zh-CN"/>
        </w:rPr>
        <w:t xml:space="preserve">   </w:t>
      </w:r>
      <w:r>
        <w:rPr>
          <w:rFonts w:hint="eastAsia" w:ascii="仿宋" w:hAnsi="仿宋" w:eastAsia="仿宋" w:cs="仿宋"/>
          <w:b w:val="0"/>
          <w:sz w:val="32"/>
          <w:szCs w:val="32"/>
        </w:rPr>
        <w:t xml:space="preserve"> </w:t>
      </w:r>
      <w:r>
        <w:rPr>
          <w:rFonts w:hint="eastAsia" w:ascii="仿宋" w:hAnsi="仿宋" w:eastAsia="仿宋" w:cs="仿宋"/>
          <w:b w:val="0"/>
          <w:sz w:val="32"/>
          <w:szCs w:val="32"/>
          <w:lang w:val="en-US" w:eastAsia="zh-CN"/>
        </w:rPr>
        <w:t>4.</w:t>
      </w:r>
      <w:r>
        <w:rPr>
          <w:rFonts w:hint="eastAsia" w:ascii="仿宋" w:hAnsi="仿宋" w:eastAsia="仿宋" w:cs="仿宋"/>
          <w:b w:val="0"/>
          <w:sz w:val="32"/>
          <w:szCs w:val="32"/>
        </w:rPr>
        <w:t>按照干部和教师的职数、编制和管理权限，负责本校教师人事管理、继续教育、考核考评等工作。 </w:t>
      </w:r>
    </w:p>
    <w:p w14:paraId="64114291">
      <w:pPr>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负责本校财务和基建管理，筹措资金，改善办学条件等工作。</w:t>
      </w:r>
    </w:p>
    <w:p w14:paraId="0A748C8E">
      <w:pPr>
        <w:pStyle w:val="19"/>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指导、管理、检查、评价本校的教育教学工作，提高办学质量和办学效益。按照义务教育课程计划，开齐课程，开足课时，认真实施中小学的教育教学管理，全面推进素质教育，全面提高教育教学质量。</w:t>
      </w:r>
    </w:p>
    <w:p w14:paraId="63A00BB0"/>
    <w:p w14:paraId="10907CDC">
      <w:pPr>
        <w:pStyle w:val="6"/>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黑体" w:hAnsi="黑体" w:eastAsia="黑体"/>
          <w:b w:val="0"/>
        </w:rPr>
      </w:pPr>
      <w:r>
        <w:rPr>
          <w:rFonts w:hint="eastAsia" w:ascii="黑体" w:hAnsi="黑体" w:eastAsia="黑体"/>
          <w:b w:val="0"/>
        </w:rPr>
        <w:t>二、机构设置</w:t>
      </w:r>
    </w:p>
    <w:bookmarkEnd w:id="14"/>
    <w:bookmarkEnd w:id="15"/>
    <w:p w14:paraId="4E0B780F">
      <w:pPr>
        <w:spacing w:line="360" w:lineRule="auto"/>
        <w:ind w:left="140" w:right="420"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峨边彝族自治县觉莫乡中心小学属于县教育局下设二级事业单位，下设：校长办、办公室、教导处、安办、工会、少队，3个村幼儿园教学点。</w:t>
      </w:r>
    </w:p>
    <w:p w14:paraId="58E2BCCE">
      <w:pPr>
        <w:widowControl/>
        <w:jc w:val="left"/>
        <w:rPr>
          <w:rFonts w:ascii="仿宋" w:hAnsi="仿宋" w:eastAsia="仿宋"/>
          <w:kern w:val="0"/>
          <w:sz w:val="32"/>
          <w:szCs w:val="32"/>
        </w:rPr>
      </w:pPr>
      <w:r>
        <w:rPr>
          <w:rFonts w:ascii="仿宋" w:hAnsi="仿宋" w:eastAsia="仿宋"/>
          <w:sz w:val="32"/>
          <w:szCs w:val="32"/>
        </w:rPr>
        <w:br w:type="page"/>
      </w:r>
    </w:p>
    <w:p w14:paraId="4C082FC9">
      <w:pPr>
        <w:pStyle w:val="5"/>
        <w:ind w:right="440"/>
        <w:jc w:val="center"/>
        <w:rPr>
          <w:rFonts w:ascii="黑体" w:hAnsi="黑体" w:eastAsia="黑体"/>
          <w:b w:val="0"/>
        </w:rPr>
      </w:pPr>
      <w:bookmarkStart w:id="16" w:name="_Toc15377204"/>
      <w:bookmarkStart w:id="17" w:name="_Toc15396602"/>
      <w:r>
        <w:rPr>
          <w:rFonts w:hint="eastAsia" w:ascii="黑体" w:hAnsi="黑体" w:eastAsia="黑体"/>
          <w:b w:val="0"/>
        </w:rPr>
        <w:t>第二部分 202</w:t>
      </w:r>
      <w:r>
        <w:rPr>
          <w:rFonts w:hint="eastAsia" w:ascii="黑体" w:hAnsi="黑体" w:eastAsia="黑体"/>
          <w:b w:val="0"/>
          <w:lang w:val="en-US" w:eastAsia="zh-CN"/>
        </w:rPr>
        <w:t>4</w:t>
      </w:r>
      <w:r>
        <w:rPr>
          <w:rFonts w:hint="eastAsia" w:ascii="黑体" w:hAnsi="黑体" w:eastAsia="黑体"/>
          <w:b w:val="0"/>
        </w:rPr>
        <w:t>年度</w:t>
      </w:r>
      <w:r>
        <w:rPr>
          <w:rStyle w:val="17"/>
          <w:rFonts w:hint="eastAsia" w:ascii="黑体" w:hAnsi="黑体" w:eastAsia="黑体"/>
          <w:b w:val="0"/>
          <w:bCs/>
        </w:rPr>
        <w:t>单位决算情况说明</w:t>
      </w:r>
      <w:bookmarkEnd w:id="16"/>
      <w:bookmarkEnd w:id="17"/>
    </w:p>
    <w:p w14:paraId="028E16F1">
      <w:pPr>
        <w:pStyle w:val="19"/>
        <w:numPr>
          <w:ilvl w:val="0"/>
          <w:numId w:val="2"/>
        </w:numPr>
        <w:spacing w:line="600" w:lineRule="exact"/>
        <w:ind w:firstLineChars="0"/>
        <w:outlineLvl w:val="1"/>
        <w:rPr>
          <w:rStyle w:val="18"/>
          <w:rFonts w:ascii="黑体" w:hAnsi="黑体" w:eastAsia="黑体"/>
          <w:b w:val="0"/>
        </w:rPr>
      </w:pPr>
      <w:bookmarkStart w:id="18" w:name="_Toc15396603"/>
      <w:bookmarkStart w:id="19" w:name="_Toc15377205"/>
      <w:r>
        <w:rPr>
          <w:rFonts w:hint="eastAsia" w:ascii="黑体" w:hAnsi="黑体" w:eastAsia="黑体"/>
          <w:sz w:val="32"/>
          <w:szCs w:val="32"/>
        </w:rPr>
        <w:t>收</w:t>
      </w:r>
      <w:r>
        <w:rPr>
          <w:rStyle w:val="18"/>
          <w:rFonts w:hint="eastAsia" w:ascii="黑体" w:hAnsi="黑体" w:eastAsia="黑体"/>
          <w:b w:val="0"/>
        </w:rPr>
        <w:t>入支出决算总体情况说明</w:t>
      </w:r>
      <w:bookmarkEnd w:id="18"/>
      <w:bookmarkEnd w:id="19"/>
    </w:p>
    <w:p w14:paraId="622CA844">
      <w:pPr>
        <w:spacing w:line="600" w:lineRule="exact"/>
        <w:ind w:firstLine="640" w:firstLineChars="200"/>
        <w:rPr>
          <w:rFonts w:ascii="仿宋" w:hAnsi="仿宋" w:eastAsia="仿宋"/>
          <w:sz w:val="32"/>
          <w:szCs w:val="32"/>
          <w:highlight w:val="none"/>
        </w:rPr>
      </w:pPr>
      <w:r>
        <w:rPr>
          <w:rFonts w:hint="eastAsia" w:ascii="仿宋" w:hAnsi="仿宋" w:eastAsia="仿宋"/>
          <w:sz w:val="32"/>
          <w:szCs w:val="32"/>
        </w:rPr>
        <w:t>202</w:t>
      </w:r>
      <w:r>
        <w:rPr>
          <w:rFonts w:hint="eastAsia" w:ascii="仿宋" w:hAnsi="仿宋" w:eastAsia="仿宋"/>
          <w:sz w:val="32"/>
          <w:szCs w:val="32"/>
          <w:lang w:val="en-US" w:eastAsia="zh-CN"/>
        </w:rPr>
        <w:t>4</w:t>
      </w:r>
      <w:r>
        <w:rPr>
          <w:rFonts w:hint="eastAsia" w:ascii="仿宋" w:hAnsi="仿宋" w:eastAsia="仿宋"/>
          <w:sz w:val="32"/>
          <w:szCs w:val="32"/>
        </w:rPr>
        <w:t>年度收、支总计</w:t>
      </w:r>
      <w:r>
        <w:rPr>
          <w:rFonts w:hint="eastAsia" w:ascii="仿宋" w:hAnsi="仿宋" w:eastAsia="仿宋"/>
          <w:sz w:val="32"/>
          <w:szCs w:val="32"/>
          <w:lang w:val="en-US" w:eastAsia="zh-CN"/>
        </w:rPr>
        <w:t>419.56</w:t>
      </w:r>
      <w:r>
        <w:rPr>
          <w:rFonts w:hint="eastAsia" w:ascii="仿宋" w:hAnsi="仿宋" w:eastAsia="仿宋"/>
          <w:sz w:val="32"/>
          <w:szCs w:val="32"/>
        </w:rPr>
        <w:t>万元。与202</w:t>
      </w:r>
      <w:r>
        <w:rPr>
          <w:rFonts w:hint="eastAsia" w:ascii="仿宋" w:hAnsi="仿宋" w:eastAsia="仿宋"/>
          <w:sz w:val="32"/>
          <w:szCs w:val="32"/>
          <w:lang w:val="en-US" w:eastAsia="zh-CN"/>
        </w:rPr>
        <w:t>3</w:t>
      </w:r>
      <w:r>
        <w:rPr>
          <w:rFonts w:hint="eastAsia" w:ascii="仿宋" w:hAnsi="仿宋" w:eastAsia="仿宋"/>
          <w:sz w:val="32"/>
          <w:szCs w:val="32"/>
        </w:rPr>
        <w:t>年相比，收、支总计各</w:t>
      </w:r>
      <w:r>
        <w:rPr>
          <w:rFonts w:hint="eastAsia" w:ascii="仿宋" w:hAnsi="仿宋" w:eastAsia="仿宋"/>
          <w:sz w:val="32"/>
          <w:szCs w:val="32"/>
          <w:lang w:val="en-US" w:eastAsia="zh-CN"/>
        </w:rPr>
        <w:t>减少19.08</w:t>
      </w:r>
      <w:r>
        <w:rPr>
          <w:rFonts w:hint="eastAsia" w:ascii="仿宋" w:hAnsi="仿宋" w:eastAsia="仿宋"/>
          <w:sz w:val="32"/>
          <w:szCs w:val="32"/>
        </w:rPr>
        <w:t>万元，</w:t>
      </w:r>
      <w:r>
        <w:rPr>
          <w:rFonts w:hint="eastAsia" w:ascii="仿宋" w:hAnsi="仿宋" w:eastAsia="仿宋"/>
          <w:sz w:val="32"/>
          <w:szCs w:val="32"/>
          <w:lang w:val="en-US" w:eastAsia="zh-CN"/>
        </w:rPr>
        <w:t>下降4.35</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sz w:val="32"/>
          <w:szCs w:val="32"/>
          <w:highlight w:val="none"/>
        </w:rPr>
        <w:t>主要原因是</w:t>
      </w:r>
      <w:r>
        <w:rPr>
          <w:rFonts w:hint="eastAsia" w:ascii="仿宋" w:hAnsi="仿宋" w:eastAsia="仿宋"/>
          <w:sz w:val="32"/>
          <w:szCs w:val="32"/>
          <w:highlight w:val="none"/>
          <w:lang w:val="en-US" w:eastAsia="zh-CN"/>
        </w:rPr>
        <w:t>学生减少</w:t>
      </w:r>
      <w:r>
        <w:rPr>
          <w:rFonts w:hint="eastAsia" w:ascii="仿宋" w:hAnsi="仿宋" w:eastAsia="仿宋"/>
          <w:sz w:val="32"/>
          <w:szCs w:val="32"/>
          <w:highlight w:val="none"/>
        </w:rPr>
        <w:t>。</w:t>
      </w:r>
    </w:p>
    <w:p w14:paraId="03D19385">
      <w:pPr>
        <w:spacing w:line="600" w:lineRule="exact"/>
        <w:ind w:firstLine="640" w:firstLineChars="200"/>
        <w:rPr>
          <w:rFonts w:ascii="仿宋_GB2312" w:eastAsia="仿宋_GB2312"/>
          <w:sz w:val="32"/>
          <w:szCs w:val="32"/>
        </w:rPr>
      </w:pPr>
      <w:r>
        <w:rPr>
          <w:rFonts w:ascii="仿宋" w:hAnsi="仿宋" w:eastAsia="仿宋"/>
          <w:sz w:val="32"/>
          <w:szCs w:val="32"/>
        </w:rPr>
        <w:drawing>
          <wp:anchor distT="0" distB="0" distL="114300" distR="114300" simplePos="0" relativeHeight="251664384" behindDoc="0" locked="0" layoutInCell="1" allowOverlap="1">
            <wp:simplePos x="0" y="0"/>
            <wp:positionH relativeFrom="column">
              <wp:posOffset>250190</wp:posOffset>
            </wp:positionH>
            <wp:positionV relativeFrom="paragraph">
              <wp:posOffset>313055</wp:posOffset>
            </wp:positionV>
            <wp:extent cx="4905375" cy="2381250"/>
            <wp:effectExtent l="4445" t="4445" r="5080" b="14605"/>
            <wp:wrapSquare wrapText="bothSides"/>
            <wp:docPr id="6"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14:paraId="42EC0052">
      <w:pPr>
        <w:pStyle w:val="19"/>
        <w:numPr>
          <w:ilvl w:val="0"/>
          <w:numId w:val="2"/>
        </w:numPr>
        <w:spacing w:line="600" w:lineRule="exact"/>
        <w:ind w:firstLineChars="0"/>
        <w:outlineLvl w:val="1"/>
        <w:rPr>
          <w:rStyle w:val="18"/>
          <w:rFonts w:ascii="黑体" w:hAnsi="黑体" w:eastAsia="黑体"/>
          <w:b w:val="0"/>
        </w:rPr>
      </w:pPr>
      <w:bookmarkStart w:id="20" w:name="_Toc15396604"/>
      <w:bookmarkStart w:id="21" w:name="_Toc15377206"/>
      <w:r>
        <w:rPr>
          <w:rFonts w:hint="eastAsia" w:ascii="黑体" w:hAnsi="黑体" w:eastAsia="黑体"/>
          <w:sz w:val="32"/>
          <w:szCs w:val="32"/>
        </w:rPr>
        <w:t>收</w:t>
      </w:r>
      <w:r>
        <w:rPr>
          <w:rStyle w:val="18"/>
          <w:rFonts w:hint="eastAsia" w:ascii="黑体" w:hAnsi="黑体" w:eastAsia="黑体"/>
          <w:b w:val="0"/>
        </w:rPr>
        <w:t>入决算情况说明</w:t>
      </w:r>
      <w:bookmarkEnd w:id="20"/>
      <w:bookmarkEnd w:id="21"/>
    </w:p>
    <w:p w14:paraId="16C3CC76">
      <w:pPr>
        <w:spacing w:line="600" w:lineRule="exact"/>
        <w:ind w:firstLine="640" w:firstLineChars="200"/>
        <w:outlineLvl w:val="1"/>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4</w:t>
      </w:r>
      <w:r>
        <w:rPr>
          <w:rFonts w:hint="eastAsia" w:ascii="仿宋" w:hAnsi="仿宋" w:eastAsia="仿宋"/>
          <w:sz w:val="32"/>
          <w:szCs w:val="32"/>
        </w:rPr>
        <w:t>年本年收入合计</w:t>
      </w:r>
      <w:r>
        <w:rPr>
          <w:rFonts w:hint="eastAsia" w:ascii="仿宋" w:hAnsi="仿宋" w:eastAsia="仿宋"/>
          <w:sz w:val="32"/>
          <w:szCs w:val="32"/>
          <w:lang w:val="en-US" w:eastAsia="zh-CN"/>
        </w:rPr>
        <w:t>329.70</w:t>
      </w:r>
      <w:r>
        <w:rPr>
          <w:rFonts w:hint="eastAsia" w:ascii="仿宋" w:hAnsi="仿宋" w:eastAsia="仿宋"/>
          <w:sz w:val="32"/>
          <w:szCs w:val="32"/>
        </w:rPr>
        <w:t>万元，其中：一般公共预算财政拨款收入318.64万元，占</w:t>
      </w:r>
      <w:r>
        <w:rPr>
          <w:rFonts w:hint="eastAsia" w:ascii="仿宋" w:hAnsi="仿宋" w:eastAsia="仿宋"/>
          <w:sz w:val="32"/>
          <w:szCs w:val="32"/>
          <w:lang w:val="en-US" w:eastAsia="zh-CN"/>
        </w:rPr>
        <w:t>96.65</w:t>
      </w:r>
      <w:r>
        <w:rPr>
          <w:rFonts w:ascii="仿宋" w:hAnsi="仿宋" w:eastAsia="仿宋"/>
          <w:sz w:val="32"/>
          <w:szCs w:val="32"/>
        </w:rPr>
        <w:t>%</w:t>
      </w:r>
      <w:r>
        <w:rPr>
          <w:rFonts w:hint="eastAsia" w:ascii="仿宋" w:hAnsi="仿宋" w:eastAsia="仿宋"/>
          <w:sz w:val="32"/>
          <w:szCs w:val="32"/>
        </w:rPr>
        <w:t>；其他收入</w:t>
      </w:r>
      <w:r>
        <w:rPr>
          <w:rFonts w:hint="eastAsia" w:ascii="仿宋" w:hAnsi="仿宋" w:eastAsia="仿宋"/>
          <w:sz w:val="32"/>
          <w:szCs w:val="32"/>
          <w:lang w:val="en-US" w:eastAsia="zh-CN"/>
        </w:rPr>
        <w:t>11.06</w:t>
      </w:r>
      <w:r>
        <w:rPr>
          <w:rFonts w:hint="eastAsia" w:ascii="仿宋" w:hAnsi="仿宋" w:eastAsia="仿宋"/>
          <w:sz w:val="32"/>
          <w:szCs w:val="32"/>
        </w:rPr>
        <w:t>万元，占</w:t>
      </w:r>
      <w:r>
        <w:rPr>
          <w:rFonts w:hint="eastAsia" w:ascii="仿宋" w:hAnsi="仿宋" w:eastAsia="仿宋"/>
          <w:sz w:val="32"/>
          <w:szCs w:val="32"/>
          <w:lang w:val="en-US" w:eastAsia="zh-CN"/>
        </w:rPr>
        <w:t>3.35</w:t>
      </w:r>
      <w:r>
        <w:rPr>
          <w:rFonts w:ascii="仿宋" w:hAnsi="仿宋" w:eastAsia="仿宋"/>
          <w:sz w:val="32"/>
          <w:szCs w:val="32"/>
        </w:rPr>
        <w:t>%</w:t>
      </w:r>
      <w:r>
        <w:rPr>
          <w:rFonts w:hint="eastAsia" w:ascii="仿宋" w:hAnsi="仿宋" w:eastAsia="仿宋"/>
          <w:sz w:val="32"/>
          <w:szCs w:val="32"/>
        </w:rPr>
        <w:t>。</w:t>
      </w:r>
    </w:p>
    <w:p w14:paraId="58EFD7EB">
      <w:pPr>
        <w:spacing w:line="600" w:lineRule="exact"/>
        <w:ind w:firstLine="640" w:firstLineChars="200"/>
        <w:outlineLvl w:val="1"/>
        <w:rPr>
          <w:rFonts w:ascii="仿宋" w:hAnsi="仿宋" w:eastAsia="仿宋"/>
          <w:sz w:val="32"/>
          <w:szCs w:val="32"/>
        </w:rPr>
      </w:pPr>
      <w:r>
        <w:rPr>
          <w:rFonts w:ascii="仿宋" w:hAnsi="仿宋" w:eastAsia="仿宋"/>
          <w:sz w:val="32"/>
          <w:szCs w:val="32"/>
        </w:rPr>
        <w:drawing>
          <wp:anchor distT="0" distB="0" distL="114300" distR="114300" simplePos="0" relativeHeight="251659264" behindDoc="0" locked="0" layoutInCell="1" allowOverlap="1">
            <wp:simplePos x="0" y="0"/>
            <wp:positionH relativeFrom="column">
              <wp:posOffset>163830</wp:posOffset>
            </wp:positionH>
            <wp:positionV relativeFrom="paragraph">
              <wp:posOffset>116205</wp:posOffset>
            </wp:positionV>
            <wp:extent cx="5191125" cy="2095500"/>
            <wp:effectExtent l="19050" t="0" r="9525" b="0"/>
            <wp:wrapNone/>
            <wp:docPr id="1"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3B6995C4">
      <w:pPr>
        <w:spacing w:line="600" w:lineRule="exact"/>
        <w:ind w:firstLine="640" w:firstLineChars="200"/>
        <w:outlineLvl w:val="1"/>
        <w:rPr>
          <w:rFonts w:ascii="仿宋" w:hAnsi="仿宋" w:eastAsia="仿宋"/>
          <w:sz w:val="32"/>
          <w:szCs w:val="32"/>
        </w:rPr>
      </w:pPr>
    </w:p>
    <w:p w14:paraId="2E49DCD2">
      <w:pPr>
        <w:spacing w:line="600" w:lineRule="exact"/>
        <w:ind w:firstLine="643" w:firstLineChars="200"/>
        <w:outlineLvl w:val="1"/>
        <w:rPr>
          <w:rFonts w:ascii="仿宋" w:hAnsi="仿宋" w:eastAsia="仿宋"/>
          <w:b/>
          <w:sz w:val="32"/>
          <w:szCs w:val="32"/>
        </w:rPr>
      </w:pPr>
    </w:p>
    <w:p w14:paraId="1BDF0CE7">
      <w:pPr>
        <w:spacing w:line="600" w:lineRule="exact"/>
        <w:outlineLvl w:val="1"/>
        <w:rPr>
          <w:rFonts w:ascii="仿宋" w:hAnsi="仿宋" w:eastAsia="仿宋"/>
          <w:sz w:val="32"/>
          <w:szCs w:val="32"/>
        </w:rPr>
      </w:pPr>
    </w:p>
    <w:p w14:paraId="75134DE8">
      <w:pPr>
        <w:spacing w:line="600" w:lineRule="exact"/>
        <w:outlineLvl w:val="1"/>
        <w:rPr>
          <w:rFonts w:ascii="仿宋" w:hAnsi="仿宋" w:eastAsia="仿宋"/>
          <w:sz w:val="32"/>
          <w:szCs w:val="32"/>
        </w:rPr>
      </w:pPr>
    </w:p>
    <w:p w14:paraId="4B1B5884">
      <w:pPr>
        <w:pStyle w:val="19"/>
        <w:numPr>
          <w:ilvl w:val="0"/>
          <w:numId w:val="2"/>
        </w:numPr>
        <w:spacing w:line="600" w:lineRule="exact"/>
        <w:ind w:firstLineChars="0"/>
        <w:outlineLvl w:val="1"/>
        <w:rPr>
          <w:rStyle w:val="18"/>
          <w:rFonts w:ascii="黑体" w:hAnsi="黑体" w:eastAsia="黑体"/>
          <w:b w:val="0"/>
        </w:rPr>
      </w:pPr>
      <w:bookmarkStart w:id="22" w:name="_Toc15377207"/>
      <w:bookmarkStart w:id="23" w:name="_Toc15396605"/>
      <w:r>
        <w:rPr>
          <w:rFonts w:hint="eastAsia" w:ascii="黑体" w:hAnsi="黑体" w:eastAsia="黑体"/>
          <w:sz w:val="32"/>
          <w:szCs w:val="32"/>
        </w:rPr>
        <w:t>支</w:t>
      </w:r>
      <w:r>
        <w:rPr>
          <w:rStyle w:val="18"/>
          <w:rFonts w:hint="eastAsia" w:ascii="黑体" w:hAnsi="黑体" w:eastAsia="黑体"/>
          <w:b w:val="0"/>
        </w:rPr>
        <w:t>出决算情况说明</w:t>
      </w:r>
      <w:bookmarkEnd w:id="22"/>
      <w:bookmarkEnd w:id="23"/>
    </w:p>
    <w:p w14:paraId="602D32CF">
      <w:pPr>
        <w:keepNext/>
        <w:keepLines/>
        <w:spacing w:line="576"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4</w:t>
      </w:r>
      <w:r>
        <w:rPr>
          <w:rFonts w:hint="eastAsia" w:ascii="仿宋" w:hAnsi="仿宋" w:eastAsia="仿宋"/>
          <w:sz w:val="32"/>
          <w:szCs w:val="32"/>
        </w:rPr>
        <w:t>年本年支出合计329.70万元，其中：基本支出228.67万元，占69.</w:t>
      </w:r>
      <w:r>
        <w:rPr>
          <w:rFonts w:hint="eastAsia" w:ascii="仿宋" w:hAnsi="仿宋" w:eastAsia="仿宋"/>
          <w:sz w:val="32"/>
          <w:szCs w:val="32"/>
          <w:lang w:val="en-US" w:eastAsia="zh-CN"/>
        </w:rPr>
        <w:t>36</w:t>
      </w:r>
      <w:r>
        <w:rPr>
          <w:rFonts w:ascii="仿宋" w:hAnsi="仿宋" w:eastAsia="仿宋"/>
          <w:sz w:val="32"/>
          <w:szCs w:val="32"/>
        </w:rPr>
        <w:t>%</w:t>
      </w:r>
      <w:r>
        <w:rPr>
          <w:rFonts w:hint="eastAsia" w:ascii="仿宋" w:hAnsi="仿宋" w:eastAsia="仿宋"/>
          <w:sz w:val="32"/>
          <w:szCs w:val="32"/>
        </w:rPr>
        <w:t>；项目支出101.03万元，占30.</w:t>
      </w:r>
      <w:r>
        <w:rPr>
          <w:rFonts w:hint="eastAsia" w:ascii="仿宋" w:hAnsi="仿宋" w:eastAsia="仿宋"/>
          <w:sz w:val="32"/>
          <w:szCs w:val="32"/>
          <w:lang w:val="en-US" w:eastAsia="zh-CN"/>
        </w:rPr>
        <w:t>64</w:t>
      </w:r>
      <w:r>
        <w:rPr>
          <w:rFonts w:ascii="仿宋" w:hAnsi="仿宋" w:eastAsia="仿宋"/>
          <w:sz w:val="32"/>
          <w:szCs w:val="32"/>
        </w:rPr>
        <w:t>%</w:t>
      </w:r>
      <w:r>
        <w:rPr>
          <w:rFonts w:hint="eastAsia" w:ascii="仿宋" w:hAnsi="仿宋" w:eastAsia="仿宋"/>
          <w:sz w:val="32"/>
          <w:szCs w:val="32"/>
        </w:rPr>
        <w:t>。</w:t>
      </w:r>
    </w:p>
    <w:p w14:paraId="67B5AF1C">
      <w:pPr>
        <w:spacing w:line="600" w:lineRule="exact"/>
        <w:ind w:firstLine="640" w:firstLineChars="200"/>
        <w:outlineLvl w:val="1"/>
        <w:rPr>
          <w:rFonts w:ascii="仿宋" w:hAnsi="仿宋" w:eastAsia="仿宋"/>
          <w:b/>
          <w:sz w:val="32"/>
          <w:szCs w:val="32"/>
        </w:rPr>
      </w:pPr>
      <w:r>
        <w:rPr>
          <w:rFonts w:ascii="仿宋" w:hAnsi="仿宋" w:eastAsia="仿宋"/>
          <w:color w:val="000000" w:themeColor="text1"/>
          <w:sz w:val="32"/>
          <w:szCs w:val="32"/>
          <w14:textFill>
            <w14:solidFill>
              <w14:schemeClr w14:val="tx1"/>
            </w14:solidFill>
          </w14:textFill>
        </w:rPr>
        <w:drawing>
          <wp:anchor distT="0" distB="0" distL="114300" distR="114300" simplePos="0" relativeHeight="251660288" behindDoc="0" locked="0" layoutInCell="1" allowOverlap="1">
            <wp:simplePos x="0" y="0"/>
            <wp:positionH relativeFrom="column">
              <wp:posOffset>449580</wp:posOffset>
            </wp:positionH>
            <wp:positionV relativeFrom="paragraph">
              <wp:posOffset>356870</wp:posOffset>
            </wp:positionV>
            <wp:extent cx="4291330" cy="2019300"/>
            <wp:effectExtent l="19050" t="0" r="13970" b="0"/>
            <wp:wrapNone/>
            <wp:docPr id="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1F27605C">
      <w:pPr>
        <w:spacing w:line="600" w:lineRule="exact"/>
        <w:ind w:firstLine="640"/>
        <w:rPr>
          <w:rFonts w:ascii="仿宋" w:hAnsi="仿宋" w:eastAsia="仿宋"/>
          <w:sz w:val="32"/>
          <w:szCs w:val="32"/>
          <w:shd w:val="pct10" w:color="auto" w:fill="FFFFFF"/>
        </w:rPr>
      </w:pPr>
    </w:p>
    <w:p w14:paraId="792CA05C">
      <w:pPr>
        <w:spacing w:line="600" w:lineRule="exact"/>
        <w:ind w:firstLine="640" w:firstLineChars="200"/>
        <w:rPr>
          <w:rFonts w:ascii="仿宋" w:hAnsi="仿宋" w:eastAsia="仿宋"/>
          <w:sz w:val="32"/>
          <w:szCs w:val="32"/>
        </w:rPr>
      </w:pPr>
    </w:p>
    <w:p w14:paraId="49458FA9">
      <w:pPr>
        <w:spacing w:line="600" w:lineRule="exact"/>
        <w:ind w:firstLine="640" w:firstLineChars="200"/>
        <w:rPr>
          <w:rFonts w:ascii="仿宋" w:hAnsi="仿宋" w:eastAsia="仿宋"/>
          <w:sz w:val="32"/>
          <w:szCs w:val="32"/>
        </w:rPr>
      </w:pPr>
    </w:p>
    <w:p w14:paraId="20FCB808">
      <w:pPr>
        <w:spacing w:line="600" w:lineRule="exact"/>
        <w:ind w:firstLine="640" w:firstLineChars="200"/>
        <w:rPr>
          <w:rFonts w:ascii="仿宋" w:hAnsi="仿宋" w:eastAsia="仿宋"/>
          <w:sz w:val="32"/>
          <w:szCs w:val="32"/>
        </w:rPr>
      </w:pPr>
    </w:p>
    <w:p w14:paraId="1C45F266">
      <w:pPr>
        <w:spacing w:line="600" w:lineRule="exact"/>
        <w:ind w:firstLine="640" w:firstLineChars="200"/>
        <w:rPr>
          <w:rFonts w:ascii="仿宋" w:hAnsi="仿宋" w:eastAsia="仿宋"/>
          <w:sz w:val="32"/>
          <w:szCs w:val="32"/>
        </w:rPr>
      </w:pPr>
    </w:p>
    <w:p w14:paraId="271C802E">
      <w:pPr>
        <w:spacing w:line="600" w:lineRule="exact"/>
        <w:rPr>
          <w:rFonts w:ascii="仿宋_GB2312" w:eastAsia="仿宋_GB2312"/>
          <w:sz w:val="32"/>
          <w:szCs w:val="32"/>
        </w:rPr>
      </w:pPr>
    </w:p>
    <w:p w14:paraId="5354C369">
      <w:pPr>
        <w:spacing w:line="600" w:lineRule="exact"/>
        <w:ind w:firstLine="640" w:firstLineChars="200"/>
        <w:outlineLvl w:val="1"/>
        <w:rPr>
          <w:rStyle w:val="18"/>
          <w:rFonts w:ascii="黑体" w:hAnsi="黑体" w:eastAsia="黑体"/>
          <w:b w:val="0"/>
        </w:rPr>
      </w:pPr>
      <w:bookmarkStart w:id="24" w:name="_Toc15396606"/>
      <w:bookmarkStart w:id="25" w:name="_Toc15377208"/>
      <w:r>
        <w:rPr>
          <w:rFonts w:hint="eastAsia" w:ascii="黑体" w:hAnsi="黑体" w:eastAsia="黑体"/>
          <w:sz w:val="32"/>
          <w:szCs w:val="32"/>
        </w:rPr>
        <w:t>四、财</w:t>
      </w:r>
      <w:r>
        <w:rPr>
          <w:rStyle w:val="18"/>
          <w:rFonts w:hint="eastAsia" w:ascii="黑体" w:hAnsi="黑体" w:eastAsia="黑体"/>
          <w:b w:val="0"/>
        </w:rPr>
        <w:t>政拨款收入支出决算总体情况说明</w:t>
      </w:r>
      <w:bookmarkEnd w:id="24"/>
      <w:bookmarkEnd w:id="25"/>
    </w:p>
    <w:p w14:paraId="2F4745B9">
      <w:pPr>
        <w:spacing w:line="600" w:lineRule="exact"/>
        <w:ind w:firstLine="640" w:firstLineChars="200"/>
        <w:rPr>
          <w:rFonts w:hint="eastAsia" w:ascii="仿宋" w:hAnsi="仿宋" w:eastAsia="仿宋"/>
          <w:sz w:val="32"/>
          <w:szCs w:val="32"/>
          <w:lang w:val="en-US" w:eastAsia="zh-CN"/>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4</w:t>
      </w:r>
      <w:r>
        <w:rPr>
          <w:rFonts w:hint="eastAsia" w:ascii="仿宋" w:hAnsi="仿宋" w:eastAsia="仿宋"/>
          <w:sz w:val="32"/>
          <w:szCs w:val="32"/>
        </w:rPr>
        <w:t>年财政拨款收、支总计</w:t>
      </w:r>
      <w:r>
        <w:rPr>
          <w:rFonts w:hint="eastAsia" w:ascii="仿宋" w:hAnsi="仿宋" w:eastAsia="仿宋"/>
          <w:sz w:val="32"/>
          <w:szCs w:val="32"/>
          <w:lang w:val="en-US" w:eastAsia="zh-CN"/>
        </w:rPr>
        <w:t>419.56</w:t>
      </w:r>
      <w:r>
        <w:rPr>
          <w:rFonts w:hint="eastAsia" w:ascii="仿宋" w:hAnsi="仿宋" w:eastAsia="仿宋"/>
          <w:sz w:val="32"/>
          <w:szCs w:val="32"/>
        </w:rPr>
        <w:t>万元。与</w:t>
      </w: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3</w:t>
      </w:r>
      <w:r>
        <w:rPr>
          <w:rFonts w:hint="eastAsia" w:ascii="仿宋" w:hAnsi="仿宋" w:eastAsia="仿宋"/>
          <w:sz w:val="32"/>
          <w:szCs w:val="32"/>
        </w:rPr>
        <w:t>年相比，财政拨款收、支总计各</w:t>
      </w:r>
      <w:r>
        <w:rPr>
          <w:rFonts w:hint="eastAsia" w:ascii="仿宋" w:hAnsi="仿宋" w:eastAsia="仿宋"/>
          <w:sz w:val="32"/>
          <w:szCs w:val="32"/>
          <w:lang w:val="en-US" w:eastAsia="zh-CN"/>
        </w:rPr>
        <w:t>减少19.08</w:t>
      </w:r>
      <w:r>
        <w:rPr>
          <w:rFonts w:hint="eastAsia" w:ascii="仿宋" w:hAnsi="仿宋" w:eastAsia="仿宋"/>
          <w:sz w:val="32"/>
          <w:szCs w:val="32"/>
        </w:rPr>
        <w:t>万元，</w:t>
      </w:r>
      <w:r>
        <w:rPr>
          <w:rFonts w:hint="eastAsia" w:ascii="仿宋" w:hAnsi="仿宋" w:eastAsia="仿宋"/>
          <w:sz w:val="32"/>
          <w:szCs w:val="32"/>
          <w:lang w:val="en-US" w:eastAsia="zh-CN"/>
        </w:rPr>
        <w:t>下降4.35</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sz w:val="32"/>
          <w:szCs w:val="32"/>
          <w:highlight w:val="none"/>
        </w:rPr>
        <w:t>主要原因是</w:t>
      </w:r>
      <w:r>
        <w:rPr>
          <w:rFonts w:hint="eastAsia" w:ascii="仿宋" w:hAnsi="仿宋" w:eastAsia="仿宋"/>
          <w:sz w:val="32"/>
          <w:szCs w:val="32"/>
          <w:highlight w:val="none"/>
          <w:lang w:val="en-US" w:eastAsia="zh-CN"/>
        </w:rPr>
        <w:t>学生</w:t>
      </w:r>
      <w:r>
        <w:rPr>
          <w:rFonts w:hint="eastAsia" w:ascii="仿宋" w:hAnsi="仿宋" w:eastAsia="仿宋"/>
          <w:sz w:val="32"/>
          <w:szCs w:val="32"/>
          <w:lang w:val="en-US" w:eastAsia="zh-CN"/>
        </w:rPr>
        <w:t>减少</w:t>
      </w:r>
      <w:r>
        <w:rPr>
          <w:rFonts w:hint="eastAsia" w:ascii="仿宋" w:hAnsi="仿宋" w:eastAsia="仿宋"/>
          <w:sz w:val="32"/>
          <w:szCs w:val="32"/>
        </w:rPr>
        <w:t>。</w:t>
      </w:r>
      <w:r>
        <w:rPr>
          <w:rFonts w:hint="eastAsia" w:ascii="仿宋" w:hAnsi="仿宋" w:eastAsia="仿宋"/>
          <w:sz w:val="32"/>
          <w:szCs w:val="32"/>
          <w:lang w:val="en-US" w:eastAsia="zh-CN"/>
        </w:rPr>
        <w:t xml:space="preserve"> </w:t>
      </w:r>
    </w:p>
    <w:p w14:paraId="6F0825CD">
      <w:pPr>
        <w:spacing w:line="600" w:lineRule="exact"/>
        <w:ind w:firstLine="640" w:firstLineChars="200"/>
        <w:rPr>
          <w:rFonts w:ascii="仿宋" w:hAnsi="仿宋" w:eastAsia="仿宋"/>
          <w:sz w:val="32"/>
          <w:szCs w:val="32"/>
        </w:rPr>
      </w:pPr>
      <w:r>
        <w:rPr>
          <w:rFonts w:hint="eastAsia" w:ascii="仿宋" w:hAnsi="仿宋" w:eastAsia="仿宋"/>
          <w:sz w:val="32"/>
          <w:szCs w:val="32"/>
        </w:rPr>
        <w:drawing>
          <wp:anchor distT="0" distB="0" distL="114300" distR="114300" simplePos="0" relativeHeight="251665408" behindDoc="0" locked="0" layoutInCell="1" allowOverlap="1">
            <wp:simplePos x="0" y="0"/>
            <wp:positionH relativeFrom="column">
              <wp:posOffset>377190</wp:posOffset>
            </wp:positionH>
            <wp:positionV relativeFrom="paragraph">
              <wp:posOffset>274955</wp:posOffset>
            </wp:positionV>
            <wp:extent cx="4986655" cy="2319020"/>
            <wp:effectExtent l="4445" t="4445" r="19050" b="19685"/>
            <wp:wrapNone/>
            <wp:docPr id="1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6831825C">
      <w:pPr>
        <w:spacing w:line="600" w:lineRule="exact"/>
        <w:ind w:firstLine="640"/>
        <w:rPr>
          <w:rFonts w:ascii="仿宋" w:hAnsi="仿宋" w:eastAsia="仿宋"/>
          <w:sz w:val="32"/>
          <w:szCs w:val="32"/>
        </w:rPr>
      </w:pPr>
    </w:p>
    <w:p w14:paraId="2407E198">
      <w:pPr>
        <w:spacing w:line="600" w:lineRule="exact"/>
        <w:ind w:firstLine="640"/>
        <w:rPr>
          <w:rFonts w:ascii="仿宋" w:hAnsi="仿宋" w:eastAsia="仿宋"/>
          <w:sz w:val="32"/>
          <w:szCs w:val="32"/>
        </w:rPr>
      </w:pPr>
    </w:p>
    <w:p w14:paraId="36251CD1">
      <w:pPr>
        <w:spacing w:line="600" w:lineRule="exact"/>
        <w:ind w:firstLine="640"/>
        <w:rPr>
          <w:rFonts w:ascii="仿宋" w:hAnsi="仿宋" w:eastAsia="仿宋"/>
          <w:b/>
          <w:sz w:val="32"/>
          <w:szCs w:val="32"/>
        </w:rPr>
      </w:pPr>
    </w:p>
    <w:p w14:paraId="0208D144">
      <w:pPr>
        <w:spacing w:line="600" w:lineRule="exact"/>
        <w:ind w:firstLine="640"/>
        <w:rPr>
          <w:rFonts w:ascii="仿宋" w:hAnsi="仿宋" w:eastAsia="仿宋"/>
          <w:b/>
          <w:sz w:val="32"/>
          <w:szCs w:val="32"/>
        </w:rPr>
      </w:pPr>
    </w:p>
    <w:p w14:paraId="7EEFEA5C">
      <w:pPr>
        <w:spacing w:line="600" w:lineRule="exact"/>
        <w:ind w:firstLine="640"/>
        <w:rPr>
          <w:rFonts w:ascii="仿宋" w:hAnsi="仿宋" w:eastAsia="仿宋"/>
          <w:b/>
          <w:sz w:val="32"/>
          <w:szCs w:val="32"/>
        </w:rPr>
      </w:pPr>
    </w:p>
    <w:p w14:paraId="2CC68402">
      <w:pPr>
        <w:spacing w:line="600" w:lineRule="exact"/>
        <w:outlineLvl w:val="1"/>
        <w:rPr>
          <w:rFonts w:ascii="黑体" w:hAnsi="黑体" w:eastAsia="黑体"/>
          <w:sz w:val="32"/>
          <w:szCs w:val="32"/>
        </w:rPr>
      </w:pPr>
      <w:bookmarkStart w:id="26" w:name="_Toc15377209"/>
      <w:bookmarkStart w:id="27" w:name="_Toc15396607"/>
    </w:p>
    <w:p w14:paraId="59AA2C72">
      <w:pPr>
        <w:pStyle w:val="3"/>
        <w:ind w:left="0" w:leftChars="0" w:firstLine="0" w:firstLineChars="0"/>
        <w:rPr>
          <w:rFonts w:hint="eastAsia"/>
        </w:rPr>
      </w:pPr>
    </w:p>
    <w:p w14:paraId="19E863C3">
      <w:pPr>
        <w:rPr>
          <w:rFonts w:hint="eastAsia"/>
        </w:rPr>
      </w:pPr>
    </w:p>
    <w:p w14:paraId="4086F72A">
      <w:pPr>
        <w:pStyle w:val="2"/>
        <w:rPr>
          <w:rFonts w:hint="eastAsia"/>
        </w:rPr>
      </w:pPr>
    </w:p>
    <w:p w14:paraId="1DB5E0B3">
      <w:pPr>
        <w:spacing w:line="600" w:lineRule="exact"/>
        <w:ind w:firstLine="640" w:firstLineChars="200"/>
        <w:outlineLvl w:val="1"/>
        <w:rPr>
          <w:rStyle w:val="18"/>
          <w:rFonts w:ascii="黑体" w:hAnsi="黑体" w:eastAsia="黑体"/>
          <w:b w:val="0"/>
        </w:rPr>
      </w:pPr>
      <w:r>
        <w:rPr>
          <w:rFonts w:hint="eastAsia" w:ascii="黑体" w:hAnsi="黑体" w:eastAsia="黑体"/>
          <w:sz w:val="32"/>
          <w:szCs w:val="32"/>
        </w:rPr>
        <w:t>五、</w:t>
      </w:r>
      <w:r>
        <w:rPr>
          <w:rFonts w:hint="eastAsia" w:ascii="黑体" w:hAnsi="黑体" w:eastAsia="黑体"/>
          <w:b/>
          <w:sz w:val="32"/>
          <w:szCs w:val="32"/>
        </w:rPr>
        <w:t>一</w:t>
      </w:r>
      <w:r>
        <w:rPr>
          <w:rStyle w:val="18"/>
          <w:rFonts w:hint="eastAsia" w:ascii="黑体" w:hAnsi="黑体" w:eastAsia="黑体"/>
          <w:b w:val="0"/>
        </w:rPr>
        <w:t>般公共预算财政拨款支出决算情况说明</w:t>
      </w:r>
      <w:bookmarkEnd w:id="26"/>
      <w:bookmarkEnd w:id="27"/>
    </w:p>
    <w:p w14:paraId="3CF20004">
      <w:pPr>
        <w:spacing w:line="600" w:lineRule="exact"/>
        <w:ind w:firstLine="640" w:firstLineChars="200"/>
        <w:outlineLvl w:val="2"/>
        <w:rPr>
          <w:rFonts w:hint="eastAsia" w:ascii="楷体" w:hAnsi="楷体" w:eastAsia="楷体" w:cs="楷体"/>
          <w:b w:val="0"/>
          <w:bCs/>
          <w:sz w:val="32"/>
          <w:szCs w:val="32"/>
        </w:rPr>
      </w:pPr>
      <w:bookmarkStart w:id="28" w:name="_Toc15377210"/>
      <w:r>
        <w:rPr>
          <w:rFonts w:hint="eastAsia" w:ascii="楷体" w:hAnsi="楷体" w:eastAsia="楷体" w:cs="楷体"/>
          <w:b w:val="0"/>
          <w:bCs/>
          <w:sz w:val="32"/>
          <w:szCs w:val="32"/>
        </w:rPr>
        <w:t>（一）一般公共预算财政拨款支出决算总体情况</w:t>
      </w:r>
      <w:bookmarkEnd w:id="28"/>
    </w:p>
    <w:p w14:paraId="7400A1E2">
      <w:pPr>
        <w:spacing w:line="600" w:lineRule="exact"/>
        <w:ind w:firstLine="640"/>
        <w:rPr>
          <w:rFonts w:ascii="仿宋" w:hAnsi="仿宋" w:eastAsia="仿宋"/>
          <w:sz w:val="32"/>
          <w:szCs w:val="32"/>
          <w:highlight w:val="none"/>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4</w:t>
      </w:r>
      <w:r>
        <w:rPr>
          <w:rFonts w:hint="eastAsia" w:ascii="仿宋" w:hAnsi="仿宋" w:eastAsia="仿宋"/>
          <w:sz w:val="32"/>
          <w:szCs w:val="32"/>
        </w:rPr>
        <w:t>年一般公共预算财政拨款支出318.64万元，占本年支出合计的</w:t>
      </w:r>
      <w:r>
        <w:rPr>
          <w:rFonts w:hint="eastAsia" w:ascii="仿宋" w:hAnsi="仿宋" w:eastAsia="仿宋"/>
          <w:sz w:val="32"/>
          <w:szCs w:val="32"/>
          <w:lang w:val="en-US" w:eastAsia="zh-CN"/>
        </w:rPr>
        <w:t>96.65</w:t>
      </w:r>
      <w:r>
        <w:rPr>
          <w:rFonts w:ascii="仿宋" w:hAnsi="仿宋" w:eastAsia="仿宋"/>
          <w:sz w:val="32"/>
          <w:szCs w:val="32"/>
        </w:rPr>
        <w:t>%</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3</w:t>
      </w:r>
      <w:r>
        <w:rPr>
          <w:rFonts w:hint="eastAsia" w:ascii="仿宋" w:hAnsi="仿宋" w:eastAsia="仿宋"/>
          <w:sz w:val="32"/>
          <w:szCs w:val="32"/>
        </w:rPr>
        <w:t>年相比，一般公共预算财政拨款支出</w:t>
      </w:r>
      <w:r>
        <w:rPr>
          <w:rFonts w:hint="eastAsia" w:ascii="仿宋" w:hAnsi="仿宋" w:eastAsia="仿宋"/>
          <w:sz w:val="32"/>
          <w:szCs w:val="32"/>
          <w:lang w:val="en-US" w:eastAsia="zh-CN"/>
        </w:rPr>
        <w:t>减少18.14</w:t>
      </w:r>
      <w:r>
        <w:rPr>
          <w:rFonts w:hint="eastAsia" w:ascii="仿宋" w:hAnsi="仿宋" w:eastAsia="仿宋"/>
          <w:sz w:val="32"/>
          <w:szCs w:val="32"/>
        </w:rPr>
        <w:t>万元，</w:t>
      </w:r>
      <w:r>
        <w:rPr>
          <w:rFonts w:hint="eastAsia" w:ascii="仿宋" w:hAnsi="仿宋" w:eastAsia="仿宋"/>
          <w:sz w:val="32"/>
          <w:szCs w:val="32"/>
          <w:lang w:val="en-US" w:eastAsia="zh-CN"/>
        </w:rPr>
        <w:t>下降5.69</w:t>
      </w:r>
      <w:r>
        <w:rPr>
          <w:rFonts w:ascii="仿宋" w:hAnsi="仿宋" w:eastAsia="仿宋"/>
          <w:sz w:val="32"/>
          <w:szCs w:val="32"/>
        </w:rPr>
        <w:t>%</w:t>
      </w:r>
      <w:r>
        <w:rPr>
          <w:rFonts w:hint="eastAsia" w:ascii="仿宋" w:hAnsi="仿宋" w:eastAsia="仿宋"/>
          <w:sz w:val="32"/>
          <w:szCs w:val="32"/>
          <w:highlight w:val="none"/>
        </w:rPr>
        <w:t>。主要原因是</w:t>
      </w:r>
      <w:r>
        <w:rPr>
          <w:rFonts w:hint="eastAsia" w:ascii="仿宋" w:hAnsi="仿宋" w:eastAsia="仿宋"/>
          <w:sz w:val="32"/>
          <w:szCs w:val="32"/>
          <w:highlight w:val="none"/>
          <w:lang w:val="en-US" w:eastAsia="zh-CN"/>
        </w:rPr>
        <w:t>学生人数减少</w:t>
      </w:r>
      <w:r>
        <w:rPr>
          <w:rFonts w:hint="eastAsia" w:ascii="仿宋" w:hAnsi="仿宋" w:eastAsia="仿宋"/>
          <w:sz w:val="32"/>
          <w:szCs w:val="32"/>
          <w:highlight w:val="none"/>
        </w:rPr>
        <w:t>。</w:t>
      </w:r>
    </w:p>
    <w:p w14:paraId="2D0566A4">
      <w:pPr>
        <w:spacing w:line="600" w:lineRule="exact"/>
        <w:ind w:firstLine="640" w:firstLineChars="200"/>
        <w:rPr>
          <w:rFonts w:ascii="仿宋" w:hAnsi="仿宋" w:eastAsia="仿宋"/>
          <w:sz w:val="32"/>
          <w:szCs w:val="32"/>
        </w:rPr>
      </w:pPr>
      <w:r>
        <w:rPr>
          <w:rFonts w:ascii="仿宋" w:hAnsi="仿宋" w:eastAsia="仿宋"/>
          <w:color w:val="000000" w:themeColor="text1"/>
          <w:sz w:val="32"/>
          <w:szCs w:val="32"/>
          <w14:textFill>
            <w14:solidFill>
              <w14:schemeClr w14:val="tx1"/>
            </w14:solidFill>
          </w14:textFill>
        </w:rPr>
        <w:drawing>
          <wp:anchor distT="0" distB="0" distL="114300" distR="114300" simplePos="0" relativeHeight="251661312" behindDoc="0" locked="0" layoutInCell="1" allowOverlap="1">
            <wp:simplePos x="0" y="0"/>
            <wp:positionH relativeFrom="column">
              <wp:posOffset>323850</wp:posOffset>
            </wp:positionH>
            <wp:positionV relativeFrom="paragraph">
              <wp:posOffset>180975</wp:posOffset>
            </wp:positionV>
            <wp:extent cx="4669790" cy="2461895"/>
            <wp:effectExtent l="4445" t="4445" r="12065" b="10160"/>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35C12F82">
      <w:pPr>
        <w:spacing w:line="600" w:lineRule="exact"/>
        <w:ind w:firstLine="640" w:firstLineChars="200"/>
        <w:rPr>
          <w:rFonts w:ascii="仿宋" w:hAnsi="仿宋" w:eastAsia="仿宋"/>
          <w:sz w:val="32"/>
          <w:szCs w:val="32"/>
        </w:rPr>
      </w:pPr>
    </w:p>
    <w:p w14:paraId="41FBFDCC">
      <w:pPr>
        <w:spacing w:line="600" w:lineRule="exact"/>
        <w:ind w:firstLine="640" w:firstLineChars="200"/>
        <w:rPr>
          <w:rFonts w:ascii="仿宋" w:hAnsi="仿宋" w:eastAsia="仿宋"/>
          <w:sz w:val="32"/>
          <w:szCs w:val="32"/>
        </w:rPr>
      </w:pPr>
    </w:p>
    <w:p w14:paraId="3460AB3D">
      <w:pPr>
        <w:spacing w:line="600" w:lineRule="exact"/>
        <w:ind w:firstLine="640" w:firstLineChars="200"/>
        <w:rPr>
          <w:rFonts w:ascii="仿宋" w:hAnsi="仿宋" w:eastAsia="仿宋"/>
          <w:sz w:val="32"/>
          <w:szCs w:val="32"/>
        </w:rPr>
      </w:pPr>
    </w:p>
    <w:p w14:paraId="496A7B75">
      <w:pPr>
        <w:spacing w:line="600" w:lineRule="exact"/>
        <w:ind w:firstLine="640" w:firstLineChars="200"/>
        <w:rPr>
          <w:rFonts w:ascii="仿宋" w:hAnsi="仿宋" w:eastAsia="仿宋"/>
          <w:sz w:val="32"/>
          <w:szCs w:val="32"/>
        </w:rPr>
      </w:pPr>
    </w:p>
    <w:p w14:paraId="33D36961">
      <w:pPr>
        <w:spacing w:line="600" w:lineRule="exact"/>
        <w:ind w:firstLine="640" w:firstLineChars="200"/>
        <w:rPr>
          <w:rFonts w:ascii="仿宋" w:hAnsi="仿宋" w:eastAsia="仿宋"/>
          <w:sz w:val="32"/>
          <w:szCs w:val="32"/>
        </w:rPr>
      </w:pPr>
    </w:p>
    <w:p w14:paraId="690B709B">
      <w:pPr>
        <w:spacing w:line="600" w:lineRule="exact"/>
        <w:ind w:firstLine="640" w:firstLineChars="200"/>
        <w:rPr>
          <w:rFonts w:ascii="仿宋" w:hAnsi="仿宋" w:eastAsia="仿宋"/>
          <w:sz w:val="32"/>
          <w:szCs w:val="32"/>
        </w:rPr>
      </w:pPr>
    </w:p>
    <w:p w14:paraId="4A68CDCF">
      <w:pPr>
        <w:spacing w:line="600" w:lineRule="exact"/>
        <w:rPr>
          <w:rFonts w:ascii="仿宋" w:hAnsi="仿宋" w:eastAsia="仿宋"/>
          <w:sz w:val="32"/>
          <w:szCs w:val="32"/>
        </w:rPr>
      </w:pPr>
    </w:p>
    <w:p w14:paraId="2443D3C2">
      <w:pPr>
        <w:spacing w:line="600" w:lineRule="exact"/>
        <w:ind w:firstLine="640" w:firstLineChars="200"/>
        <w:outlineLvl w:val="2"/>
        <w:rPr>
          <w:rFonts w:hint="eastAsia" w:ascii="楷体" w:hAnsi="楷体" w:eastAsia="楷体" w:cs="楷体"/>
          <w:b w:val="0"/>
          <w:bCs/>
          <w:sz w:val="32"/>
          <w:szCs w:val="32"/>
        </w:rPr>
      </w:pPr>
      <w:bookmarkStart w:id="29" w:name="_Toc15377211"/>
      <w:r>
        <w:rPr>
          <w:rFonts w:hint="eastAsia" w:ascii="楷体" w:hAnsi="楷体" w:eastAsia="楷体" w:cs="楷体"/>
          <w:b w:val="0"/>
          <w:bCs/>
          <w:sz w:val="32"/>
          <w:szCs w:val="32"/>
        </w:rPr>
        <w:t>（二）一般公共预算财政拨款支出决算结构情况</w:t>
      </w:r>
      <w:bookmarkEnd w:id="29"/>
    </w:p>
    <w:p w14:paraId="62BCA60E">
      <w:pPr>
        <w:spacing w:line="600" w:lineRule="exact"/>
        <w:ind w:firstLine="640"/>
        <w:rPr>
          <w:rFonts w:ascii="仿宋" w:hAnsi="仿宋" w:eastAsia="仿宋"/>
          <w:b/>
          <w:sz w:val="32"/>
          <w:szCs w:val="32"/>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4</w:t>
      </w:r>
      <w:r>
        <w:rPr>
          <w:rFonts w:hint="eastAsia" w:ascii="仿宋" w:hAnsi="仿宋" w:eastAsia="仿宋"/>
          <w:sz w:val="32"/>
          <w:szCs w:val="32"/>
        </w:rPr>
        <w:t>年一般公共预算财政拨款支出</w:t>
      </w:r>
      <w:r>
        <w:rPr>
          <w:rFonts w:hint="eastAsia" w:ascii="仿宋" w:hAnsi="仿宋" w:eastAsia="仿宋"/>
          <w:sz w:val="32"/>
          <w:szCs w:val="32"/>
          <w:lang w:val="en-US" w:eastAsia="zh-CN"/>
        </w:rPr>
        <w:t>318.64</w:t>
      </w:r>
      <w:r>
        <w:rPr>
          <w:rFonts w:hint="eastAsia" w:ascii="仿宋" w:hAnsi="仿宋" w:eastAsia="仿宋"/>
          <w:sz w:val="32"/>
          <w:szCs w:val="32"/>
        </w:rPr>
        <w:t>万元，主要用于以下方面</w:t>
      </w:r>
      <w:r>
        <w:rPr>
          <w:rFonts w:hint="eastAsia" w:ascii="仿宋" w:hAnsi="仿宋" w:eastAsia="仿宋"/>
          <w:sz w:val="32"/>
          <w:szCs w:val="32"/>
          <w:lang w:eastAsia="zh-CN"/>
        </w:rPr>
        <w:t>：</w:t>
      </w:r>
      <w:r>
        <w:rPr>
          <w:rFonts w:hint="eastAsia" w:ascii="仿宋" w:hAnsi="仿宋" w:eastAsia="仿宋"/>
          <w:b/>
          <w:sz w:val="32"/>
          <w:szCs w:val="32"/>
        </w:rPr>
        <w:t>教育支出</w:t>
      </w:r>
      <w:r>
        <w:rPr>
          <w:rFonts w:hint="eastAsia" w:ascii="仿宋" w:hAnsi="仿宋" w:eastAsia="仿宋"/>
          <w:sz w:val="32"/>
          <w:szCs w:val="32"/>
        </w:rPr>
        <w:t>268.05万元，占84.</w:t>
      </w:r>
      <w:r>
        <w:rPr>
          <w:rFonts w:hint="eastAsia" w:ascii="仿宋" w:hAnsi="仿宋" w:eastAsia="仿宋"/>
          <w:sz w:val="32"/>
          <w:szCs w:val="32"/>
          <w:lang w:val="en-US" w:eastAsia="zh-CN"/>
        </w:rPr>
        <w:t>12</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sz w:val="32"/>
          <w:szCs w:val="32"/>
        </w:rPr>
        <w:t>27.65万元，占8.6</w:t>
      </w:r>
      <w:r>
        <w:rPr>
          <w:rFonts w:hint="eastAsia" w:ascii="仿宋" w:hAnsi="仿宋" w:eastAsia="仿宋"/>
          <w:sz w:val="32"/>
          <w:szCs w:val="32"/>
          <w:lang w:val="en-US" w:eastAsia="zh-CN"/>
        </w:rPr>
        <w:t>8</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rPr>
        <w:t>6.69万元，占2.1</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sz w:val="32"/>
          <w:szCs w:val="32"/>
        </w:rPr>
        <w:t>16.25万元，占5.</w:t>
      </w:r>
      <w:r>
        <w:rPr>
          <w:rFonts w:hint="eastAsia" w:ascii="仿宋" w:hAnsi="仿宋" w:eastAsia="仿宋"/>
          <w:sz w:val="32"/>
          <w:szCs w:val="32"/>
          <w:lang w:val="en-US" w:eastAsia="zh-CN"/>
        </w:rPr>
        <w:t>10</w:t>
      </w:r>
      <w:r>
        <w:rPr>
          <w:rFonts w:ascii="仿宋" w:hAnsi="仿宋" w:eastAsia="仿宋"/>
          <w:sz w:val="32"/>
          <w:szCs w:val="32"/>
        </w:rPr>
        <w:t>%</w:t>
      </w:r>
      <w:r>
        <w:rPr>
          <w:rFonts w:hint="eastAsia" w:ascii="仿宋" w:hAnsi="仿宋" w:eastAsia="仿宋"/>
          <w:sz w:val="32"/>
          <w:szCs w:val="32"/>
        </w:rPr>
        <w:t>。</w:t>
      </w:r>
    </w:p>
    <w:p w14:paraId="79E19003">
      <w:pPr>
        <w:spacing w:line="600" w:lineRule="exact"/>
        <w:ind w:firstLine="643" w:firstLineChars="200"/>
        <w:outlineLvl w:val="2"/>
        <w:rPr>
          <w:rFonts w:ascii="仿宋" w:hAnsi="仿宋" w:eastAsia="仿宋"/>
          <w:b/>
          <w:sz w:val="32"/>
          <w:szCs w:val="32"/>
        </w:rPr>
      </w:pPr>
      <w:bookmarkStart w:id="30" w:name="_Toc15377212"/>
      <w:r>
        <w:rPr>
          <w:rFonts w:ascii="仿宋" w:hAnsi="仿宋" w:eastAsia="仿宋"/>
          <w:b/>
          <w:sz w:val="32"/>
          <w:szCs w:val="32"/>
        </w:rPr>
        <w:drawing>
          <wp:anchor distT="0" distB="0" distL="114300" distR="114300" simplePos="0" relativeHeight="251662336" behindDoc="0" locked="0" layoutInCell="1" allowOverlap="1">
            <wp:simplePos x="0" y="0"/>
            <wp:positionH relativeFrom="column">
              <wp:posOffset>468630</wp:posOffset>
            </wp:positionH>
            <wp:positionV relativeFrom="paragraph">
              <wp:posOffset>31115</wp:posOffset>
            </wp:positionV>
            <wp:extent cx="4381500" cy="1609725"/>
            <wp:effectExtent l="19050" t="0" r="19050" b="0"/>
            <wp:wrapNone/>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62812330">
      <w:pPr>
        <w:spacing w:line="600" w:lineRule="exact"/>
        <w:outlineLvl w:val="2"/>
        <w:rPr>
          <w:rFonts w:ascii="仿宋" w:hAnsi="仿宋" w:eastAsia="仿宋"/>
          <w:b/>
          <w:sz w:val="32"/>
          <w:szCs w:val="32"/>
        </w:rPr>
      </w:pPr>
    </w:p>
    <w:p w14:paraId="2A11DC5D">
      <w:pPr>
        <w:numPr>
          <w:ilvl w:val="0"/>
          <w:numId w:val="3"/>
        </w:numPr>
        <w:spacing w:line="600" w:lineRule="exact"/>
        <w:ind w:firstLine="640" w:firstLineChars="200"/>
        <w:outlineLvl w:val="2"/>
        <w:rPr>
          <w:rFonts w:hint="eastAsia" w:ascii="楷体" w:hAnsi="楷体" w:eastAsia="楷体" w:cs="楷体"/>
          <w:b w:val="0"/>
          <w:bCs/>
          <w:sz w:val="32"/>
          <w:szCs w:val="32"/>
        </w:rPr>
      </w:pPr>
      <w:r>
        <w:rPr>
          <w:rFonts w:hint="eastAsia" w:ascii="楷体" w:hAnsi="楷体" w:eastAsia="楷体" w:cs="楷体"/>
          <w:b w:val="0"/>
          <w:bCs/>
          <w:sz w:val="32"/>
          <w:szCs w:val="32"/>
        </w:rPr>
        <w:t>一般公共预算财政拨款支出决算具体情况</w:t>
      </w:r>
      <w:bookmarkEnd w:id="30"/>
    </w:p>
    <w:p w14:paraId="591EE185">
      <w:pPr>
        <w:pStyle w:val="2"/>
        <w:widowControl w:val="0"/>
        <w:numPr>
          <w:ilvl w:val="0"/>
          <w:numId w:val="0"/>
        </w:numPr>
        <w:snapToGrid w:val="0"/>
        <w:jc w:val="left"/>
        <w:rPr>
          <w:rFonts w:hint="eastAsia"/>
        </w:rPr>
      </w:pPr>
    </w:p>
    <w:p w14:paraId="7FE4F980">
      <w:pPr>
        <w:rPr>
          <w:rFonts w:hint="eastAsia"/>
        </w:rPr>
      </w:pPr>
    </w:p>
    <w:p w14:paraId="4AD5F031">
      <w:pPr>
        <w:spacing w:line="600" w:lineRule="exact"/>
        <w:ind w:firstLine="640" w:firstLineChars="200"/>
        <w:outlineLvl w:val="2"/>
        <w:rPr>
          <w:rFonts w:ascii="仿宋" w:hAnsi="仿宋" w:eastAsia="仿宋"/>
          <w:b w:val="0"/>
          <w:bCs/>
          <w:sz w:val="32"/>
          <w:szCs w:val="32"/>
        </w:rPr>
      </w:pPr>
      <w:bookmarkStart w:id="31" w:name="_Toc15377444"/>
      <w:bookmarkStart w:id="32" w:name="_Toc15377213"/>
      <w:bookmarkStart w:id="33" w:name="_Toc15378460"/>
      <w:r>
        <w:rPr>
          <w:rFonts w:hint="eastAsia" w:ascii="仿宋" w:hAnsi="仿宋" w:eastAsia="仿宋"/>
          <w:b w:val="0"/>
          <w:bCs/>
          <w:sz w:val="32"/>
          <w:szCs w:val="32"/>
        </w:rPr>
        <w:t>202</w:t>
      </w:r>
      <w:r>
        <w:rPr>
          <w:rFonts w:hint="eastAsia" w:ascii="仿宋" w:hAnsi="仿宋" w:eastAsia="仿宋"/>
          <w:b w:val="0"/>
          <w:bCs/>
          <w:sz w:val="32"/>
          <w:szCs w:val="32"/>
          <w:lang w:val="en-US" w:eastAsia="zh-CN"/>
        </w:rPr>
        <w:t>4</w:t>
      </w:r>
      <w:r>
        <w:rPr>
          <w:rFonts w:hint="eastAsia" w:ascii="仿宋" w:hAnsi="仿宋" w:eastAsia="仿宋"/>
          <w:b w:val="0"/>
          <w:bCs/>
          <w:sz w:val="32"/>
          <w:szCs w:val="32"/>
        </w:rPr>
        <w:t>年一般公共预算支出决算数为</w:t>
      </w:r>
      <w:r>
        <w:rPr>
          <w:rFonts w:hint="eastAsia" w:ascii="仿宋" w:hAnsi="仿宋" w:eastAsia="仿宋"/>
          <w:b w:val="0"/>
          <w:bCs/>
          <w:sz w:val="32"/>
          <w:szCs w:val="32"/>
          <w:lang w:val="en-US" w:eastAsia="zh-CN"/>
        </w:rPr>
        <w:t>318.64</w:t>
      </w:r>
      <w:r>
        <w:rPr>
          <w:rFonts w:hint="eastAsia" w:ascii="仿宋" w:hAnsi="仿宋" w:eastAsia="仿宋"/>
          <w:b w:val="0"/>
          <w:bCs/>
          <w:sz w:val="32"/>
          <w:szCs w:val="32"/>
        </w:rPr>
        <w:t>万元，</w:t>
      </w:r>
      <w:r>
        <w:rPr>
          <w:rStyle w:val="15"/>
          <w:rFonts w:hint="eastAsia" w:ascii="仿宋" w:hAnsi="仿宋" w:eastAsia="仿宋"/>
          <w:b w:val="0"/>
          <w:bCs/>
          <w:sz w:val="32"/>
          <w:szCs w:val="32"/>
        </w:rPr>
        <w:t>完成预算100</w:t>
      </w:r>
      <w:r>
        <w:rPr>
          <w:rStyle w:val="15"/>
          <w:rFonts w:ascii="仿宋" w:hAnsi="仿宋" w:eastAsia="仿宋"/>
          <w:b w:val="0"/>
          <w:bCs/>
          <w:sz w:val="32"/>
          <w:szCs w:val="32"/>
        </w:rPr>
        <w:t>%</w:t>
      </w:r>
      <w:r>
        <w:rPr>
          <w:rStyle w:val="15"/>
          <w:rFonts w:hint="eastAsia" w:ascii="仿宋" w:hAnsi="仿宋" w:eastAsia="仿宋"/>
          <w:b w:val="0"/>
          <w:bCs/>
          <w:sz w:val="32"/>
          <w:szCs w:val="32"/>
        </w:rPr>
        <w:t>。其中：</w:t>
      </w:r>
      <w:bookmarkEnd w:id="31"/>
      <w:bookmarkEnd w:id="32"/>
      <w:bookmarkEnd w:id="33"/>
    </w:p>
    <w:p w14:paraId="49FF7E0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Style w:val="15"/>
          <w:rFonts w:ascii="仿宋" w:hAnsi="仿宋" w:eastAsia="仿宋"/>
          <w:b w:val="0"/>
          <w:bCs/>
          <w:sz w:val="32"/>
          <w:szCs w:val="32"/>
        </w:rPr>
      </w:pPr>
      <w:r>
        <w:rPr>
          <w:rStyle w:val="15"/>
          <w:rFonts w:hint="eastAsia" w:ascii="仿宋" w:hAnsi="仿宋" w:eastAsia="仿宋"/>
          <w:b w:val="0"/>
          <w:bCs/>
          <w:color w:val="000000"/>
          <w:sz w:val="32"/>
          <w:szCs w:val="32"/>
          <w:lang w:val="en-US" w:eastAsia="zh-CN"/>
        </w:rPr>
        <w:t>1.</w:t>
      </w:r>
      <w:r>
        <w:rPr>
          <w:rStyle w:val="15"/>
          <w:rFonts w:hint="eastAsia" w:ascii="仿宋" w:hAnsi="仿宋" w:eastAsia="仿宋"/>
          <w:b w:val="0"/>
          <w:bCs/>
          <w:color w:val="000000"/>
          <w:sz w:val="32"/>
          <w:szCs w:val="32"/>
        </w:rPr>
        <w:t>教育（类）普通教育（款）学前教育（项）</w:t>
      </w:r>
      <w:r>
        <w:rPr>
          <w:rStyle w:val="15"/>
          <w:rFonts w:hint="eastAsia" w:ascii="仿宋" w:hAnsi="仿宋" w:eastAsia="仿宋"/>
          <w:b w:val="0"/>
          <w:bCs/>
          <w:color w:val="000000"/>
          <w:sz w:val="32"/>
          <w:szCs w:val="32"/>
          <w:lang w:eastAsia="zh-CN"/>
        </w:rPr>
        <w:t>：</w:t>
      </w:r>
      <w:r>
        <w:rPr>
          <w:rStyle w:val="15"/>
          <w:rFonts w:ascii="仿宋" w:hAnsi="仿宋" w:eastAsia="仿宋"/>
          <w:b w:val="0"/>
          <w:bCs/>
          <w:sz w:val="32"/>
          <w:szCs w:val="32"/>
        </w:rPr>
        <w:t xml:space="preserve"> </w:t>
      </w:r>
      <w:r>
        <w:rPr>
          <w:rStyle w:val="15"/>
          <w:rFonts w:hint="eastAsia" w:ascii="仿宋" w:hAnsi="仿宋" w:eastAsia="仿宋"/>
          <w:b w:val="0"/>
          <w:bCs/>
          <w:sz w:val="32"/>
          <w:szCs w:val="32"/>
        </w:rPr>
        <w:t>支出决算为44.86万元，完成预算100</w:t>
      </w:r>
      <w:r>
        <w:rPr>
          <w:rStyle w:val="15"/>
          <w:rFonts w:ascii="仿宋" w:hAnsi="仿宋" w:eastAsia="仿宋"/>
          <w:b w:val="0"/>
          <w:bCs/>
          <w:sz w:val="32"/>
          <w:szCs w:val="32"/>
        </w:rPr>
        <w:t>%</w:t>
      </w:r>
      <w:r>
        <w:rPr>
          <w:rStyle w:val="15"/>
          <w:rFonts w:hint="eastAsia" w:ascii="仿宋" w:hAnsi="仿宋" w:eastAsia="仿宋"/>
          <w:b w:val="0"/>
          <w:bCs/>
          <w:sz w:val="32"/>
          <w:szCs w:val="32"/>
        </w:rPr>
        <w:t>。</w:t>
      </w:r>
    </w:p>
    <w:p w14:paraId="5EF5027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Style w:val="15"/>
          <w:rFonts w:ascii="仿宋" w:hAnsi="仿宋" w:eastAsia="仿宋"/>
          <w:b w:val="0"/>
          <w:bCs/>
          <w:sz w:val="32"/>
          <w:szCs w:val="32"/>
        </w:rPr>
      </w:pPr>
      <w:r>
        <w:rPr>
          <w:rStyle w:val="15"/>
          <w:rFonts w:hint="eastAsia" w:ascii="仿宋" w:hAnsi="仿宋" w:eastAsia="仿宋"/>
          <w:b w:val="0"/>
          <w:bCs/>
          <w:color w:val="000000"/>
          <w:sz w:val="32"/>
          <w:szCs w:val="32"/>
          <w:lang w:val="en-US" w:eastAsia="zh-CN"/>
        </w:rPr>
        <w:t>2.</w:t>
      </w:r>
      <w:r>
        <w:rPr>
          <w:rStyle w:val="15"/>
          <w:rFonts w:hint="eastAsia" w:ascii="仿宋" w:hAnsi="仿宋" w:eastAsia="仿宋"/>
          <w:b w:val="0"/>
          <w:bCs/>
          <w:color w:val="000000"/>
          <w:sz w:val="32"/>
          <w:szCs w:val="32"/>
        </w:rPr>
        <w:t>教育（类）普通教育（款）小学教育（项）：</w:t>
      </w:r>
      <w:r>
        <w:rPr>
          <w:rStyle w:val="15"/>
          <w:rFonts w:hint="eastAsia" w:ascii="仿宋" w:hAnsi="仿宋" w:eastAsia="仿宋"/>
          <w:b w:val="0"/>
          <w:bCs/>
          <w:sz w:val="32"/>
          <w:szCs w:val="32"/>
        </w:rPr>
        <w:t>支出决算为223.19万元，完成预算100</w:t>
      </w:r>
      <w:r>
        <w:rPr>
          <w:rStyle w:val="15"/>
          <w:rFonts w:ascii="仿宋" w:hAnsi="仿宋" w:eastAsia="仿宋"/>
          <w:b w:val="0"/>
          <w:bCs/>
          <w:sz w:val="32"/>
          <w:szCs w:val="32"/>
        </w:rPr>
        <w:t>%</w:t>
      </w:r>
      <w:r>
        <w:rPr>
          <w:rStyle w:val="15"/>
          <w:rFonts w:hint="eastAsia" w:ascii="仿宋" w:hAnsi="仿宋" w:eastAsia="仿宋"/>
          <w:b w:val="0"/>
          <w:bCs/>
          <w:sz w:val="32"/>
          <w:szCs w:val="32"/>
        </w:rPr>
        <w:t>。</w:t>
      </w:r>
    </w:p>
    <w:p w14:paraId="108E9E4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Style w:val="15"/>
          <w:rFonts w:ascii="仿宋" w:hAnsi="仿宋" w:eastAsia="仿宋"/>
          <w:b w:val="0"/>
          <w:bCs/>
          <w:color w:val="000000"/>
          <w:sz w:val="32"/>
          <w:szCs w:val="32"/>
        </w:rPr>
      </w:pPr>
      <w:r>
        <w:rPr>
          <w:rStyle w:val="15"/>
          <w:rFonts w:hint="eastAsia" w:ascii="仿宋" w:hAnsi="仿宋" w:eastAsia="仿宋"/>
          <w:b w:val="0"/>
          <w:bCs/>
          <w:color w:val="000000"/>
          <w:sz w:val="32"/>
          <w:szCs w:val="32"/>
          <w:lang w:val="en-US" w:eastAsia="zh-CN"/>
        </w:rPr>
        <w:t>3.</w:t>
      </w:r>
      <w:r>
        <w:rPr>
          <w:rStyle w:val="15"/>
          <w:rFonts w:hint="eastAsia" w:ascii="仿宋" w:hAnsi="仿宋" w:eastAsia="仿宋"/>
          <w:b w:val="0"/>
          <w:bCs/>
          <w:color w:val="000000"/>
          <w:sz w:val="32"/>
          <w:szCs w:val="32"/>
        </w:rPr>
        <w:t>社会保障和就业支出（类）行政事业单位养老支出（款）机关事业单位基本养老保险缴费支出（项）</w:t>
      </w:r>
      <w:r>
        <w:rPr>
          <w:rStyle w:val="15"/>
          <w:rFonts w:hint="eastAsia" w:ascii="仿宋" w:hAnsi="仿宋" w:eastAsia="仿宋"/>
          <w:b w:val="0"/>
          <w:bCs/>
          <w:color w:val="000000"/>
          <w:sz w:val="32"/>
          <w:szCs w:val="32"/>
          <w:lang w:eastAsia="zh-CN"/>
        </w:rPr>
        <w:t>：</w:t>
      </w:r>
      <w:r>
        <w:rPr>
          <w:rStyle w:val="15"/>
          <w:rFonts w:hint="eastAsia" w:ascii="仿宋" w:hAnsi="仿宋" w:eastAsia="仿宋"/>
          <w:b w:val="0"/>
          <w:bCs/>
          <w:color w:val="000000"/>
          <w:sz w:val="32"/>
          <w:szCs w:val="32"/>
        </w:rPr>
        <w:t>支出决算为16.56万元，完成预算100%。</w:t>
      </w:r>
    </w:p>
    <w:p w14:paraId="14B6FF0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Style w:val="15"/>
          <w:rFonts w:ascii="仿宋" w:hAnsi="仿宋" w:eastAsia="仿宋"/>
          <w:b w:val="0"/>
          <w:bCs/>
          <w:color w:val="000000"/>
          <w:sz w:val="32"/>
          <w:szCs w:val="32"/>
        </w:rPr>
      </w:pPr>
      <w:r>
        <w:rPr>
          <w:rStyle w:val="15"/>
          <w:rFonts w:hint="eastAsia" w:ascii="仿宋" w:hAnsi="仿宋" w:eastAsia="仿宋"/>
          <w:b w:val="0"/>
          <w:bCs/>
          <w:color w:val="000000"/>
          <w:sz w:val="32"/>
          <w:szCs w:val="32"/>
          <w:lang w:val="en-US" w:eastAsia="zh-CN"/>
        </w:rPr>
        <w:t>4.</w:t>
      </w:r>
      <w:r>
        <w:rPr>
          <w:rStyle w:val="15"/>
          <w:rFonts w:hint="eastAsia" w:ascii="仿宋" w:hAnsi="仿宋" w:eastAsia="仿宋"/>
          <w:b w:val="0"/>
          <w:bCs/>
          <w:color w:val="000000"/>
          <w:sz w:val="32"/>
          <w:szCs w:val="32"/>
        </w:rPr>
        <w:t>社会保障和就业支出（类）行政事业单位养老支出（款）机关事业单位职业年金缴费支出（项）</w:t>
      </w:r>
      <w:r>
        <w:rPr>
          <w:rStyle w:val="15"/>
          <w:rFonts w:hint="eastAsia" w:ascii="仿宋" w:hAnsi="仿宋" w:eastAsia="仿宋"/>
          <w:b w:val="0"/>
          <w:bCs/>
          <w:color w:val="000000"/>
          <w:sz w:val="32"/>
          <w:szCs w:val="32"/>
          <w:lang w:eastAsia="zh-CN"/>
        </w:rPr>
        <w:t>：</w:t>
      </w:r>
      <w:r>
        <w:rPr>
          <w:rStyle w:val="15"/>
          <w:rFonts w:hint="eastAsia" w:ascii="仿宋" w:hAnsi="仿宋" w:eastAsia="仿宋"/>
          <w:b w:val="0"/>
          <w:bCs/>
          <w:color w:val="000000"/>
          <w:sz w:val="32"/>
          <w:szCs w:val="32"/>
        </w:rPr>
        <w:t>出决算为8.28万元，完成预算100%。</w:t>
      </w:r>
    </w:p>
    <w:p w14:paraId="3E8ADC7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Style w:val="15"/>
          <w:rFonts w:ascii="仿宋" w:hAnsi="仿宋" w:eastAsia="仿宋"/>
          <w:b w:val="0"/>
          <w:bCs/>
          <w:color w:val="000000"/>
          <w:sz w:val="32"/>
          <w:szCs w:val="32"/>
        </w:rPr>
      </w:pPr>
      <w:r>
        <w:rPr>
          <w:rStyle w:val="15"/>
          <w:rFonts w:hint="eastAsia" w:ascii="仿宋" w:hAnsi="仿宋" w:eastAsia="仿宋"/>
          <w:b w:val="0"/>
          <w:bCs/>
          <w:color w:val="000000"/>
          <w:sz w:val="32"/>
          <w:szCs w:val="32"/>
          <w:lang w:val="en-US" w:eastAsia="zh-CN"/>
        </w:rPr>
        <w:t>5.</w:t>
      </w:r>
      <w:r>
        <w:rPr>
          <w:rStyle w:val="15"/>
          <w:rFonts w:hint="eastAsia" w:ascii="仿宋" w:hAnsi="仿宋" w:eastAsia="仿宋"/>
          <w:b w:val="0"/>
          <w:bCs/>
          <w:color w:val="000000"/>
          <w:sz w:val="32"/>
          <w:szCs w:val="32"/>
        </w:rPr>
        <w:t>社会保障和就业（类）其他社会保障和就业支出（款）其他社会保障和就业支出（项）</w:t>
      </w:r>
      <w:r>
        <w:rPr>
          <w:rStyle w:val="15"/>
          <w:rFonts w:hint="eastAsia" w:ascii="仿宋" w:hAnsi="仿宋" w:eastAsia="仿宋"/>
          <w:b w:val="0"/>
          <w:bCs/>
          <w:color w:val="000000"/>
          <w:sz w:val="32"/>
          <w:szCs w:val="32"/>
          <w:lang w:eastAsia="zh-CN"/>
        </w:rPr>
        <w:t>：</w:t>
      </w:r>
      <w:r>
        <w:rPr>
          <w:rStyle w:val="15"/>
          <w:rFonts w:hint="eastAsia" w:ascii="仿宋" w:hAnsi="仿宋" w:eastAsia="仿宋"/>
          <w:b w:val="0"/>
          <w:bCs/>
          <w:color w:val="000000"/>
          <w:sz w:val="32"/>
          <w:szCs w:val="32"/>
        </w:rPr>
        <w:t>支出决算为2.81万元，完成预算100%。</w:t>
      </w:r>
    </w:p>
    <w:p w14:paraId="580EB5E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Style w:val="15"/>
          <w:rFonts w:ascii="仿宋" w:hAnsi="仿宋" w:eastAsia="仿宋"/>
          <w:b w:val="0"/>
          <w:bCs/>
          <w:color w:val="000000"/>
          <w:sz w:val="32"/>
          <w:szCs w:val="32"/>
        </w:rPr>
      </w:pPr>
      <w:r>
        <w:rPr>
          <w:rStyle w:val="15"/>
          <w:rFonts w:hint="eastAsia" w:ascii="仿宋" w:hAnsi="仿宋" w:eastAsia="仿宋"/>
          <w:b w:val="0"/>
          <w:bCs/>
          <w:color w:val="000000"/>
          <w:sz w:val="32"/>
          <w:szCs w:val="32"/>
          <w:lang w:val="en-US" w:eastAsia="zh-CN"/>
        </w:rPr>
        <w:t>6.</w:t>
      </w:r>
      <w:r>
        <w:rPr>
          <w:rStyle w:val="15"/>
          <w:rFonts w:hint="eastAsia" w:ascii="仿宋" w:hAnsi="仿宋" w:eastAsia="仿宋"/>
          <w:b w:val="0"/>
          <w:bCs/>
          <w:color w:val="000000"/>
          <w:sz w:val="32"/>
          <w:szCs w:val="32"/>
        </w:rPr>
        <w:t>卫生健康支出（类）行政事业单位医疗（款）事业</w:t>
      </w:r>
      <w:r>
        <w:rPr>
          <w:rStyle w:val="15"/>
          <w:rFonts w:hint="eastAsia" w:ascii="仿宋" w:hAnsi="仿宋" w:eastAsia="仿宋"/>
          <w:b w:val="0"/>
          <w:bCs/>
          <w:color w:val="000000"/>
          <w:sz w:val="32"/>
          <w:szCs w:val="32"/>
          <w:lang w:eastAsia="zh-CN"/>
        </w:rPr>
        <w:t>单位</w:t>
      </w:r>
      <w:r>
        <w:rPr>
          <w:rStyle w:val="15"/>
          <w:rFonts w:hint="eastAsia" w:ascii="仿宋" w:hAnsi="仿宋" w:eastAsia="仿宋"/>
          <w:b w:val="0"/>
          <w:bCs/>
          <w:color w:val="000000"/>
          <w:sz w:val="32"/>
          <w:szCs w:val="32"/>
        </w:rPr>
        <w:t>医疗（项）：支出决算为6.69万元，完成预算100%。</w:t>
      </w:r>
    </w:p>
    <w:p w14:paraId="1961380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Style w:val="15"/>
          <w:rFonts w:ascii="仿宋" w:hAnsi="仿宋" w:eastAsia="仿宋"/>
          <w:b w:val="0"/>
          <w:bCs/>
          <w:color w:val="000000"/>
          <w:sz w:val="32"/>
          <w:szCs w:val="32"/>
        </w:rPr>
      </w:pPr>
      <w:r>
        <w:rPr>
          <w:rStyle w:val="15"/>
          <w:rFonts w:hint="eastAsia" w:ascii="仿宋" w:hAnsi="仿宋" w:eastAsia="仿宋"/>
          <w:b w:val="0"/>
          <w:bCs/>
          <w:color w:val="000000"/>
          <w:sz w:val="32"/>
          <w:szCs w:val="32"/>
          <w:lang w:val="en-US" w:eastAsia="zh-CN"/>
        </w:rPr>
        <w:t>7.</w:t>
      </w:r>
      <w:r>
        <w:rPr>
          <w:rStyle w:val="15"/>
          <w:rFonts w:hint="eastAsia" w:ascii="仿宋" w:hAnsi="仿宋" w:eastAsia="仿宋"/>
          <w:b w:val="0"/>
          <w:bCs/>
          <w:color w:val="000000"/>
          <w:sz w:val="32"/>
          <w:szCs w:val="32"/>
        </w:rPr>
        <w:t>住房保障支出（类）住房改革支出（款）住房公积金支出（项）</w:t>
      </w:r>
      <w:r>
        <w:rPr>
          <w:rStyle w:val="15"/>
          <w:rFonts w:hint="eastAsia" w:ascii="仿宋" w:hAnsi="仿宋" w:eastAsia="仿宋"/>
          <w:b w:val="0"/>
          <w:bCs/>
          <w:color w:val="000000"/>
          <w:sz w:val="32"/>
          <w:szCs w:val="32"/>
          <w:lang w:eastAsia="zh-CN"/>
        </w:rPr>
        <w:t>：</w:t>
      </w:r>
      <w:r>
        <w:rPr>
          <w:rStyle w:val="15"/>
          <w:rFonts w:hint="eastAsia" w:ascii="仿宋" w:hAnsi="仿宋" w:eastAsia="仿宋"/>
          <w:b w:val="0"/>
          <w:bCs/>
          <w:color w:val="000000"/>
          <w:sz w:val="32"/>
          <w:szCs w:val="32"/>
        </w:rPr>
        <w:t>支出决算为16.25万元，完成预算100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w:t>
      </w:r>
    </w:p>
    <w:p w14:paraId="1A52768E">
      <w:pPr>
        <w:tabs>
          <w:tab w:val="right" w:pos="8306"/>
        </w:tabs>
        <w:spacing w:line="600" w:lineRule="exact"/>
        <w:ind w:firstLine="640"/>
        <w:outlineLvl w:val="1"/>
        <w:rPr>
          <w:rFonts w:ascii="黑体" w:eastAsia="黑体"/>
          <w:sz w:val="32"/>
          <w:szCs w:val="32"/>
        </w:rPr>
      </w:pPr>
      <w:bookmarkStart w:id="34" w:name="_Toc15396608"/>
      <w:bookmarkStart w:id="35" w:name="_Toc15377214"/>
    </w:p>
    <w:p w14:paraId="06B18EBA">
      <w:pPr>
        <w:tabs>
          <w:tab w:val="right" w:pos="8306"/>
        </w:tabs>
        <w:spacing w:line="600" w:lineRule="exact"/>
        <w:ind w:firstLine="640"/>
        <w:outlineLvl w:val="1"/>
        <w:rPr>
          <w:rFonts w:hint="eastAsia" w:ascii="黑体" w:eastAsia="黑体"/>
          <w:sz w:val="32"/>
          <w:szCs w:val="32"/>
        </w:rPr>
      </w:pPr>
    </w:p>
    <w:p w14:paraId="06BF082E">
      <w:pPr>
        <w:pStyle w:val="2"/>
        <w:rPr>
          <w:rFonts w:hint="eastAsia" w:ascii="黑体" w:eastAsia="黑体"/>
          <w:sz w:val="32"/>
          <w:szCs w:val="32"/>
        </w:rPr>
      </w:pPr>
    </w:p>
    <w:p w14:paraId="16CCE15F">
      <w:pPr>
        <w:tabs>
          <w:tab w:val="right" w:pos="8306"/>
        </w:tabs>
        <w:spacing w:line="600" w:lineRule="exact"/>
        <w:outlineLvl w:val="1"/>
        <w:rPr>
          <w:rFonts w:hint="eastAsia" w:ascii="黑体" w:eastAsia="黑体"/>
          <w:sz w:val="32"/>
          <w:szCs w:val="32"/>
        </w:rPr>
      </w:pPr>
    </w:p>
    <w:p w14:paraId="7794D434">
      <w:pPr>
        <w:tabs>
          <w:tab w:val="right" w:pos="8306"/>
        </w:tabs>
        <w:spacing w:line="600" w:lineRule="exact"/>
        <w:ind w:firstLine="640"/>
        <w:outlineLvl w:val="1"/>
        <w:rPr>
          <w:rStyle w:val="18"/>
        </w:rPr>
      </w:pPr>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18"/>
          <w:rFonts w:hint="eastAsia" w:ascii="黑体" w:hAnsi="黑体" w:eastAsia="黑体"/>
          <w:b w:val="0"/>
        </w:rPr>
        <w:t>般公共预算财政拨款基本支出决算情况说明</w:t>
      </w:r>
      <w:bookmarkEnd w:id="34"/>
      <w:bookmarkEnd w:id="35"/>
      <w:r>
        <w:rPr>
          <w:rStyle w:val="18"/>
          <w:rFonts w:ascii="黑体" w:hAnsi="黑体" w:eastAsia="黑体"/>
          <w:b w:val="0"/>
        </w:rPr>
        <w:tab/>
      </w:r>
    </w:p>
    <w:p w14:paraId="69CFC735">
      <w:pPr>
        <w:spacing w:line="600" w:lineRule="exact"/>
        <w:ind w:firstLine="645"/>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4</w:t>
      </w:r>
      <w:r>
        <w:rPr>
          <w:rFonts w:hint="eastAsia" w:ascii="仿宋" w:hAnsi="仿宋" w:eastAsia="仿宋"/>
          <w:sz w:val="32"/>
          <w:szCs w:val="32"/>
        </w:rPr>
        <w:t>年一般公共预算财政拨款基本支出228.67万元，其中：</w:t>
      </w:r>
    </w:p>
    <w:p w14:paraId="5081F377">
      <w:pPr>
        <w:spacing w:line="600" w:lineRule="exact"/>
        <w:ind w:firstLine="645"/>
        <w:rPr>
          <w:rFonts w:ascii="仿宋" w:hAnsi="仿宋" w:eastAsia="仿宋"/>
          <w:sz w:val="32"/>
          <w:szCs w:val="32"/>
        </w:rPr>
      </w:pPr>
      <w:r>
        <w:rPr>
          <w:rFonts w:hint="eastAsia" w:ascii="仿宋" w:hAnsi="仿宋" w:eastAsia="仿宋"/>
          <w:sz w:val="32"/>
          <w:szCs w:val="32"/>
        </w:rPr>
        <w:t>人员经费223.79万元，主要包括：基本工资、津贴补贴、伙食补助费、绩效工资、机关事业单位基本养老保险缴费、职业年金缴费、 职工基本医疗保险缴费、公务员医疗补助缴费、其他社会保障缴费、住房公积金、其他工资福利支出、对个人和家庭的补助、生活补助等。</w:t>
      </w:r>
    </w:p>
    <w:p w14:paraId="6C5E0790">
      <w:pPr>
        <w:spacing w:line="600" w:lineRule="exact"/>
        <w:ind w:firstLine="645"/>
        <w:rPr>
          <w:rFonts w:ascii="仿宋" w:hAnsi="仿宋" w:eastAsia="仿宋"/>
          <w:sz w:val="32"/>
          <w:szCs w:val="32"/>
        </w:rPr>
      </w:pPr>
      <w:r>
        <w:rPr>
          <w:rFonts w:hint="eastAsia" w:ascii="仿宋" w:hAnsi="仿宋" w:eastAsia="仿宋"/>
          <w:sz w:val="32"/>
          <w:szCs w:val="32"/>
        </w:rPr>
        <w:t>公用经费4.88万元，主要包括：工会经费、福利费</w:t>
      </w:r>
      <w:r>
        <w:rPr>
          <w:rFonts w:hint="eastAsia" w:ascii="仿宋" w:hAnsi="仿宋" w:eastAsia="仿宋"/>
          <w:sz w:val="32"/>
          <w:szCs w:val="32"/>
          <w:lang w:eastAsia="zh-CN"/>
        </w:rPr>
        <w:t>、</w:t>
      </w:r>
      <w:r>
        <w:rPr>
          <w:rFonts w:hint="eastAsia" w:ascii="仿宋" w:hAnsi="仿宋" w:eastAsia="仿宋"/>
          <w:sz w:val="32"/>
          <w:szCs w:val="32"/>
        </w:rPr>
        <w:t>培训费、差旅费。</w:t>
      </w:r>
    </w:p>
    <w:p w14:paraId="05845B43">
      <w:pPr>
        <w:spacing w:line="600" w:lineRule="exact"/>
        <w:outlineLvl w:val="1"/>
        <w:rPr>
          <w:rStyle w:val="18"/>
          <w:rFonts w:ascii="黑体" w:hAnsi="黑体" w:eastAsia="黑体"/>
          <w:b w:val="0"/>
        </w:rPr>
      </w:pPr>
      <w:bookmarkStart w:id="36" w:name="_Toc15377215"/>
      <w:bookmarkStart w:id="37" w:name="_Toc15396609"/>
      <w:r>
        <w:rPr>
          <w:rFonts w:hint="eastAsia" w:ascii="黑体" w:eastAsia="黑体"/>
          <w:sz w:val="32"/>
          <w:szCs w:val="32"/>
        </w:rPr>
        <w:t>七、</w:t>
      </w:r>
      <w:r>
        <w:rPr>
          <w:rStyle w:val="18"/>
          <w:rFonts w:hint="eastAsia" w:ascii="黑体" w:hAnsi="黑体" w:eastAsia="黑体"/>
          <w:b w:val="0"/>
        </w:rPr>
        <w:t>财政拨款</w:t>
      </w:r>
      <w:r>
        <w:rPr>
          <w:rStyle w:val="18"/>
          <w:rFonts w:hint="eastAsia" w:ascii="黑体" w:hAnsi="黑体" w:eastAsia="黑体"/>
        </w:rPr>
        <w:t>“</w:t>
      </w:r>
      <w:r>
        <w:rPr>
          <w:rStyle w:val="18"/>
          <w:rFonts w:hint="eastAsia" w:ascii="黑体" w:hAnsi="黑体" w:eastAsia="黑体"/>
          <w:b w:val="0"/>
        </w:rPr>
        <w:t>三公”经费支出决算情况说明</w:t>
      </w:r>
      <w:bookmarkEnd w:id="36"/>
      <w:bookmarkEnd w:id="37"/>
    </w:p>
    <w:p w14:paraId="02D7AB82">
      <w:pPr>
        <w:spacing w:line="600" w:lineRule="exact"/>
        <w:ind w:firstLine="640"/>
        <w:outlineLvl w:val="2"/>
        <w:rPr>
          <w:rFonts w:hint="eastAsia" w:ascii="楷体" w:hAnsi="楷体" w:eastAsia="楷体" w:cs="楷体"/>
          <w:b w:val="0"/>
          <w:bCs/>
          <w:sz w:val="32"/>
          <w:szCs w:val="32"/>
        </w:rPr>
      </w:pPr>
      <w:bookmarkStart w:id="38" w:name="_Toc15377216"/>
      <w:r>
        <w:rPr>
          <w:rFonts w:hint="eastAsia" w:ascii="楷体" w:hAnsi="楷体" w:eastAsia="楷体" w:cs="楷体"/>
          <w:b w:val="0"/>
          <w:bCs/>
          <w:sz w:val="32"/>
          <w:szCs w:val="32"/>
        </w:rPr>
        <w:t>（一）“三公”经费财政拨款支出决算总体情况说明</w:t>
      </w:r>
      <w:bookmarkEnd w:id="38"/>
    </w:p>
    <w:p w14:paraId="4352C69F">
      <w:pPr>
        <w:spacing w:line="600" w:lineRule="exact"/>
        <w:ind w:firstLine="640"/>
        <w:rPr>
          <w:rFonts w:ascii="仿宋" w:hAnsi="仿宋" w:eastAsia="仿宋"/>
          <w:b/>
          <w:sz w:val="32"/>
          <w:szCs w:val="32"/>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4</w:t>
      </w:r>
      <w:r>
        <w:rPr>
          <w:rFonts w:hint="eastAsia" w:ascii="仿宋" w:hAnsi="仿宋" w:eastAsia="仿宋"/>
          <w:sz w:val="32"/>
          <w:szCs w:val="32"/>
        </w:rPr>
        <w:t>年“三公”经费财政拨款支出决算为</w:t>
      </w:r>
      <w:r>
        <w:rPr>
          <w:rFonts w:hint="eastAsia" w:ascii="仿宋" w:hAnsi="仿宋" w:eastAsia="仿宋"/>
          <w:sz w:val="32"/>
          <w:szCs w:val="32"/>
          <w:lang w:val="en-US" w:eastAsia="zh-CN"/>
        </w:rPr>
        <w:t>0.13</w:t>
      </w:r>
      <w:r>
        <w:rPr>
          <w:rFonts w:hint="eastAsia" w:ascii="仿宋" w:hAnsi="仿宋" w:eastAsia="仿宋"/>
          <w:sz w:val="32"/>
          <w:szCs w:val="32"/>
        </w:rPr>
        <w:t>万元，完成预算</w:t>
      </w:r>
      <w:r>
        <w:rPr>
          <w:rFonts w:hint="eastAsia" w:ascii="仿宋" w:hAnsi="仿宋" w:eastAsia="仿宋"/>
          <w:sz w:val="32"/>
          <w:szCs w:val="32"/>
          <w:lang w:val="en-US" w:eastAsia="zh-CN"/>
        </w:rPr>
        <w:t>100</w:t>
      </w:r>
      <w:r>
        <w:rPr>
          <w:rFonts w:ascii="仿宋" w:hAnsi="仿宋" w:eastAsia="仿宋"/>
          <w:sz w:val="32"/>
          <w:szCs w:val="32"/>
        </w:rPr>
        <w:t>%</w:t>
      </w:r>
      <w:r>
        <w:rPr>
          <w:rFonts w:hint="eastAsia" w:ascii="仿宋" w:hAnsi="仿宋" w:eastAsia="仿宋"/>
          <w:sz w:val="32"/>
          <w:szCs w:val="32"/>
        </w:rPr>
        <w:t>。</w:t>
      </w:r>
    </w:p>
    <w:p w14:paraId="3CA52A1E">
      <w:pPr>
        <w:spacing w:line="600" w:lineRule="exact"/>
        <w:ind w:firstLine="640"/>
        <w:outlineLvl w:val="2"/>
        <w:rPr>
          <w:rFonts w:hint="eastAsia" w:ascii="楷体" w:hAnsi="楷体" w:eastAsia="楷体" w:cs="楷体"/>
          <w:b w:val="0"/>
          <w:bCs/>
          <w:sz w:val="32"/>
          <w:szCs w:val="32"/>
        </w:rPr>
      </w:pPr>
      <w:bookmarkStart w:id="39" w:name="_Toc15377217"/>
      <w:r>
        <w:rPr>
          <w:rFonts w:hint="eastAsia" w:ascii="楷体" w:hAnsi="楷体" w:eastAsia="楷体" w:cs="楷体"/>
          <w:b w:val="0"/>
          <w:bCs/>
          <w:sz w:val="32"/>
          <w:szCs w:val="32"/>
        </w:rPr>
        <w:t>（二）“三公”经费财政拨款支出决算具体情况说明</w:t>
      </w:r>
      <w:bookmarkEnd w:id="39"/>
    </w:p>
    <w:p w14:paraId="34CB7810">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4</w:t>
      </w:r>
      <w:r>
        <w:rPr>
          <w:rFonts w:hint="eastAsia" w:ascii="仿宋" w:hAnsi="仿宋" w:eastAsia="仿宋"/>
          <w:sz w:val="32"/>
          <w:szCs w:val="32"/>
        </w:rPr>
        <w:t>年“三公”经费财政拨款支出决算中，因公出国（境）费支出决算0万元，占0</w:t>
      </w:r>
      <w:r>
        <w:rPr>
          <w:rFonts w:ascii="仿宋" w:hAnsi="仿宋" w:eastAsia="仿宋"/>
          <w:sz w:val="32"/>
          <w:szCs w:val="32"/>
        </w:rPr>
        <w:t>%</w:t>
      </w:r>
      <w:r>
        <w:rPr>
          <w:rFonts w:hint="eastAsia" w:ascii="仿宋" w:hAnsi="仿宋" w:eastAsia="仿宋"/>
          <w:sz w:val="32"/>
          <w:szCs w:val="32"/>
        </w:rPr>
        <w:t>；公务用车购置及运行维护费支出决算0万元，占0</w:t>
      </w:r>
      <w:r>
        <w:rPr>
          <w:rFonts w:ascii="仿宋" w:hAnsi="仿宋" w:eastAsia="仿宋"/>
          <w:sz w:val="32"/>
          <w:szCs w:val="32"/>
        </w:rPr>
        <w:t>%</w:t>
      </w:r>
      <w:r>
        <w:rPr>
          <w:rFonts w:hint="eastAsia" w:ascii="仿宋" w:hAnsi="仿宋" w:eastAsia="仿宋"/>
          <w:sz w:val="32"/>
          <w:szCs w:val="32"/>
        </w:rPr>
        <w:t>；公务接待费支出决算</w:t>
      </w:r>
      <w:r>
        <w:rPr>
          <w:rFonts w:hint="eastAsia" w:ascii="仿宋" w:hAnsi="仿宋" w:eastAsia="仿宋"/>
          <w:sz w:val="32"/>
          <w:szCs w:val="32"/>
          <w:lang w:val="en-US" w:eastAsia="zh-CN"/>
        </w:rPr>
        <w:t>0.13</w:t>
      </w:r>
      <w:r>
        <w:rPr>
          <w:rFonts w:hint="eastAsia" w:ascii="仿宋" w:hAnsi="仿宋" w:eastAsia="仿宋"/>
          <w:sz w:val="32"/>
          <w:szCs w:val="32"/>
        </w:rPr>
        <w:t>万元，占</w:t>
      </w:r>
      <w:r>
        <w:rPr>
          <w:rFonts w:hint="eastAsia" w:ascii="仿宋" w:hAnsi="仿宋" w:eastAsia="仿宋"/>
          <w:sz w:val="32"/>
          <w:szCs w:val="32"/>
          <w:lang w:val="en-US" w:eastAsia="zh-CN"/>
        </w:rPr>
        <w:t>100</w:t>
      </w:r>
      <w:r>
        <w:rPr>
          <w:rFonts w:ascii="仿宋" w:hAnsi="仿宋" w:eastAsia="仿宋"/>
          <w:sz w:val="32"/>
          <w:szCs w:val="32"/>
        </w:rPr>
        <w:t>%</w:t>
      </w:r>
      <w:r>
        <w:rPr>
          <w:rFonts w:hint="eastAsia" w:ascii="仿宋" w:hAnsi="仿宋" w:eastAsia="仿宋"/>
          <w:sz w:val="32"/>
          <w:szCs w:val="32"/>
        </w:rPr>
        <w:t>。具体情况如下：</w:t>
      </w:r>
    </w:p>
    <w:p w14:paraId="246D1258">
      <w:pPr>
        <w:spacing w:line="600" w:lineRule="exact"/>
        <w:ind w:firstLine="640"/>
        <w:rPr>
          <w:rFonts w:ascii="仿宋" w:hAnsi="仿宋" w:eastAsia="仿宋"/>
          <w:sz w:val="32"/>
          <w:szCs w:val="32"/>
        </w:rPr>
      </w:pPr>
      <w:r>
        <w:rPr>
          <w:rFonts w:ascii="仿宋" w:hAnsi="仿宋" w:eastAsia="仿宋"/>
          <w:sz w:val="32"/>
          <w:szCs w:val="32"/>
        </w:rPr>
        <w:drawing>
          <wp:anchor distT="0" distB="0" distL="114300" distR="114300" simplePos="0" relativeHeight="251663360" behindDoc="0" locked="0" layoutInCell="1" allowOverlap="1">
            <wp:simplePos x="0" y="0"/>
            <wp:positionH relativeFrom="column">
              <wp:posOffset>582930</wp:posOffset>
            </wp:positionH>
            <wp:positionV relativeFrom="paragraph">
              <wp:posOffset>107315</wp:posOffset>
            </wp:positionV>
            <wp:extent cx="3333750" cy="1400175"/>
            <wp:effectExtent l="19050" t="0" r="19050" b="0"/>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4666DB9">
      <w:pPr>
        <w:spacing w:line="600" w:lineRule="exact"/>
        <w:ind w:firstLine="640"/>
        <w:rPr>
          <w:rFonts w:ascii="仿宋" w:hAnsi="仿宋" w:eastAsia="仿宋"/>
          <w:sz w:val="32"/>
          <w:szCs w:val="32"/>
        </w:rPr>
      </w:pPr>
    </w:p>
    <w:p w14:paraId="5D4C8277">
      <w:pPr>
        <w:spacing w:line="600" w:lineRule="exact"/>
        <w:ind w:firstLine="640"/>
        <w:rPr>
          <w:rFonts w:ascii="仿宋" w:hAnsi="仿宋" w:eastAsia="仿宋"/>
          <w:sz w:val="32"/>
          <w:szCs w:val="32"/>
        </w:rPr>
      </w:pPr>
    </w:p>
    <w:p w14:paraId="60F1981B">
      <w:pPr>
        <w:spacing w:line="600" w:lineRule="exact"/>
        <w:ind w:firstLine="640"/>
        <w:rPr>
          <w:rFonts w:ascii="仿宋_GB2312" w:eastAsia="仿宋_GB2312"/>
          <w:b/>
          <w:sz w:val="32"/>
          <w:szCs w:val="32"/>
        </w:rPr>
      </w:pPr>
    </w:p>
    <w:p w14:paraId="7039D50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val="0"/>
          <w:bCs w:val="0"/>
          <w:color w:val="auto"/>
          <w:sz w:val="32"/>
          <w:szCs w:val="32"/>
          <w:highlight w:val="none"/>
        </w:rPr>
      </w:pPr>
      <w:r>
        <w:rPr>
          <w:rFonts w:hint="eastAsia" w:ascii="仿宋" w:hAnsi="仿宋" w:eastAsia="仿宋" w:cs="仿宋"/>
          <w:b/>
          <w:sz w:val="32"/>
          <w:szCs w:val="32"/>
          <w:lang w:val="en-US" w:eastAsia="zh-CN"/>
        </w:rPr>
        <w:t>1.</w:t>
      </w:r>
      <w:r>
        <w:rPr>
          <w:rFonts w:hint="eastAsia" w:ascii="仿宋" w:hAnsi="仿宋" w:eastAsia="仿宋" w:cs="仿宋"/>
          <w:b/>
          <w:sz w:val="32"/>
          <w:szCs w:val="32"/>
        </w:rPr>
        <w:t>因公出国（境）经费支出</w:t>
      </w:r>
      <w:r>
        <w:rPr>
          <w:rFonts w:hint="eastAsia" w:ascii="仿宋" w:hAnsi="仿宋" w:eastAsia="仿宋" w:cs="仿宋"/>
          <w:sz w:val="32"/>
          <w:szCs w:val="32"/>
        </w:rPr>
        <w:t>0万元，</w:t>
      </w:r>
      <w:r>
        <w:rPr>
          <w:rStyle w:val="15"/>
          <w:rFonts w:hint="eastAsia" w:ascii="仿宋" w:hAnsi="仿宋" w:eastAsia="仿宋" w:cs="仿宋"/>
          <w:b w:val="0"/>
          <w:bCs/>
          <w:sz w:val="32"/>
          <w:szCs w:val="32"/>
        </w:rPr>
        <w:t>完成预算0%。</w:t>
      </w:r>
      <w:r>
        <w:rPr>
          <w:rFonts w:hint="eastAsia" w:ascii="仿宋" w:hAnsi="仿宋" w:eastAsia="仿宋" w:cs="仿宋"/>
          <w:sz w:val="32"/>
          <w:szCs w:val="32"/>
        </w:rPr>
        <w:t>全年安排因公出国（境）团组0次，出国（境）0人。因公出国（境）支出决算比202</w:t>
      </w:r>
      <w:r>
        <w:rPr>
          <w:rFonts w:hint="eastAsia" w:ascii="仿宋" w:hAnsi="仿宋" w:eastAsia="仿宋" w:cs="仿宋"/>
          <w:sz w:val="32"/>
          <w:szCs w:val="32"/>
          <w:lang w:val="en-US" w:eastAsia="zh-CN"/>
        </w:rPr>
        <w:t>3</w:t>
      </w:r>
      <w:r>
        <w:rPr>
          <w:rFonts w:hint="eastAsia" w:ascii="仿宋" w:hAnsi="仿宋" w:eastAsia="仿宋" w:cs="仿宋"/>
          <w:sz w:val="32"/>
          <w:szCs w:val="32"/>
        </w:rPr>
        <w:t>年增加0万元</w:t>
      </w:r>
      <w:r>
        <w:rPr>
          <w:rFonts w:hint="eastAsia" w:ascii="仿宋" w:hAnsi="仿宋" w:eastAsia="仿宋" w:cs="仿宋"/>
          <w:sz w:val="32"/>
          <w:szCs w:val="32"/>
          <w:lang w:eastAsia="zh-CN"/>
        </w:rPr>
        <w:t>。</w:t>
      </w:r>
      <w:r>
        <w:rPr>
          <w:rFonts w:hint="eastAsia" w:ascii="仿宋" w:hAnsi="仿宋" w:eastAsia="仿宋" w:cs="仿宋"/>
          <w:b w:val="0"/>
          <w:bCs w:val="0"/>
          <w:sz w:val="32"/>
          <w:szCs w:val="32"/>
        </w:rPr>
        <w:t>主要原因是无因公出国人员。</w:t>
      </w:r>
    </w:p>
    <w:p w14:paraId="41B535E2">
      <w:pPr>
        <w:spacing w:line="600" w:lineRule="exact"/>
        <w:ind w:firstLine="640"/>
        <w:rPr>
          <w:rFonts w:hint="eastAsia" w:ascii="仿宋" w:hAnsi="仿宋" w:eastAsia="仿宋" w:cs="仿宋"/>
          <w:b/>
          <w:sz w:val="32"/>
          <w:szCs w:val="32"/>
        </w:rPr>
      </w:pPr>
      <w:r>
        <w:rPr>
          <w:rFonts w:hint="eastAsia" w:ascii="仿宋" w:hAnsi="仿宋" w:eastAsia="仿宋" w:cs="仿宋"/>
          <w:b/>
          <w:sz w:val="32"/>
          <w:szCs w:val="32"/>
        </w:rPr>
        <w:t>2.公务用车购置及运行维护费支出</w:t>
      </w:r>
      <w:r>
        <w:rPr>
          <w:rFonts w:hint="eastAsia" w:ascii="仿宋" w:hAnsi="仿宋" w:eastAsia="仿宋" w:cs="仿宋"/>
          <w:sz w:val="32"/>
          <w:szCs w:val="32"/>
        </w:rPr>
        <w:t>0万元</w:t>
      </w:r>
      <w:r>
        <w:rPr>
          <w:rFonts w:hint="eastAsia" w:ascii="仿宋" w:hAnsi="仿宋" w:eastAsia="仿宋" w:cs="仿宋"/>
          <w:sz w:val="32"/>
          <w:szCs w:val="32"/>
          <w:lang w:eastAsia="zh-CN"/>
        </w:rPr>
        <w:t>，</w:t>
      </w:r>
      <w:r>
        <w:rPr>
          <w:rStyle w:val="15"/>
          <w:rFonts w:hint="eastAsia" w:ascii="仿宋" w:hAnsi="仿宋" w:eastAsia="仿宋" w:cs="仿宋"/>
          <w:b w:val="0"/>
          <w:bCs/>
          <w:sz w:val="32"/>
          <w:szCs w:val="32"/>
        </w:rPr>
        <w:t>完成预算0%。</w:t>
      </w:r>
      <w:r>
        <w:rPr>
          <w:rFonts w:hint="eastAsia" w:ascii="仿宋" w:hAnsi="仿宋" w:eastAsia="仿宋" w:cs="仿宋"/>
          <w:sz w:val="32"/>
          <w:szCs w:val="32"/>
        </w:rPr>
        <w:t>公务用车购置及运行维护费支出决算比202</w:t>
      </w:r>
      <w:r>
        <w:rPr>
          <w:rFonts w:hint="eastAsia" w:ascii="仿宋" w:hAnsi="仿宋" w:eastAsia="仿宋" w:cs="仿宋"/>
          <w:sz w:val="32"/>
          <w:szCs w:val="32"/>
          <w:lang w:val="en-US" w:eastAsia="zh-CN"/>
        </w:rPr>
        <w:t>3</w:t>
      </w:r>
      <w:r>
        <w:rPr>
          <w:rFonts w:hint="eastAsia" w:ascii="仿宋" w:hAnsi="仿宋" w:eastAsia="仿宋" w:cs="仿宋"/>
          <w:sz w:val="32"/>
          <w:szCs w:val="32"/>
        </w:rPr>
        <w:t>年增加0万元</w:t>
      </w:r>
      <w:r>
        <w:rPr>
          <w:rFonts w:hint="eastAsia" w:ascii="仿宋" w:hAnsi="仿宋" w:eastAsia="仿宋" w:cs="仿宋"/>
          <w:sz w:val="32"/>
          <w:szCs w:val="32"/>
          <w:lang w:eastAsia="zh-CN"/>
        </w:rPr>
        <w:t>。</w:t>
      </w:r>
      <w:r>
        <w:rPr>
          <w:rFonts w:hint="eastAsia" w:ascii="仿宋" w:hAnsi="仿宋" w:eastAsia="仿宋" w:cs="仿宋"/>
          <w:b w:val="0"/>
          <w:bCs w:val="0"/>
          <w:sz w:val="32"/>
          <w:szCs w:val="32"/>
        </w:rPr>
        <w:t>主要原因是无公务用车。</w:t>
      </w:r>
    </w:p>
    <w:p w14:paraId="17D3B522">
      <w:pPr>
        <w:spacing w:line="600" w:lineRule="exact"/>
        <w:ind w:firstLine="640" w:firstLineChars="200"/>
        <w:rPr>
          <w:rFonts w:hint="eastAsia" w:ascii="仿宋" w:hAnsi="仿宋" w:eastAsia="仿宋" w:cs="仿宋"/>
          <w:b/>
          <w:sz w:val="32"/>
          <w:szCs w:val="32"/>
        </w:rPr>
      </w:pPr>
      <w:r>
        <w:rPr>
          <w:rFonts w:hint="eastAsia" w:ascii="仿宋" w:hAnsi="仿宋" w:eastAsia="仿宋" w:cs="仿宋"/>
          <w:sz w:val="32"/>
          <w:szCs w:val="32"/>
        </w:rPr>
        <w:t>其中：</w:t>
      </w:r>
      <w:r>
        <w:rPr>
          <w:rFonts w:hint="eastAsia" w:ascii="仿宋" w:hAnsi="仿宋" w:eastAsia="仿宋" w:cs="仿宋"/>
          <w:b/>
          <w:sz w:val="32"/>
          <w:szCs w:val="32"/>
        </w:rPr>
        <w:t>公务用车购置支出</w:t>
      </w:r>
      <w:r>
        <w:rPr>
          <w:rFonts w:hint="eastAsia" w:ascii="仿宋" w:hAnsi="仿宋" w:eastAsia="仿宋" w:cs="仿宋"/>
          <w:sz w:val="32"/>
          <w:szCs w:val="32"/>
        </w:rPr>
        <w:t>0万元。全年按规定更新购置公务用车0辆，</w:t>
      </w:r>
      <w:r>
        <w:rPr>
          <w:rFonts w:hint="eastAsia" w:ascii="仿宋" w:hAnsi="仿宋" w:eastAsia="仿宋" w:cs="仿宋"/>
          <w:color w:val="000000"/>
          <w:sz w:val="32"/>
          <w:szCs w:val="32"/>
        </w:rPr>
        <w:t>截至202</w:t>
      </w:r>
      <w:r>
        <w:rPr>
          <w:rFonts w:hint="eastAsia" w:ascii="仿宋" w:hAnsi="仿宋" w:eastAsia="仿宋" w:cs="仿宋"/>
          <w:color w:val="000000"/>
          <w:sz w:val="32"/>
          <w:szCs w:val="32"/>
          <w:lang w:val="en-US" w:eastAsia="zh-CN"/>
        </w:rPr>
        <w:t>4</w:t>
      </w:r>
      <w:r>
        <w:rPr>
          <w:rFonts w:hint="eastAsia" w:ascii="仿宋" w:hAnsi="仿宋" w:eastAsia="仿宋" w:cs="仿宋"/>
          <w:color w:val="000000"/>
          <w:sz w:val="32"/>
          <w:szCs w:val="32"/>
        </w:rPr>
        <w:t>年12月</w:t>
      </w:r>
      <w:r>
        <w:rPr>
          <w:rFonts w:hint="eastAsia" w:ascii="仿宋" w:hAnsi="仿宋" w:eastAsia="仿宋" w:cs="仿宋"/>
          <w:color w:val="000000"/>
          <w:sz w:val="32"/>
          <w:szCs w:val="32"/>
          <w:lang w:val="en-US" w:eastAsia="zh-CN"/>
        </w:rPr>
        <w:t>31日</w:t>
      </w:r>
      <w:r>
        <w:rPr>
          <w:rFonts w:hint="eastAsia" w:ascii="仿宋" w:hAnsi="仿宋" w:eastAsia="仿宋" w:cs="仿宋"/>
          <w:color w:val="000000"/>
          <w:sz w:val="32"/>
          <w:szCs w:val="32"/>
        </w:rPr>
        <w:t>，单位共有公务用车0辆。</w:t>
      </w:r>
    </w:p>
    <w:p w14:paraId="362BB1DC">
      <w:pPr>
        <w:spacing w:line="600" w:lineRule="exact"/>
        <w:ind w:firstLine="640"/>
        <w:rPr>
          <w:rFonts w:hint="eastAsia" w:ascii="仿宋" w:hAnsi="仿宋" w:eastAsia="仿宋" w:cs="仿宋"/>
          <w:sz w:val="32"/>
          <w:szCs w:val="32"/>
        </w:rPr>
      </w:pPr>
      <w:r>
        <w:rPr>
          <w:rFonts w:hint="eastAsia" w:ascii="仿宋" w:hAnsi="仿宋" w:eastAsia="仿宋" w:cs="仿宋"/>
          <w:b/>
          <w:sz w:val="32"/>
          <w:szCs w:val="32"/>
        </w:rPr>
        <w:t>公务用车运行维护费支出</w:t>
      </w:r>
      <w:r>
        <w:rPr>
          <w:rFonts w:hint="eastAsia" w:ascii="仿宋" w:hAnsi="仿宋" w:eastAsia="仿宋" w:cs="仿宋"/>
          <w:sz w:val="32"/>
          <w:szCs w:val="32"/>
        </w:rPr>
        <w:t>0万元。</w:t>
      </w:r>
    </w:p>
    <w:p w14:paraId="2C1FEB58">
      <w:pPr>
        <w:spacing w:line="600" w:lineRule="exact"/>
        <w:ind w:firstLine="640"/>
        <w:rPr>
          <w:rFonts w:hint="eastAsia" w:ascii="仿宋" w:hAnsi="仿宋" w:eastAsia="仿宋" w:cs="仿宋"/>
          <w:sz w:val="32"/>
          <w:szCs w:val="32"/>
        </w:rPr>
      </w:pPr>
      <w:r>
        <w:rPr>
          <w:rFonts w:hint="eastAsia" w:ascii="仿宋" w:hAnsi="仿宋" w:eastAsia="仿宋" w:cs="仿宋"/>
          <w:b/>
          <w:sz w:val="32"/>
          <w:szCs w:val="32"/>
        </w:rPr>
        <w:t>3.公务接待费支出</w:t>
      </w:r>
      <w:r>
        <w:rPr>
          <w:rFonts w:hint="eastAsia" w:ascii="仿宋" w:hAnsi="仿宋" w:eastAsia="仿宋" w:cs="仿宋"/>
          <w:sz w:val="32"/>
          <w:szCs w:val="32"/>
          <w:lang w:val="en-US" w:eastAsia="zh-CN"/>
        </w:rPr>
        <w:t>0.13</w:t>
      </w:r>
      <w:r>
        <w:rPr>
          <w:rFonts w:hint="eastAsia" w:ascii="仿宋" w:hAnsi="仿宋" w:eastAsia="仿宋" w:cs="仿宋"/>
          <w:sz w:val="32"/>
          <w:szCs w:val="32"/>
        </w:rPr>
        <w:t>万元，</w:t>
      </w:r>
      <w:r>
        <w:rPr>
          <w:rStyle w:val="15"/>
          <w:rFonts w:hint="eastAsia" w:ascii="仿宋" w:hAnsi="仿宋" w:eastAsia="仿宋" w:cs="仿宋"/>
          <w:b w:val="0"/>
          <w:bCs/>
          <w:sz w:val="32"/>
          <w:szCs w:val="32"/>
        </w:rPr>
        <w:t>完成预算</w:t>
      </w:r>
      <w:r>
        <w:rPr>
          <w:rStyle w:val="15"/>
          <w:rFonts w:hint="eastAsia" w:ascii="仿宋" w:hAnsi="仿宋" w:eastAsia="仿宋" w:cs="仿宋"/>
          <w:b w:val="0"/>
          <w:bCs/>
          <w:sz w:val="32"/>
          <w:szCs w:val="32"/>
          <w:lang w:val="en-US" w:eastAsia="zh-CN"/>
        </w:rPr>
        <w:t>100</w:t>
      </w:r>
      <w:r>
        <w:rPr>
          <w:rStyle w:val="15"/>
          <w:rFonts w:hint="eastAsia" w:ascii="仿宋" w:hAnsi="仿宋" w:eastAsia="仿宋" w:cs="仿宋"/>
          <w:b w:val="0"/>
          <w:bCs/>
          <w:sz w:val="32"/>
          <w:szCs w:val="32"/>
        </w:rPr>
        <w:t>%。</w:t>
      </w:r>
      <w:r>
        <w:rPr>
          <w:rFonts w:hint="eastAsia" w:ascii="仿宋" w:hAnsi="仿宋" w:eastAsia="仿宋" w:cs="仿宋"/>
          <w:sz w:val="32"/>
          <w:szCs w:val="32"/>
        </w:rPr>
        <w:t>支出决算比2023年度增加</w:t>
      </w:r>
      <w:r>
        <w:rPr>
          <w:rFonts w:hint="eastAsia" w:ascii="仿宋" w:hAnsi="仿宋" w:eastAsia="仿宋" w:cs="仿宋"/>
          <w:sz w:val="32"/>
          <w:szCs w:val="32"/>
          <w:lang w:val="en-US" w:eastAsia="zh-CN"/>
        </w:rPr>
        <w:t>0.13</w:t>
      </w:r>
      <w:r>
        <w:rPr>
          <w:rFonts w:hint="eastAsia" w:ascii="仿宋" w:hAnsi="仿宋" w:eastAsia="仿宋" w:cs="仿宋"/>
          <w:sz w:val="32"/>
          <w:szCs w:val="32"/>
        </w:rPr>
        <w:t>万元，增长</w:t>
      </w:r>
      <w:r>
        <w:rPr>
          <w:rFonts w:hint="eastAsia" w:ascii="仿宋" w:hAnsi="仿宋" w:eastAsia="仿宋" w:cs="仿宋"/>
          <w:sz w:val="32"/>
          <w:szCs w:val="32"/>
          <w:lang w:val="en-US" w:eastAsia="zh-CN"/>
        </w:rPr>
        <w:t>100</w:t>
      </w:r>
      <w:r>
        <w:rPr>
          <w:rFonts w:hint="eastAsia" w:ascii="仿宋" w:hAnsi="仿宋" w:eastAsia="仿宋" w:cs="仿宋"/>
          <w:sz w:val="32"/>
          <w:szCs w:val="32"/>
        </w:rPr>
        <w:t>%。</w:t>
      </w:r>
    </w:p>
    <w:p w14:paraId="271A964B">
      <w:pPr>
        <w:spacing w:line="60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外事接待支出</w:t>
      </w:r>
      <w:r>
        <w:rPr>
          <w:rFonts w:hint="eastAsia" w:ascii="仿宋" w:hAnsi="仿宋" w:eastAsia="仿宋" w:cs="仿宋"/>
          <w:sz w:val="32"/>
          <w:szCs w:val="32"/>
        </w:rPr>
        <w:t>0万元。外事接待0批次，0人次，共计支出0万元。</w:t>
      </w:r>
      <w:bookmarkStart w:id="40" w:name="_Toc15396610"/>
      <w:bookmarkStart w:id="41" w:name="_Toc15377218"/>
    </w:p>
    <w:p w14:paraId="09E13E0D">
      <w:pPr>
        <w:spacing w:line="600" w:lineRule="exact"/>
        <w:ind w:firstLine="640"/>
        <w:outlineLvl w:val="1"/>
        <w:rPr>
          <w:rStyle w:val="18"/>
          <w:rFonts w:ascii="黑体" w:hAnsi="黑体" w:eastAsia="黑体"/>
        </w:rPr>
      </w:pPr>
      <w:r>
        <w:rPr>
          <w:rFonts w:hint="eastAsia" w:ascii="黑体" w:eastAsia="黑体"/>
          <w:sz w:val="32"/>
          <w:szCs w:val="32"/>
        </w:rPr>
        <w:t>八、</w:t>
      </w:r>
      <w:r>
        <w:rPr>
          <w:rStyle w:val="18"/>
          <w:rFonts w:hint="eastAsia" w:ascii="黑体" w:hAnsi="黑体" w:eastAsia="黑体"/>
          <w:b w:val="0"/>
        </w:rPr>
        <w:t>政府性基金预算支出决算情况说明</w:t>
      </w:r>
      <w:bookmarkEnd w:id="40"/>
      <w:bookmarkEnd w:id="41"/>
    </w:p>
    <w:p w14:paraId="0F67D976">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4</w:t>
      </w:r>
      <w:r>
        <w:rPr>
          <w:rFonts w:hint="eastAsia" w:ascii="仿宋" w:hAnsi="仿宋" w:eastAsia="仿宋" w:cs="仿宋"/>
          <w:sz w:val="32"/>
          <w:szCs w:val="32"/>
        </w:rPr>
        <w:t>年政府性基金预算财政拨款支出0万元。</w:t>
      </w:r>
    </w:p>
    <w:p w14:paraId="61AAA024">
      <w:pPr>
        <w:numPr>
          <w:ilvl w:val="0"/>
          <w:numId w:val="4"/>
        </w:numPr>
        <w:spacing w:line="600" w:lineRule="exact"/>
        <w:ind w:firstLine="640"/>
        <w:outlineLvl w:val="1"/>
        <w:rPr>
          <w:rStyle w:val="18"/>
          <w:rFonts w:ascii="黑体" w:hAnsi="黑体" w:eastAsia="黑体"/>
          <w:b w:val="0"/>
        </w:rPr>
      </w:pPr>
      <w:bookmarkStart w:id="42" w:name="_Toc15396611"/>
      <w:bookmarkStart w:id="43" w:name="_Toc15377219"/>
      <w:r>
        <w:rPr>
          <w:rStyle w:val="18"/>
          <w:rFonts w:hint="eastAsia" w:ascii="黑体" w:hAnsi="黑体" w:eastAsia="黑体"/>
          <w:b w:val="0"/>
        </w:rPr>
        <w:t>国有资本经营预算支出决算情况说明</w:t>
      </w:r>
      <w:bookmarkEnd w:id="42"/>
      <w:bookmarkEnd w:id="43"/>
    </w:p>
    <w:p w14:paraId="0D6DE665">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4</w:t>
      </w:r>
      <w:r>
        <w:rPr>
          <w:rFonts w:hint="eastAsia" w:ascii="仿宋" w:hAnsi="仿宋" w:eastAsia="仿宋" w:cs="仿宋"/>
          <w:sz w:val="32"/>
          <w:szCs w:val="32"/>
        </w:rPr>
        <w:t>年国有资本经营预算财政拨款支出0万元。</w:t>
      </w:r>
    </w:p>
    <w:p w14:paraId="1B7CFD19">
      <w:pPr>
        <w:numPr>
          <w:ilvl w:val="0"/>
          <w:numId w:val="4"/>
        </w:numPr>
        <w:spacing w:line="600" w:lineRule="exact"/>
        <w:ind w:firstLine="640"/>
        <w:outlineLvl w:val="1"/>
        <w:rPr>
          <w:rStyle w:val="18"/>
          <w:rFonts w:ascii="黑体" w:hAnsi="黑体" w:eastAsia="黑体"/>
          <w:b w:val="0"/>
        </w:rPr>
      </w:pPr>
      <w:bookmarkStart w:id="44" w:name="_Toc15377221"/>
      <w:bookmarkStart w:id="45" w:name="_Toc15396612"/>
      <w:r>
        <w:rPr>
          <w:rStyle w:val="18"/>
          <w:rFonts w:hint="eastAsia" w:ascii="黑体" w:hAnsi="黑体" w:eastAsia="黑体"/>
          <w:b w:val="0"/>
        </w:rPr>
        <w:t>其他重要事项的情况说明</w:t>
      </w:r>
      <w:bookmarkEnd w:id="44"/>
      <w:bookmarkEnd w:id="45"/>
    </w:p>
    <w:p w14:paraId="408765A0">
      <w:pPr>
        <w:spacing w:line="600" w:lineRule="exact"/>
        <w:ind w:firstLine="640" w:firstLineChars="200"/>
        <w:outlineLvl w:val="2"/>
        <w:rPr>
          <w:rFonts w:hint="eastAsia" w:ascii="楷体" w:hAnsi="楷体" w:eastAsia="楷体" w:cs="楷体"/>
          <w:b w:val="0"/>
          <w:bCs/>
          <w:sz w:val="32"/>
          <w:szCs w:val="32"/>
        </w:rPr>
      </w:pPr>
      <w:bookmarkStart w:id="46" w:name="_Toc15377222"/>
      <w:r>
        <w:rPr>
          <w:rFonts w:hint="eastAsia" w:ascii="楷体" w:hAnsi="楷体" w:eastAsia="楷体" w:cs="楷体"/>
          <w:b w:val="0"/>
          <w:bCs/>
          <w:sz w:val="32"/>
          <w:szCs w:val="32"/>
        </w:rPr>
        <w:t>（一）机关运行经费支出情况</w:t>
      </w:r>
      <w:bookmarkEnd w:id="46"/>
    </w:p>
    <w:p w14:paraId="4A2E383E">
      <w:pPr>
        <w:spacing w:line="60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202</w:t>
      </w:r>
      <w:r>
        <w:rPr>
          <w:rFonts w:hint="eastAsia" w:ascii="仿宋" w:hAnsi="仿宋" w:eastAsia="仿宋" w:cs="仿宋"/>
          <w:sz w:val="32"/>
          <w:szCs w:val="32"/>
          <w:lang w:val="en-US" w:eastAsia="zh-CN"/>
        </w:rPr>
        <w:t>4</w:t>
      </w:r>
      <w:r>
        <w:rPr>
          <w:rFonts w:hint="eastAsia" w:ascii="仿宋" w:hAnsi="仿宋" w:eastAsia="仿宋" w:cs="仿宋"/>
          <w:sz w:val="32"/>
          <w:szCs w:val="32"/>
        </w:rPr>
        <w:t>年，机关运行经费支出0万元，比202</w:t>
      </w:r>
      <w:r>
        <w:rPr>
          <w:rFonts w:hint="eastAsia" w:ascii="仿宋" w:hAnsi="仿宋" w:eastAsia="仿宋" w:cs="仿宋"/>
          <w:sz w:val="32"/>
          <w:szCs w:val="32"/>
          <w:lang w:val="en-US" w:eastAsia="zh-CN"/>
        </w:rPr>
        <w:t>3</w:t>
      </w:r>
      <w:r>
        <w:rPr>
          <w:rFonts w:hint="eastAsia" w:ascii="仿宋" w:hAnsi="仿宋" w:eastAsia="仿宋" w:cs="仿宋"/>
          <w:sz w:val="32"/>
          <w:szCs w:val="32"/>
        </w:rPr>
        <w:t>年增加0万元，增长0%</w:t>
      </w:r>
      <w:r>
        <w:rPr>
          <w:rFonts w:hint="eastAsia" w:ascii="仿宋" w:hAnsi="仿宋" w:eastAsia="仿宋" w:cs="仿宋"/>
          <w:sz w:val="32"/>
          <w:szCs w:val="32"/>
          <w:lang w:eastAsia="zh-CN"/>
        </w:rPr>
        <w:t>。</w:t>
      </w:r>
    </w:p>
    <w:p w14:paraId="1D0E382E">
      <w:pPr>
        <w:spacing w:line="600" w:lineRule="exact"/>
        <w:ind w:firstLine="640" w:firstLineChars="200"/>
        <w:outlineLvl w:val="2"/>
        <w:rPr>
          <w:rFonts w:hint="eastAsia" w:ascii="楷体" w:hAnsi="楷体" w:eastAsia="楷体" w:cs="楷体"/>
          <w:b w:val="0"/>
          <w:bCs/>
          <w:sz w:val="32"/>
          <w:szCs w:val="32"/>
        </w:rPr>
      </w:pPr>
      <w:bookmarkStart w:id="47" w:name="_Toc15377223"/>
      <w:r>
        <w:rPr>
          <w:rFonts w:hint="eastAsia" w:ascii="楷体" w:hAnsi="楷体" w:eastAsia="楷体" w:cs="楷体"/>
          <w:b w:val="0"/>
          <w:bCs/>
          <w:sz w:val="32"/>
          <w:szCs w:val="32"/>
        </w:rPr>
        <w:t>（二）政府采购支出情况</w:t>
      </w:r>
      <w:bookmarkEnd w:id="47"/>
    </w:p>
    <w:p w14:paraId="1B91508D">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4</w:t>
      </w:r>
      <w:r>
        <w:rPr>
          <w:rFonts w:hint="eastAsia" w:ascii="仿宋" w:hAnsi="仿宋" w:eastAsia="仿宋" w:cs="仿宋"/>
          <w:sz w:val="32"/>
          <w:szCs w:val="32"/>
        </w:rPr>
        <w:t>年，</w:t>
      </w:r>
      <w:r>
        <w:rPr>
          <w:rFonts w:hint="eastAsia" w:ascii="仿宋" w:hAnsi="仿宋" w:eastAsia="仿宋" w:cs="仿宋"/>
          <w:sz w:val="32"/>
          <w:szCs w:val="32"/>
          <w:lang w:val="zh-CN"/>
        </w:rPr>
        <w:t>峨边彝族自治县</w:t>
      </w:r>
      <w:r>
        <w:rPr>
          <w:rFonts w:hint="eastAsia" w:ascii="仿宋" w:hAnsi="仿宋" w:eastAsia="仿宋" w:cs="仿宋"/>
          <w:sz w:val="32"/>
          <w:szCs w:val="32"/>
        </w:rPr>
        <w:t>觉莫乡中心</w:t>
      </w:r>
      <w:r>
        <w:rPr>
          <w:rFonts w:hint="eastAsia" w:ascii="仿宋" w:hAnsi="仿宋" w:eastAsia="仿宋" w:cs="仿宋"/>
          <w:sz w:val="32"/>
          <w:szCs w:val="32"/>
          <w:lang w:val="zh-CN"/>
        </w:rPr>
        <w:t>小学</w:t>
      </w:r>
      <w:r>
        <w:rPr>
          <w:rFonts w:hint="eastAsia" w:ascii="仿宋" w:hAnsi="仿宋" w:eastAsia="仿宋" w:cs="仿宋"/>
          <w:sz w:val="32"/>
          <w:szCs w:val="32"/>
        </w:rPr>
        <w:t>政府采购支出总额0万元，其中：政府采购货物支出0万元、政府采购工程支出0万元、政府采购服务支出0万元。授予中小企业合同金额0万元，占政府采购支出总额的0%，其中：授予小微企业合同金额0万元，占政府采购支出总额的0%。</w:t>
      </w:r>
    </w:p>
    <w:p w14:paraId="205D8CC1">
      <w:pPr>
        <w:spacing w:line="600" w:lineRule="exact"/>
        <w:ind w:firstLine="640" w:firstLineChars="200"/>
        <w:outlineLvl w:val="2"/>
        <w:rPr>
          <w:rFonts w:hint="eastAsia" w:ascii="楷体" w:hAnsi="楷体" w:eastAsia="楷体" w:cs="楷体"/>
          <w:b w:val="0"/>
          <w:bCs/>
          <w:sz w:val="32"/>
          <w:szCs w:val="32"/>
        </w:rPr>
      </w:pPr>
      <w:bookmarkStart w:id="48" w:name="_Toc15377224"/>
      <w:r>
        <w:rPr>
          <w:rFonts w:hint="eastAsia" w:ascii="楷体" w:hAnsi="楷体" w:eastAsia="楷体" w:cs="楷体"/>
          <w:b w:val="0"/>
          <w:bCs/>
          <w:sz w:val="32"/>
          <w:szCs w:val="32"/>
        </w:rPr>
        <w:t>（三）国有资产占有使用情况</w:t>
      </w:r>
      <w:bookmarkEnd w:id="48"/>
    </w:p>
    <w:p w14:paraId="350D96FD">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截至202</w:t>
      </w:r>
      <w:r>
        <w:rPr>
          <w:rFonts w:hint="eastAsia" w:ascii="仿宋" w:hAnsi="仿宋" w:eastAsia="仿宋" w:cs="仿宋"/>
          <w:sz w:val="32"/>
          <w:szCs w:val="32"/>
          <w:lang w:val="en-US" w:eastAsia="zh-CN"/>
        </w:rPr>
        <w:t>4</w:t>
      </w:r>
      <w:r>
        <w:rPr>
          <w:rFonts w:hint="eastAsia" w:ascii="仿宋" w:hAnsi="仿宋" w:eastAsia="仿宋" w:cs="仿宋"/>
          <w:sz w:val="32"/>
          <w:szCs w:val="32"/>
        </w:rPr>
        <w:t>年12月31日，峨边彝族自治县觉莫乡中心小学共有车辆0辆，单价100万元以上专用设备0台（套）。</w:t>
      </w:r>
    </w:p>
    <w:p w14:paraId="61EBAB7D">
      <w:pPr>
        <w:spacing w:line="600" w:lineRule="exact"/>
        <w:ind w:firstLine="640" w:firstLineChars="200"/>
        <w:outlineLvl w:val="2"/>
        <w:rPr>
          <w:rFonts w:hint="eastAsia" w:ascii="楷体" w:hAnsi="楷体" w:eastAsia="楷体" w:cs="楷体"/>
          <w:b w:val="0"/>
          <w:bCs/>
          <w:sz w:val="32"/>
          <w:szCs w:val="32"/>
        </w:rPr>
      </w:pPr>
      <w:r>
        <w:rPr>
          <w:rFonts w:hint="eastAsia" w:ascii="楷体" w:hAnsi="楷体" w:eastAsia="楷体" w:cs="楷体"/>
          <w:b w:val="0"/>
          <w:bCs/>
          <w:sz w:val="32"/>
          <w:szCs w:val="32"/>
        </w:rPr>
        <w:t>（四）预算绩效管理情况</w:t>
      </w:r>
    </w:p>
    <w:p w14:paraId="63E0FADD">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根据预算绩效管理要求，本单位在2024年度预算编制阶段，组织对学前教育保教费减免补助</w:t>
      </w:r>
      <w:r>
        <w:rPr>
          <w:rFonts w:hint="eastAsia" w:ascii="仿宋" w:hAnsi="仿宋" w:eastAsia="仿宋" w:cs="仿宋"/>
          <w:sz w:val="32"/>
          <w:szCs w:val="32"/>
          <w:lang w:eastAsia="zh-CN"/>
        </w:rPr>
        <w:t>、公办幼儿园公用经费、一村一幼营养餐补助、村幼辅导员及代课教师生活补助</w:t>
      </w:r>
      <w:r>
        <w:rPr>
          <w:rFonts w:hint="eastAsia" w:ascii="仿宋" w:hAnsi="仿宋" w:eastAsia="仿宋" w:cs="仿宋"/>
          <w:sz w:val="32"/>
          <w:szCs w:val="32"/>
        </w:rPr>
        <w:t>等</w:t>
      </w:r>
      <w:r>
        <w:rPr>
          <w:rFonts w:hint="eastAsia" w:ascii="仿宋" w:hAnsi="仿宋" w:eastAsia="仿宋" w:cs="仿宋"/>
          <w:sz w:val="32"/>
          <w:szCs w:val="32"/>
          <w:lang w:val="en-US" w:eastAsia="zh-CN"/>
        </w:rPr>
        <w:t>8</w:t>
      </w:r>
      <w:r>
        <w:rPr>
          <w:rFonts w:hint="eastAsia" w:ascii="仿宋" w:hAnsi="仿宋" w:eastAsia="仿宋" w:cs="仿宋"/>
          <w:sz w:val="32"/>
          <w:szCs w:val="32"/>
        </w:rPr>
        <w:t>个项目开展了预算事前绩效评估，对</w:t>
      </w:r>
      <w:r>
        <w:rPr>
          <w:rFonts w:hint="eastAsia" w:ascii="仿宋" w:hAnsi="仿宋" w:eastAsia="仿宋" w:cs="仿宋"/>
          <w:sz w:val="32"/>
          <w:szCs w:val="32"/>
          <w:lang w:val="en-US" w:eastAsia="zh-CN"/>
        </w:rPr>
        <w:t>8</w:t>
      </w:r>
      <w:r>
        <w:rPr>
          <w:rFonts w:hint="eastAsia" w:ascii="仿宋" w:hAnsi="仿宋" w:eastAsia="仿宋" w:cs="仿宋"/>
          <w:sz w:val="32"/>
          <w:szCs w:val="32"/>
        </w:rPr>
        <w:t>个项目编制了绩效目标</w:t>
      </w:r>
      <w:bookmarkStart w:id="67" w:name="_GoBack"/>
      <w:r>
        <w:rPr>
          <w:rFonts w:hint="eastAsia" w:ascii="仿宋" w:hAnsi="仿宋" w:eastAsia="仿宋" w:cs="仿宋"/>
          <w:sz w:val="32"/>
          <w:szCs w:val="32"/>
          <w:lang w:eastAsia="zh-CN"/>
        </w:rPr>
        <w:t>，在</w:t>
      </w:r>
      <w:bookmarkEnd w:id="67"/>
      <w:r>
        <w:rPr>
          <w:rFonts w:hint="eastAsia" w:ascii="仿宋" w:hAnsi="仿宋" w:eastAsia="仿宋" w:cs="仿宋"/>
          <w:sz w:val="32"/>
          <w:szCs w:val="32"/>
        </w:rPr>
        <w:t>预算执行过程中，选取</w:t>
      </w:r>
      <w:r>
        <w:rPr>
          <w:rFonts w:hint="eastAsia" w:ascii="仿宋" w:hAnsi="仿宋" w:eastAsia="仿宋" w:cs="仿宋"/>
          <w:sz w:val="32"/>
          <w:szCs w:val="32"/>
          <w:lang w:val="en-US" w:eastAsia="zh-CN"/>
        </w:rPr>
        <w:t>8</w:t>
      </w:r>
      <w:r>
        <w:rPr>
          <w:rFonts w:hint="eastAsia" w:ascii="仿宋" w:hAnsi="仿宋" w:eastAsia="仿宋" w:cs="仿宋"/>
          <w:sz w:val="32"/>
          <w:szCs w:val="32"/>
        </w:rPr>
        <w:t>个项目开展绩效监控，组织对</w:t>
      </w:r>
      <w:r>
        <w:rPr>
          <w:rFonts w:hint="eastAsia" w:ascii="仿宋" w:hAnsi="仿宋" w:eastAsia="仿宋" w:cs="仿宋"/>
          <w:sz w:val="32"/>
          <w:szCs w:val="32"/>
          <w:lang w:val="en-US" w:eastAsia="zh-CN"/>
        </w:rPr>
        <w:t>8</w:t>
      </w:r>
      <w:r>
        <w:rPr>
          <w:rFonts w:hint="eastAsia" w:ascii="仿宋" w:hAnsi="仿宋" w:eastAsia="仿宋" w:cs="仿宋"/>
          <w:sz w:val="32"/>
          <w:szCs w:val="32"/>
        </w:rPr>
        <w:t>个项目开展绩效自评，绩效自评表详见第四部分附件。</w:t>
      </w:r>
    </w:p>
    <w:p w14:paraId="0C054285">
      <w:pPr>
        <w:pStyle w:val="7"/>
        <w:spacing w:before="93"/>
        <w:ind w:firstLine="640" w:firstLineChars="200"/>
        <w:rPr>
          <w:rFonts w:hAnsi="仿宋_GB2312" w:cs="仿宋_GB2312"/>
          <w:sz w:val="32"/>
          <w:szCs w:val="32"/>
        </w:rPr>
      </w:pPr>
    </w:p>
    <w:p w14:paraId="150A5260">
      <w:pPr>
        <w:pStyle w:val="7"/>
        <w:spacing w:before="93"/>
        <w:ind w:firstLine="640" w:firstLineChars="200"/>
        <w:rPr>
          <w:rFonts w:hAnsi="仿宋_GB2312" w:cs="仿宋_GB2312"/>
          <w:sz w:val="32"/>
          <w:szCs w:val="32"/>
        </w:rPr>
      </w:pPr>
    </w:p>
    <w:p w14:paraId="32C244EC">
      <w:pPr>
        <w:pStyle w:val="7"/>
        <w:spacing w:before="93"/>
        <w:ind w:firstLine="640" w:firstLineChars="200"/>
        <w:rPr>
          <w:rFonts w:hAnsi="仿宋_GB2312" w:cs="仿宋_GB2312"/>
          <w:sz w:val="32"/>
          <w:szCs w:val="32"/>
        </w:rPr>
      </w:pPr>
    </w:p>
    <w:p w14:paraId="3856D079">
      <w:pPr>
        <w:pStyle w:val="7"/>
        <w:spacing w:before="93"/>
        <w:rPr>
          <w:rFonts w:hAnsi="仿宋_GB2312" w:cs="仿宋_GB2312"/>
          <w:sz w:val="32"/>
          <w:szCs w:val="32"/>
        </w:rPr>
      </w:pPr>
    </w:p>
    <w:p w14:paraId="3732B9FD">
      <w:pPr>
        <w:pStyle w:val="7"/>
        <w:spacing w:before="93"/>
        <w:rPr>
          <w:rFonts w:hAnsi="仿宋_GB2312" w:cs="仿宋_GB2312"/>
          <w:sz w:val="32"/>
          <w:szCs w:val="32"/>
        </w:rPr>
      </w:pPr>
    </w:p>
    <w:p w14:paraId="1BD05568">
      <w:pPr>
        <w:pStyle w:val="7"/>
        <w:spacing w:before="93"/>
        <w:rPr>
          <w:rFonts w:hAnsi="仿宋_GB2312" w:cs="仿宋_GB2312"/>
          <w:sz w:val="32"/>
          <w:szCs w:val="32"/>
        </w:rPr>
      </w:pPr>
    </w:p>
    <w:p w14:paraId="3AB5FB9F">
      <w:pPr>
        <w:numPr>
          <w:ilvl w:val="0"/>
          <w:numId w:val="5"/>
        </w:numPr>
        <w:spacing w:line="600" w:lineRule="exact"/>
        <w:ind w:firstLine="660" w:firstLineChars="150"/>
        <w:jc w:val="center"/>
        <w:outlineLvl w:val="0"/>
        <w:rPr>
          <w:rStyle w:val="17"/>
          <w:rFonts w:ascii="黑体" w:hAnsi="黑体" w:eastAsia="黑体"/>
          <w:b w:val="0"/>
        </w:rPr>
      </w:pPr>
      <w:bookmarkStart w:id="49" w:name="_Toc15396613"/>
      <w:bookmarkStart w:id="50" w:name="_Toc15377225"/>
      <w:r>
        <w:rPr>
          <w:rFonts w:hint="eastAsia" w:ascii="黑体" w:hAnsi="黑体" w:eastAsia="黑体"/>
          <w:sz w:val="44"/>
          <w:szCs w:val="44"/>
        </w:rPr>
        <w:t>名</w:t>
      </w:r>
      <w:r>
        <w:rPr>
          <w:rStyle w:val="17"/>
          <w:rFonts w:hint="eastAsia" w:ascii="黑体" w:hAnsi="黑体" w:eastAsia="黑体"/>
          <w:b w:val="0"/>
        </w:rPr>
        <w:t>词解释</w:t>
      </w:r>
      <w:bookmarkEnd w:id="49"/>
      <w:bookmarkEnd w:id="50"/>
    </w:p>
    <w:p w14:paraId="4B369974">
      <w:pPr>
        <w:spacing w:line="600" w:lineRule="exact"/>
        <w:jc w:val="left"/>
        <w:rPr>
          <w:rFonts w:ascii="宋体"/>
          <w:b/>
          <w:sz w:val="44"/>
          <w:szCs w:val="44"/>
        </w:rPr>
      </w:pPr>
    </w:p>
    <w:p w14:paraId="0B2C33B3">
      <w:pPr>
        <w:pStyle w:val="20"/>
        <w:spacing w:line="560" w:lineRule="exact"/>
        <w:ind w:firstLine="640" w:firstLineChars="200"/>
        <w:jc w:val="both"/>
        <w:rPr>
          <w:rFonts w:hAnsi="仿宋" w:cs="Times New Roman"/>
          <w:kern w:val="2"/>
          <w:sz w:val="32"/>
          <w:szCs w:val="32"/>
        </w:rPr>
      </w:pPr>
      <w:bookmarkStart w:id="51" w:name="_Toc15396614"/>
      <w:bookmarkStart w:id="52" w:name="_Toc15377226"/>
      <w:r>
        <w:rPr>
          <w:rFonts w:hint="eastAsia" w:hAnsi="仿宋" w:cs="Times New Roman"/>
          <w:kern w:val="2"/>
          <w:sz w:val="32"/>
          <w:szCs w:val="32"/>
        </w:rPr>
        <w:t>1.财政拨款收入：指单位从同级财政部门取得的财政预算资金。</w:t>
      </w:r>
    </w:p>
    <w:p w14:paraId="61A1A001">
      <w:pPr>
        <w:pStyle w:val="20"/>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2.事业收入：指事业单位开展专业业务活动及辅助活动取得的收入。</w:t>
      </w:r>
    </w:p>
    <w:p w14:paraId="5A8AA783">
      <w:pPr>
        <w:pStyle w:val="20"/>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3.经营收入：指事业单位在专业业务活动及其辅助活动之外开展非独立核算经营活动取得的收入。</w:t>
      </w:r>
    </w:p>
    <w:p w14:paraId="35C88E08">
      <w:pPr>
        <w:pStyle w:val="20"/>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 xml:space="preserve">4.其他收入：指单位取得的除上述收入以外的各项收入。 </w:t>
      </w:r>
    </w:p>
    <w:p w14:paraId="30F4D4CF">
      <w:pPr>
        <w:pStyle w:val="20"/>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 xml:space="preserve">5.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 </w:t>
      </w:r>
    </w:p>
    <w:p w14:paraId="474FC510">
      <w:pPr>
        <w:pStyle w:val="20"/>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 xml:space="preserve">6.年初结转和结余：指以前年度尚未完成、结转到本年按有关规定继续使用的资金。 </w:t>
      </w:r>
    </w:p>
    <w:p w14:paraId="2B7DD56A">
      <w:pPr>
        <w:pStyle w:val="20"/>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7.结余分配：指事业单位按照事业单位会计制度的规定从非财政补助结余中分配的事业基金和职工福利基金等。</w:t>
      </w:r>
    </w:p>
    <w:p w14:paraId="7C26120B">
      <w:pPr>
        <w:pStyle w:val="20"/>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8</w:t>
      </w:r>
      <w:r>
        <w:rPr>
          <w:rFonts w:hint="eastAsia" w:hAnsi="仿宋" w:cs="Times New Roman"/>
          <w:kern w:val="2"/>
          <w:sz w:val="32"/>
          <w:szCs w:val="32"/>
          <w:lang w:eastAsia="zh-CN"/>
        </w:rPr>
        <w:t>.</w:t>
      </w:r>
      <w:r>
        <w:rPr>
          <w:rFonts w:hint="eastAsia" w:hAnsi="仿宋" w:cs="Times New Roman"/>
          <w:kern w:val="2"/>
          <w:sz w:val="32"/>
          <w:szCs w:val="32"/>
        </w:rPr>
        <w:t>年末结转和结余：指单位按有关规定结转到下年或以后年度继续使用的资金。</w:t>
      </w:r>
    </w:p>
    <w:p w14:paraId="01449DC3">
      <w:pPr>
        <w:spacing w:line="600" w:lineRule="exact"/>
        <w:ind w:firstLine="640" w:firstLineChars="200"/>
        <w:rPr>
          <w:rFonts w:ascii="仿宋" w:hAnsi="仿宋" w:eastAsia="仿宋"/>
          <w:sz w:val="32"/>
          <w:szCs w:val="32"/>
        </w:rPr>
      </w:pPr>
      <w:r>
        <w:rPr>
          <w:rFonts w:hint="eastAsia" w:ascii="仿宋" w:hAnsi="仿宋" w:eastAsia="仿宋"/>
          <w:sz w:val="32"/>
          <w:szCs w:val="32"/>
        </w:rPr>
        <w:t>9.</w:t>
      </w:r>
      <w:r>
        <w:rPr>
          <w:rFonts w:ascii="仿宋" w:hAnsi="仿宋" w:eastAsia="仿宋"/>
          <w:sz w:val="32"/>
          <w:szCs w:val="32"/>
        </w:rPr>
        <w:t>教育支出（类）</w:t>
      </w:r>
      <w:r>
        <w:rPr>
          <w:rFonts w:hint="eastAsia" w:ascii="仿宋" w:hAnsi="仿宋" w:eastAsia="仿宋"/>
          <w:sz w:val="32"/>
          <w:szCs w:val="32"/>
        </w:rPr>
        <w:t>普通教育（款）学前教育（项）：指反映各部门举办的学前教育支出。</w:t>
      </w:r>
    </w:p>
    <w:p w14:paraId="226FA311">
      <w:pPr>
        <w:spacing w:line="60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0</w:t>
      </w:r>
      <w:r>
        <w:rPr>
          <w:rFonts w:ascii="仿宋" w:hAnsi="仿宋" w:eastAsia="仿宋"/>
          <w:sz w:val="32"/>
          <w:szCs w:val="32"/>
        </w:rPr>
        <w:t>.教育支出（类）</w:t>
      </w:r>
      <w:r>
        <w:rPr>
          <w:rFonts w:hint="eastAsia" w:ascii="仿宋" w:hAnsi="仿宋" w:eastAsia="仿宋"/>
          <w:sz w:val="32"/>
          <w:szCs w:val="32"/>
        </w:rPr>
        <w:t>普通教育（款）小学教育（项）：指反映各部门举办的小学教育支出。</w:t>
      </w:r>
    </w:p>
    <w:p w14:paraId="3B9B2066">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kern w:val="0"/>
          <w:sz w:val="32"/>
          <w:szCs w:val="32"/>
        </w:rPr>
        <w:t>11.社会保障和就业（类）行政事业单位离退休</w:t>
      </w:r>
      <w:r>
        <w:rPr>
          <w:rFonts w:hint="eastAsia" w:ascii="仿宋" w:hAnsi="仿宋" w:eastAsia="仿宋" w:cs="宋体"/>
          <w:color w:val="000000"/>
          <w:kern w:val="0"/>
          <w:sz w:val="32"/>
          <w:szCs w:val="32"/>
        </w:rPr>
        <w:t>（款）机关事业单位基本养老保险缴费支出（项）：反映机关事业单位实施养老保险制度由单位缴纳的基本养老保险支出。</w:t>
      </w:r>
    </w:p>
    <w:p w14:paraId="313AD401">
      <w:pPr>
        <w:spacing w:line="600" w:lineRule="exact"/>
        <w:ind w:firstLine="640" w:firstLineChars="200"/>
        <w:rPr>
          <w:rStyle w:val="15"/>
          <w:rFonts w:ascii="仿宋" w:hAnsi="仿宋" w:eastAsia="仿宋"/>
          <w:b w:val="0"/>
          <w:bCs w:val="0"/>
          <w:color w:val="000000"/>
          <w:sz w:val="32"/>
          <w:szCs w:val="32"/>
        </w:rPr>
      </w:pPr>
      <w:r>
        <w:rPr>
          <w:rStyle w:val="15"/>
          <w:rFonts w:hint="eastAsia" w:ascii="仿宋" w:hAnsi="仿宋" w:eastAsia="仿宋"/>
          <w:b w:val="0"/>
          <w:bCs w:val="0"/>
          <w:color w:val="000000"/>
          <w:sz w:val="32"/>
          <w:szCs w:val="32"/>
        </w:rPr>
        <w:t>12</w:t>
      </w:r>
      <w:r>
        <w:rPr>
          <w:rStyle w:val="15"/>
          <w:rFonts w:ascii="仿宋" w:hAnsi="仿宋" w:eastAsia="仿宋"/>
          <w:b w:val="0"/>
          <w:bCs w:val="0"/>
          <w:color w:val="000000"/>
          <w:sz w:val="32"/>
          <w:szCs w:val="32"/>
        </w:rPr>
        <w:t>.</w:t>
      </w:r>
      <w:r>
        <w:rPr>
          <w:rFonts w:hint="eastAsia" w:ascii="仿宋" w:hAnsi="仿宋" w:eastAsia="仿宋" w:cs="宋体"/>
          <w:b w:val="0"/>
          <w:bCs w:val="0"/>
          <w:color w:val="000000"/>
          <w:kern w:val="0"/>
          <w:sz w:val="32"/>
          <w:szCs w:val="32"/>
        </w:rPr>
        <w:t>社会保障和就业（类）行政事业单位离退休（款）机关事业单位职业年金缴费支出（项）：反映机关事业单位实施养老保险制度由单位缴纳的职业年金支出。</w:t>
      </w:r>
    </w:p>
    <w:p w14:paraId="654E87A8">
      <w:pPr>
        <w:spacing w:line="600" w:lineRule="exact"/>
        <w:ind w:firstLine="640" w:firstLineChars="200"/>
        <w:rPr>
          <w:rFonts w:ascii="仿宋" w:hAnsi="仿宋" w:eastAsia="仿宋" w:cs="宋体"/>
          <w:color w:val="000000"/>
          <w:kern w:val="0"/>
          <w:sz w:val="32"/>
          <w:szCs w:val="32"/>
        </w:rPr>
      </w:pPr>
      <w:r>
        <w:rPr>
          <w:rStyle w:val="15"/>
          <w:rFonts w:hint="eastAsia" w:ascii="仿宋" w:hAnsi="仿宋" w:eastAsia="仿宋"/>
          <w:b w:val="0"/>
          <w:bCs w:val="0"/>
          <w:color w:val="000000"/>
          <w:sz w:val="32"/>
          <w:szCs w:val="32"/>
        </w:rPr>
        <w:t>13</w:t>
      </w:r>
      <w:r>
        <w:rPr>
          <w:rStyle w:val="15"/>
          <w:rFonts w:ascii="仿宋" w:hAnsi="仿宋" w:eastAsia="仿宋"/>
          <w:b w:val="0"/>
          <w:bCs w:val="0"/>
          <w:color w:val="000000"/>
          <w:sz w:val="32"/>
          <w:szCs w:val="32"/>
        </w:rPr>
        <w:t>.</w:t>
      </w:r>
      <w:r>
        <w:rPr>
          <w:rFonts w:hint="eastAsia" w:ascii="仿宋" w:hAnsi="仿宋" w:eastAsia="仿宋" w:cs="宋体"/>
          <w:b w:val="0"/>
          <w:bCs w:val="0"/>
          <w:color w:val="000000"/>
          <w:kern w:val="0"/>
          <w:sz w:val="32"/>
          <w:szCs w:val="32"/>
        </w:rPr>
        <w:t>社会</w:t>
      </w:r>
      <w:r>
        <w:rPr>
          <w:rFonts w:hint="eastAsia" w:ascii="仿宋" w:hAnsi="仿宋" w:eastAsia="仿宋" w:cs="宋体"/>
          <w:color w:val="000000"/>
          <w:kern w:val="0"/>
          <w:sz w:val="32"/>
          <w:szCs w:val="32"/>
        </w:rPr>
        <w:t>保障和就业（类）其他社会保障和就业（款）其他社会保障和就业支出（项）：反映除上述项目以外其他用于行政事业单位养老方面的支出。</w:t>
      </w:r>
    </w:p>
    <w:p w14:paraId="35653FE8">
      <w:pPr>
        <w:spacing w:line="600" w:lineRule="exact"/>
        <w:ind w:firstLine="640" w:firstLineChars="200"/>
        <w:rPr>
          <w:rStyle w:val="15"/>
          <w:rFonts w:ascii="仿宋" w:hAnsi="仿宋" w:eastAsia="仿宋"/>
          <w:b w:val="0"/>
          <w:bCs/>
          <w:color w:val="000000"/>
          <w:sz w:val="32"/>
          <w:szCs w:val="32"/>
        </w:rPr>
      </w:pPr>
      <w:r>
        <w:rPr>
          <w:rStyle w:val="15"/>
          <w:rFonts w:hint="eastAsia" w:ascii="仿宋" w:hAnsi="仿宋" w:eastAsia="仿宋"/>
          <w:b w:val="0"/>
          <w:bCs w:val="0"/>
          <w:color w:val="000000"/>
          <w:sz w:val="32"/>
          <w:szCs w:val="32"/>
        </w:rPr>
        <w:t>14</w:t>
      </w:r>
      <w:r>
        <w:rPr>
          <w:rStyle w:val="15"/>
          <w:rFonts w:ascii="仿宋" w:hAnsi="仿宋" w:eastAsia="仿宋"/>
          <w:b w:val="0"/>
          <w:bCs w:val="0"/>
          <w:color w:val="000000"/>
          <w:sz w:val="32"/>
          <w:szCs w:val="32"/>
        </w:rPr>
        <w:t>.</w:t>
      </w:r>
      <w:r>
        <w:rPr>
          <w:rFonts w:hint="eastAsia" w:ascii="仿宋" w:hAnsi="仿宋" w:eastAsia="仿宋" w:cs="宋体"/>
          <w:b w:val="0"/>
          <w:bCs w:val="0"/>
          <w:color w:val="000000"/>
          <w:kern w:val="0"/>
          <w:sz w:val="32"/>
          <w:szCs w:val="32"/>
        </w:rPr>
        <w:t>卫</w:t>
      </w:r>
      <w:r>
        <w:rPr>
          <w:rFonts w:hint="eastAsia" w:ascii="仿宋" w:hAnsi="仿宋" w:eastAsia="仿宋" w:cs="宋体"/>
          <w:color w:val="000000"/>
          <w:kern w:val="0"/>
          <w:sz w:val="32"/>
          <w:szCs w:val="32"/>
        </w:rPr>
        <w:t>生健康（类）行政事业单位医疗（款）事业单位医疗（项）：反映财政部门安排的事业单位基本医疗保险缴费经费，未参加医疗保险的事业单位的公费医疗经费，按国家规定享受离休人员待遇的医疗经费。</w:t>
      </w:r>
    </w:p>
    <w:p w14:paraId="58444482">
      <w:pPr>
        <w:ind w:firstLine="640" w:firstLineChars="200"/>
        <w:rPr>
          <w:rFonts w:ascii="仿宋" w:hAnsi="仿宋" w:eastAsia="仿宋"/>
          <w:color w:val="000000"/>
          <w:sz w:val="32"/>
          <w:szCs w:val="32"/>
        </w:rPr>
      </w:pPr>
      <w:r>
        <w:rPr>
          <w:rFonts w:hint="eastAsia" w:ascii="仿宋" w:hAnsi="仿宋" w:eastAsia="仿宋"/>
          <w:color w:val="000000"/>
          <w:sz w:val="32"/>
          <w:szCs w:val="32"/>
        </w:rPr>
        <w:t>1</w:t>
      </w:r>
      <w:r>
        <w:rPr>
          <w:rFonts w:hint="eastAsia" w:ascii="仿宋" w:hAnsi="仿宋" w:eastAsia="仿宋"/>
          <w:color w:val="000000"/>
          <w:sz w:val="32"/>
          <w:szCs w:val="32"/>
          <w:lang w:val="en-US" w:eastAsia="zh-CN"/>
        </w:rPr>
        <w:t>5</w:t>
      </w:r>
      <w:r>
        <w:rPr>
          <w:rFonts w:hint="eastAsia" w:ascii="仿宋" w:hAnsi="仿宋" w:eastAsia="仿宋"/>
          <w:color w:val="000000"/>
          <w:sz w:val="32"/>
          <w:szCs w:val="32"/>
        </w:rPr>
        <w:t>.住房保障支出（类）住房改革支出（款）住房公积金（项）：指反映行政事业单位按人</w:t>
      </w:r>
      <w:r>
        <w:rPr>
          <w:rFonts w:hint="eastAsia" w:ascii="仿宋" w:hAnsi="仿宋" w:eastAsia="仿宋"/>
          <w:color w:val="000000"/>
          <w:sz w:val="32"/>
          <w:szCs w:val="32"/>
          <w:lang w:val="en-US" w:eastAsia="zh-CN"/>
        </w:rPr>
        <w:t>力</w:t>
      </w:r>
      <w:r>
        <w:rPr>
          <w:rFonts w:hint="eastAsia" w:ascii="仿宋" w:hAnsi="仿宋" w:eastAsia="仿宋"/>
          <w:color w:val="000000"/>
          <w:sz w:val="32"/>
          <w:szCs w:val="32"/>
        </w:rPr>
        <w:t>资源和社会保障部、财政部规定的基本工资和津贴补贴以及规定比例为职工缴纳的住房公积金</w:t>
      </w:r>
    </w:p>
    <w:p w14:paraId="72C891BB">
      <w:pPr>
        <w:ind w:firstLine="640" w:firstLineChars="200"/>
        <w:rPr>
          <w:rFonts w:ascii="仿宋" w:hAnsi="仿宋" w:eastAsia="仿宋"/>
          <w:color w:val="000000"/>
          <w:sz w:val="32"/>
          <w:szCs w:val="32"/>
        </w:rPr>
      </w:pPr>
      <w:r>
        <w:rPr>
          <w:rFonts w:hint="eastAsia" w:ascii="仿宋" w:hAnsi="仿宋" w:eastAsia="仿宋"/>
          <w:color w:val="000000"/>
          <w:sz w:val="32"/>
          <w:szCs w:val="32"/>
        </w:rPr>
        <w:t>1</w:t>
      </w:r>
      <w:r>
        <w:rPr>
          <w:rFonts w:hint="eastAsia" w:ascii="仿宋" w:hAnsi="仿宋" w:eastAsia="仿宋"/>
          <w:color w:val="000000"/>
          <w:sz w:val="32"/>
          <w:szCs w:val="32"/>
          <w:lang w:val="en-US" w:eastAsia="zh-CN"/>
        </w:rPr>
        <w:t>6</w:t>
      </w:r>
      <w:r>
        <w:rPr>
          <w:rFonts w:hint="eastAsia" w:ascii="仿宋" w:hAnsi="仿宋" w:eastAsia="仿宋"/>
          <w:color w:val="000000"/>
          <w:sz w:val="32"/>
          <w:szCs w:val="32"/>
        </w:rPr>
        <w:t>.基本支出：指为保障机构正常运转、完成日常工作任务而发生的人员支出和公用支出。</w:t>
      </w:r>
    </w:p>
    <w:p w14:paraId="6D3AB0FE">
      <w:pPr>
        <w:ind w:firstLine="640" w:firstLineChars="200"/>
        <w:rPr>
          <w:rFonts w:ascii="仿宋" w:hAnsi="仿宋" w:eastAsia="仿宋"/>
          <w:color w:val="000000"/>
          <w:sz w:val="32"/>
          <w:szCs w:val="32"/>
        </w:rPr>
      </w:pPr>
      <w:r>
        <w:rPr>
          <w:rFonts w:hint="eastAsia" w:ascii="仿宋" w:hAnsi="仿宋" w:eastAsia="仿宋"/>
          <w:color w:val="000000"/>
          <w:sz w:val="32"/>
          <w:szCs w:val="32"/>
        </w:rPr>
        <w:t>1</w:t>
      </w:r>
      <w:r>
        <w:rPr>
          <w:rFonts w:hint="eastAsia" w:ascii="仿宋" w:hAnsi="仿宋" w:eastAsia="仿宋"/>
          <w:color w:val="000000"/>
          <w:sz w:val="32"/>
          <w:szCs w:val="32"/>
          <w:lang w:val="en-US" w:eastAsia="zh-CN"/>
        </w:rPr>
        <w:t>7</w:t>
      </w:r>
      <w:r>
        <w:rPr>
          <w:rFonts w:hint="eastAsia" w:ascii="仿宋" w:hAnsi="仿宋" w:eastAsia="仿宋"/>
          <w:color w:val="000000"/>
          <w:sz w:val="32"/>
          <w:szCs w:val="32"/>
        </w:rPr>
        <w:t xml:space="preserve">.项目支出：指在基本支出之外为完成特定行政任务和事业发展目标所发生的支出。 </w:t>
      </w:r>
    </w:p>
    <w:p w14:paraId="4C7412E1">
      <w:pPr>
        <w:pStyle w:val="20"/>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1</w:t>
      </w:r>
      <w:r>
        <w:rPr>
          <w:rFonts w:hint="eastAsia" w:hAnsi="仿宋" w:cs="Times New Roman"/>
          <w:kern w:val="2"/>
          <w:sz w:val="32"/>
          <w:szCs w:val="32"/>
          <w:lang w:val="en-US" w:eastAsia="zh-CN"/>
        </w:rPr>
        <w:t>8</w:t>
      </w:r>
      <w:r>
        <w:rPr>
          <w:rFonts w:hint="eastAsia" w:hAnsi="仿宋" w:cs="Times New Roman"/>
          <w:kern w:val="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12487C7D">
      <w:pPr>
        <w:pStyle w:val="20"/>
        <w:spacing w:line="560" w:lineRule="exact"/>
        <w:ind w:firstLine="640" w:firstLineChars="200"/>
        <w:jc w:val="both"/>
        <w:rPr>
          <w:rFonts w:hAnsi="仿宋" w:cs="Times New Roman"/>
          <w:kern w:val="2"/>
          <w:sz w:val="32"/>
          <w:szCs w:val="32"/>
        </w:rPr>
      </w:pPr>
      <w:r>
        <w:rPr>
          <w:rFonts w:hint="eastAsia" w:hAnsi="仿宋" w:cs="Times New Roman"/>
          <w:kern w:val="2"/>
          <w:sz w:val="32"/>
          <w:szCs w:val="32"/>
          <w:lang w:val="en-US" w:eastAsia="zh-CN"/>
        </w:rPr>
        <w:t>19</w:t>
      </w:r>
      <w:r>
        <w:rPr>
          <w:rFonts w:hint="eastAsia" w:hAnsi="仿宋" w:cs="Times New Roman"/>
          <w:kern w:val="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040E8BE6">
      <w:pPr>
        <w:pStyle w:val="20"/>
        <w:spacing w:line="560" w:lineRule="exact"/>
        <w:ind w:firstLine="640" w:firstLineChars="200"/>
        <w:jc w:val="both"/>
        <w:rPr>
          <w:rFonts w:hAnsi="仿宋" w:cs="Times New Roman"/>
          <w:kern w:val="2"/>
          <w:sz w:val="32"/>
          <w:szCs w:val="32"/>
        </w:rPr>
      </w:pPr>
    </w:p>
    <w:p w14:paraId="469F64B2">
      <w:pPr>
        <w:pStyle w:val="20"/>
        <w:spacing w:line="560" w:lineRule="exact"/>
        <w:ind w:firstLine="640" w:firstLineChars="200"/>
        <w:jc w:val="both"/>
        <w:rPr>
          <w:rFonts w:hAnsi="仿宋" w:cs="Times New Roman"/>
          <w:kern w:val="2"/>
          <w:sz w:val="32"/>
          <w:szCs w:val="32"/>
        </w:rPr>
      </w:pPr>
    </w:p>
    <w:p w14:paraId="7DD4BE4E">
      <w:pPr>
        <w:pStyle w:val="20"/>
        <w:spacing w:line="560" w:lineRule="exact"/>
        <w:ind w:firstLine="640" w:firstLineChars="200"/>
        <w:jc w:val="both"/>
        <w:rPr>
          <w:rFonts w:hAnsi="仿宋" w:cs="Times New Roman"/>
          <w:kern w:val="2"/>
          <w:sz w:val="32"/>
          <w:szCs w:val="32"/>
        </w:rPr>
      </w:pPr>
    </w:p>
    <w:p w14:paraId="4E825B74">
      <w:pPr>
        <w:spacing w:line="600" w:lineRule="exact"/>
        <w:jc w:val="center"/>
        <w:outlineLvl w:val="0"/>
        <w:rPr>
          <w:rFonts w:ascii="黑体" w:hAnsi="黑体" w:eastAsia="黑体"/>
          <w:sz w:val="44"/>
          <w:szCs w:val="44"/>
        </w:rPr>
      </w:pPr>
    </w:p>
    <w:p w14:paraId="0708E3BC">
      <w:pPr>
        <w:spacing w:line="600" w:lineRule="exact"/>
        <w:jc w:val="center"/>
        <w:outlineLvl w:val="0"/>
        <w:rPr>
          <w:rFonts w:ascii="黑体" w:hAnsi="黑体" w:eastAsia="黑体"/>
          <w:sz w:val="44"/>
          <w:szCs w:val="44"/>
        </w:rPr>
      </w:pPr>
    </w:p>
    <w:p w14:paraId="6FFFF2B6">
      <w:pPr>
        <w:spacing w:line="600" w:lineRule="exact"/>
        <w:jc w:val="center"/>
        <w:outlineLvl w:val="0"/>
        <w:rPr>
          <w:rFonts w:ascii="黑体" w:hAnsi="黑体" w:eastAsia="黑体"/>
          <w:sz w:val="44"/>
          <w:szCs w:val="44"/>
        </w:rPr>
      </w:pPr>
    </w:p>
    <w:p w14:paraId="4D7D4C4B">
      <w:pPr>
        <w:spacing w:line="600" w:lineRule="exact"/>
        <w:jc w:val="center"/>
        <w:outlineLvl w:val="0"/>
        <w:rPr>
          <w:rFonts w:ascii="黑体" w:hAnsi="黑体" w:eastAsia="黑体"/>
          <w:sz w:val="44"/>
          <w:szCs w:val="44"/>
        </w:rPr>
      </w:pPr>
    </w:p>
    <w:p w14:paraId="5C93FF2B">
      <w:pPr>
        <w:spacing w:line="600" w:lineRule="exact"/>
        <w:outlineLvl w:val="0"/>
        <w:rPr>
          <w:rFonts w:ascii="黑体" w:hAnsi="黑体" w:eastAsia="黑体"/>
          <w:sz w:val="44"/>
          <w:szCs w:val="44"/>
        </w:rPr>
      </w:pPr>
    </w:p>
    <w:p w14:paraId="7C8B9739">
      <w:pPr>
        <w:spacing w:line="600" w:lineRule="exact"/>
        <w:outlineLvl w:val="0"/>
        <w:rPr>
          <w:rFonts w:ascii="黑体" w:hAnsi="黑体" w:eastAsia="黑体"/>
          <w:sz w:val="44"/>
          <w:szCs w:val="44"/>
        </w:rPr>
      </w:pPr>
    </w:p>
    <w:p w14:paraId="1008BE59">
      <w:pPr>
        <w:pStyle w:val="2"/>
        <w:rPr>
          <w:rFonts w:ascii="黑体" w:hAnsi="黑体" w:eastAsia="黑体"/>
          <w:sz w:val="44"/>
          <w:szCs w:val="44"/>
        </w:rPr>
      </w:pPr>
    </w:p>
    <w:p w14:paraId="3EAD1A01">
      <w:pPr>
        <w:pStyle w:val="3"/>
      </w:pPr>
    </w:p>
    <w:p w14:paraId="71495849">
      <w:pPr>
        <w:spacing w:line="600" w:lineRule="exact"/>
        <w:outlineLvl w:val="0"/>
        <w:rPr>
          <w:rFonts w:ascii="黑体" w:hAnsi="黑体" w:eastAsia="黑体"/>
          <w:sz w:val="44"/>
          <w:szCs w:val="44"/>
        </w:rPr>
      </w:pPr>
    </w:p>
    <w:p w14:paraId="33AEE3B1">
      <w:pPr>
        <w:numPr>
          <w:ilvl w:val="0"/>
          <w:numId w:val="5"/>
        </w:numPr>
        <w:spacing w:line="600" w:lineRule="exact"/>
        <w:ind w:firstLine="660" w:firstLineChars="150"/>
        <w:jc w:val="center"/>
        <w:outlineLvl w:val="0"/>
        <w:rPr>
          <w:rStyle w:val="17"/>
          <w:rFonts w:ascii="黑体" w:hAnsi="黑体" w:eastAsia="黑体"/>
          <w:b w:val="0"/>
        </w:rPr>
      </w:pPr>
      <w:r>
        <w:rPr>
          <w:rStyle w:val="17"/>
          <w:rFonts w:hint="eastAsia" w:ascii="黑体" w:hAnsi="黑体" w:eastAsia="黑体"/>
          <w:b w:val="0"/>
        </w:rPr>
        <w:t>附件</w:t>
      </w:r>
      <w:bookmarkEnd w:id="51"/>
    </w:p>
    <w:p w14:paraId="7D99D5F6">
      <w:pPr>
        <w:spacing w:line="600" w:lineRule="exact"/>
        <w:jc w:val="center"/>
        <w:outlineLvl w:val="0"/>
        <w:rPr>
          <w:rFonts w:hint="eastAsia" w:ascii="黑体" w:hAnsi="黑体" w:eastAsia="黑体"/>
          <w:color w:val="FF0000"/>
          <w:sz w:val="44"/>
          <w:szCs w:val="44"/>
        </w:rPr>
      </w:pPr>
      <w:r>
        <w:rPr>
          <w:rFonts w:hint="eastAsia" w:hAnsi="Times New Roman"/>
          <w:sz w:val="32"/>
          <w:szCs w:val="32"/>
        </w:rPr>
        <w:t>部门预算项目支出绩效自评表（2024年度）</w:t>
      </w:r>
    </w:p>
    <w:p w14:paraId="07199212"/>
    <w:p w14:paraId="1DB59F54">
      <w:r>
        <w:drawing>
          <wp:inline distT="0" distB="0" distL="114300" distR="114300">
            <wp:extent cx="5241925" cy="4398010"/>
            <wp:effectExtent l="0" t="0" r="3175"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5241925" cy="4398010"/>
                    </a:xfrm>
                    <a:prstGeom prst="rect">
                      <a:avLst/>
                    </a:prstGeom>
                    <a:noFill/>
                    <a:ln>
                      <a:noFill/>
                    </a:ln>
                  </pic:spPr>
                </pic:pic>
              </a:graphicData>
            </a:graphic>
          </wp:inline>
        </w:drawing>
      </w:r>
      <w:r>
        <w:drawing>
          <wp:inline distT="0" distB="0" distL="114300" distR="114300">
            <wp:extent cx="5246370" cy="4652645"/>
            <wp:effectExtent l="0" t="0" r="1143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5246370" cy="4652645"/>
                    </a:xfrm>
                    <a:prstGeom prst="rect">
                      <a:avLst/>
                    </a:prstGeom>
                    <a:noFill/>
                    <a:ln>
                      <a:noFill/>
                    </a:ln>
                  </pic:spPr>
                </pic:pic>
              </a:graphicData>
            </a:graphic>
          </wp:inline>
        </w:drawing>
      </w:r>
      <w:r>
        <w:drawing>
          <wp:inline distT="0" distB="0" distL="114300" distR="114300">
            <wp:extent cx="5207635" cy="4337685"/>
            <wp:effectExtent l="0" t="0" r="12065" b="571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07635" cy="4337685"/>
                    </a:xfrm>
                    <a:prstGeom prst="rect">
                      <a:avLst/>
                    </a:prstGeom>
                    <a:noFill/>
                    <a:ln>
                      <a:noFill/>
                    </a:ln>
                  </pic:spPr>
                </pic:pic>
              </a:graphicData>
            </a:graphic>
          </wp:inline>
        </w:drawing>
      </w:r>
      <w:r>
        <w:rPr>
          <w:highlight w:val="black"/>
        </w:rPr>
        <w:drawing>
          <wp:inline distT="0" distB="0" distL="114300" distR="114300">
            <wp:extent cx="5186045" cy="4384675"/>
            <wp:effectExtent l="0" t="0" r="8255" b="952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6"/>
                    <a:stretch>
                      <a:fillRect/>
                    </a:stretch>
                  </pic:blipFill>
                  <pic:spPr>
                    <a:xfrm>
                      <a:off x="0" y="0"/>
                      <a:ext cx="5186045" cy="4384675"/>
                    </a:xfrm>
                    <a:prstGeom prst="rect">
                      <a:avLst/>
                    </a:prstGeom>
                    <a:noFill/>
                    <a:ln>
                      <a:noFill/>
                    </a:ln>
                  </pic:spPr>
                </pic:pic>
              </a:graphicData>
            </a:graphic>
          </wp:inline>
        </w:drawing>
      </w:r>
      <w:r>
        <w:drawing>
          <wp:inline distT="0" distB="0" distL="114300" distR="114300">
            <wp:extent cx="5245735" cy="4258310"/>
            <wp:effectExtent l="0" t="0" r="12065" b="889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7"/>
                    <a:stretch>
                      <a:fillRect/>
                    </a:stretch>
                  </pic:blipFill>
                  <pic:spPr>
                    <a:xfrm>
                      <a:off x="0" y="0"/>
                      <a:ext cx="5245735" cy="4258310"/>
                    </a:xfrm>
                    <a:prstGeom prst="rect">
                      <a:avLst/>
                    </a:prstGeom>
                    <a:noFill/>
                    <a:ln>
                      <a:noFill/>
                    </a:ln>
                  </pic:spPr>
                </pic:pic>
              </a:graphicData>
            </a:graphic>
          </wp:inline>
        </w:drawing>
      </w:r>
      <w:r>
        <w:drawing>
          <wp:inline distT="0" distB="0" distL="114300" distR="114300">
            <wp:extent cx="5242560" cy="4399915"/>
            <wp:effectExtent l="0" t="0" r="254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8"/>
                    <a:stretch>
                      <a:fillRect/>
                    </a:stretch>
                  </pic:blipFill>
                  <pic:spPr>
                    <a:xfrm>
                      <a:off x="0" y="0"/>
                      <a:ext cx="5242560" cy="4399915"/>
                    </a:xfrm>
                    <a:prstGeom prst="rect">
                      <a:avLst/>
                    </a:prstGeom>
                    <a:noFill/>
                    <a:ln>
                      <a:noFill/>
                    </a:ln>
                  </pic:spPr>
                </pic:pic>
              </a:graphicData>
            </a:graphic>
          </wp:inline>
        </w:drawing>
      </w:r>
      <w:r>
        <w:drawing>
          <wp:inline distT="0" distB="0" distL="114300" distR="114300">
            <wp:extent cx="5241925" cy="7793990"/>
            <wp:effectExtent l="0" t="0" r="3175" b="381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9"/>
                    <a:stretch>
                      <a:fillRect/>
                    </a:stretch>
                  </pic:blipFill>
                  <pic:spPr>
                    <a:xfrm>
                      <a:off x="0" y="0"/>
                      <a:ext cx="5241925" cy="7793990"/>
                    </a:xfrm>
                    <a:prstGeom prst="rect">
                      <a:avLst/>
                    </a:prstGeom>
                    <a:noFill/>
                    <a:ln>
                      <a:noFill/>
                    </a:ln>
                  </pic:spPr>
                </pic:pic>
              </a:graphicData>
            </a:graphic>
          </wp:inline>
        </w:drawing>
      </w:r>
    </w:p>
    <w:p w14:paraId="171A4828"/>
    <w:p w14:paraId="59003338"/>
    <w:p w14:paraId="02432113"/>
    <w:p w14:paraId="50339AF9"/>
    <w:p w14:paraId="5221CF2A"/>
    <w:p w14:paraId="501618B1"/>
    <w:p w14:paraId="173AAA19"/>
    <w:p w14:paraId="570BA507">
      <w:pPr>
        <w:spacing w:line="600" w:lineRule="exact"/>
        <w:ind w:firstLine="2640" w:firstLineChars="600"/>
        <w:outlineLvl w:val="0"/>
        <w:rPr>
          <w:rFonts w:ascii="仿宋" w:hAnsi="仿宋" w:eastAsia="仿宋"/>
        </w:rPr>
      </w:pPr>
      <w:bookmarkStart w:id="53" w:name="_Toc15396618"/>
      <w:r>
        <w:rPr>
          <w:rFonts w:hint="eastAsia" w:ascii="黑体" w:hAnsi="黑体" w:eastAsia="黑体"/>
          <w:sz w:val="44"/>
          <w:szCs w:val="44"/>
        </w:rPr>
        <w:t>第</w:t>
      </w:r>
      <w:r>
        <w:rPr>
          <w:rStyle w:val="17"/>
          <w:rFonts w:hint="eastAsia" w:ascii="黑体" w:hAnsi="黑体" w:eastAsia="黑体"/>
          <w:b w:val="0"/>
        </w:rPr>
        <w:t>五部分 附表</w:t>
      </w:r>
      <w:bookmarkEnd w:id="52"/>
      <w:bookmarkEnd w:id="53"/>
      <w:bookmarkStart w:id="54" w:name="_Toc15396619"/>
    </w:p>
    <w:p w14:paraId="236B3A0B">
      <w:pPr>
        <w:pStyle w:val="6"/>
        <w:rPr>
          <w:rFonts w:ascii="仿宋" w:hAnsi="仿宋" w:eastAsia="仿宋"/>
        </w:rPr>
      </w:pPr>
      <w:r>
        <w:rPr>
          <w:rFonts w:hint="eastAsia" w:ascii="仿宋" w:hAnsi="仿宋" w:eastAsia="仿宋"/>
          <w:b w:val="0"/>
        </w:rPr>
        <w:t>一、收</w:t>
      </w:r>
      <w:r>
        <w:rPr>
          <w:rStyle w:val="18"/>
          <w:rFonts w:hint="eastAsia" w:ascii="仿宋" w:hAnsi="仿宋" w:eastAsia="仿宋"/>
          <w:b w:val="0"/>
          <w:bCs w:val="0"/>
        </w:rPr>
        <w:t>入支出决算总表</w:t>
      </w:r>
      <w:bookmarkEnd w:id="54"/>
    </w:p>
    <w:p w14:paraId="5365FFE8">
      <w:pPr>
        <w:pStyle w:val="6"/>
        <w:rPr>
          <w:rFonts w:ascii="仿宋" w:hAnsi="仿宋" w:eastAsia="仿宋"/>
        </w:rPr>
      </w:pPr>
      <w:bookmarkStart w:id="55" w:name="_Toc15396620"/>
      <w:r>
        <w:rPr>
          <w:rFonts w:hint="eastAsia" w:ascii="仿宋" w:hAnsi="仿宋" w:eastAsia="仿宋"/>
          <w:b w:val="0"/>
        </w:rPr>
        <w:t>二、收</w:t>
      </w:r>
      <w:r>
        <w:rPr>
          <w:rStyle w:val="18"/>
          <w:rFonts w:hint="eastAsia" w:ascii="仿宋" w:hAnsi="仿宋" w:eastAsia="仿宋"/>
          <w:b w:val="0"/>
          <w:bCs w:val="0"/>
        </w:rPr>
        <w:t>入决算表</w:t>
      </w:r>
      <w:bookmarkEnd w:id="55"/>
    </w:p>
    <w:p w14:paraId="1B41E711">
      <w:pPr>
        <w:pStyle w:val="6"/>
        <w:rPr>
          <w:rFonts w:ascii="仿宋" w:hAnsi="仿宋" w:eastAsia="仿宋"/>
        </w:rPr>
      </w:pPr>
      <w:bookmarkStart w:id="56" w:name="_Toc15396621"/>
      <w:r>
        <w:rPr>
          <w:rStyle w:val="18"/>
          <w:rFonts w:hint="eastAsia" w:ascii="仿宋" w:hAnsi="仿宋" w:eastAsia="仿宋"/>
          <w:b w:val="0"/>
          <w:bCs w:val="0"/>
        </w:rPr>
        <w:t>三、</w:t>
      </w:r>
      <w:r>
        <w:rPr>
          <w:rFonts w:hint="eastAsia" w:ascii="仿宋" w:hAnsi="仿宋" w:eastAsia="仿宋"/>
          <w:b w:val="0"/>
        </w:rPr>
        <w:t>支</w:t>
      </w:r>
      <w:r>
        <w:rPr>
          <w:rStyle w:val="18"/>
          <w:rFonts w:hint="eastAsia" w:ascii="仿宋" w:hAnsi="仿宋" w:eastAsia="仿宋"/>
          <w:b w:val="0"/>
          <w:bCs w:val="0"/>
        </w:rPr>
        <w:t>出决算表</w:t>
      </w:r>
      <w:bookmarkEnd w:id="56"/>
    </w:p>
    <w:p w14:paraId="6352693F">
      <w:pPr>
        <w:pStyle w:val="6"/>
        <w:rPr>
          <w:rFonts w:ascii="仿宋" w:hAnsi="仿宋" w:eastAsia="仿宋"/>
          <w:b w:val="0"/>
        </w:rPr>
      </w:pPr>
      <w:bookmarkStart w:id="57" w:name="_Toc15396622"/>
      <w:r>
        <w:rPr>
          <w:rStyle w:val="18"/>
          <w:rFonts w:hint="eastAsia" w:ascii="仿宋" w:hAnsi="仿宋" w:eastAsia="仿宋"/>
          <w:b w:val="0"/>
          <w:bCs w:val="0"/>
        </w:rPr>
        <w:t>四、</w:t>
      </w:r>
      <w:r>
        <w:rPr>
          <w:rFonts w:hint="eastAsia" w:ascii="仿宋" w:hAnsi="仿宋" w:eastAsia="仿宋"/>
          <w:b w:val="0"/>
        </w:rPr>
        <w:t>财</w:t>
      </w:r>
      <w:r>
        <w:rPr>
          <w:rStyle w:val="18"/>
          <w:rFonts w:hint="eastAsia" w:ascii="仿宋" w:hAnsi="仿宋" w:eastAsia="仿宋"/>
          <w:b w:val="0"/>
          <w:bCs w:val="0"/>
        </w:rPr>
        <w:t>政拨款收入支出决算总表</w:t>
      </w:r>
      <w:bookmarkEnd w:id="57"/>
    </w:p>
    <w:p w14:paraId="54C9235C">
      <w:pPr>
        <w:pStyle w:val="6"/>
        <w:rPr>
          <w:rStyle w:val="18"/>
          <w:rFonts w:ascii="仿宋" w:hAnsi="仿宋" w:eastAsia="仿宋"/>
          <w:b w:val="0"/>
          <w:bCs w:val="0"/>
        </w:rPr>
      </w:pPr>
      <w:bookmarkStart w:id="58" w:name="_Toc15396623"/>
      <w:r>
        <w:rPr>
          <w:rStyle w:val="18"/>
          <w:rFonts w:hint="eastAsia" w:ascii="仿宋" w:hAnsi="仿宋" w:eastAsia="仿宋"/>
          <w:b w:val="0"/>
          <w:bCs w:val="0"/>
        </w:rPr>
        <w:t>五、</w:t>
      </w:r>
      <w:r>
        <w:rPr>
          <w:rFonts w:hint="eastAsia" w:ascii="仿宋" w:hAnsi="仿宋" w:eastAsia="仿宋"/>
          <w:b w:val="0"/>
        </w:rPr>
        <w:t>财</w:t>
      </w:r>
      <w:r>
        <w:rPr>
          <w:rStyle w:val="18"/>
          <w:rFonts w:hint="eastAsia" w:ascii="仿宋" w:hAnsi="仿宋" w:eastAsia="仿宋"/>
          <w:b w:val="0"/>
          <w:bCs w:val="0"/>
        </w:rPr>
        <w:t>政拨款支出决算明细表</w:t>
      </w:r>
      <w:bookmarkEnd w:id="58"/>
      <w:bookmarkStart w:id="59" w:name="_Toc15396624"/>
    </w:p>
    <w:p w14:paraId="2BEB6E43">
      <w:pPr>
        <w:pStyle w:val="6"/>
        <w:rPr>
          <w:rFonts w:ascii="仿宋" w:hAnsi="仿宋" w:eastAsia="仿宋"/>
        </w:rPr>
      </w:pPr>
      <w:r>
        <w:rPr>
          <w:rStyle w:val="18"/>
          <w:rFonts w:hint="eastAsia" w:ascii="仿宋" w:hAnsi="仿宋" w:eastAsia="仿宋"/>
          <w:b w:val="0"/>
          <w:bCs w:val="0"/>
        </w:rPr>
        <w:t>六、</w:t>
      </w:r>
      <w:r>
        <w:rPr>
          <w:rFonts w:hint="eastAsia" w:ascii="仿宋" w:hAnsi="仿宋" w:eastAsia="仿宋"/>
          <w:b w:val="0"/>
        </w:rPr>
        <w:t>一</w:t>
      </w:r>
      <w:r>
        <w:rPr>
          <w:rStyle w:val="18"/>
          <w:rFonts w:hint="eastAsia" w:ascii="仿宋" w:hAnsi="仿宋" w:eastAsia="仿宋"/>
          <w:b w:val="0"/>
          <w:bCs w:val="0"/>
        </w:rPr>
        <w:t>般公共预算财政拨款支出决算表</w:t>
      </w:r>
      <w:bookmarkEnd w:id="59"/>
    </w:p>
    <w:p w14:paraId="02167838">
      <w:pPr>
        <w:pStyle w:val="6"/>
        <w:rPr>
          <w:rFonts w:ascii="仿宋" w:hAnsi="仿宋" w:eastAsia="仿宋"/>
        </w:rPr>
      </w:pPr>
      <w:bookmarkStart w:id="60" w:name="_Toc15396625"/>
      <w:r>
        <w:rPr>
          <w:rStyle w:val="18"/>
          <w:rFonts w:hint="eastAsia" w:ascii="仿宋" w:hAnsi="仿宋" w:eastAsia="仿宋"/>
          <w:b w:val="0"/>
          <w:bCs w:val="0"/>
        </w:rPr>
        <w:t>七、</w:t>
      </w:r>
      <w:r>
        <w:rPr>
          <w:rFonts w:hint="eastAsia" w:ascii="仿宋" w:hAnsi="仿宋" w:eastAsia="仿宋"/>
          <w:b w:val="0"/>
        </w:rPr>
        <w:t>一</w:t>
      </w:r>
      <w:r>
        <w:rPr>
          <w:rStyle w:val="18"/>
          <w:rFonts w:hint="eastAsia" w:ascii="仿宋" w:hAnsi="仿宋" w:eastAsia="仿宋"/>
          <w:b w:val="0"/>
          <w:bCs w:val="0"/>
        </w:rPr>
        <w:t>般公共预算财政拨款支出决算明细表</w:t>
      </w:r>
      <w:bookmarkEnd w:id="60"/>
    </w:p>
    <w:p w14:paraId="58B7F6E3">
      <w:pPr>
        <w:pStyle w:val="6"/>
        <w:rPr>
          <w:rFonts w:ascii="仿宋" w:hAnsi="仿宋" w:eastAsia="仿宋"/>
        </w:rPr>
      </w:pPr>
      <w:bookmarkStart w:id="61" w:name="_Toc15396626"/>
      <w:r>
        <w:rPr>
          <w:rStyle w:val="18"/>
          <w:rFonts w:hint="eastAsia" w:ascii="仿宋" w:hAnsi="仿宋" w:eastAsia="仿宋"/>
          <w:b w:val="0"/>
          <w:bCs w:val="0"/>
        </w:rPr>
        <w:t>八、</w:t>
      </w:r>
      <w:r>
        <w:rPr>
          <w:rFonts w:hint="eastAsia" w:ascii="仿宋" w:hAnsi="仿宋" w:eastAsia="仿宋"/>
          <w:b w:val="0"/>
        </w:rPr>
        <w:t>一</w:t>
      </w:r>
      <w:r>
        <w:rPr>
          <w:rStyle w:val="18"/>
          <w:rFonts w:hint="eastAsia" w:ascii="仿宋" w:hAnsi="仿宋" w:eastAsia="仿宋"/>
          <w:b w:val="0"/>
          <w:bCs w:val="0"/>
        </w:rPr>
        <w:t>般公共预算财政拨款基本支出决算表</w:t>
      </w:r>
      <w:bookmarkEnd w:id="61"/>
    </w:p>
    <w:p w14:paraId="14E4112C">
      <w:pPr>
        <w:pStyle w:val="6"/>
        <w:rPr>
          <w:rFonts w:ascii="仿宋" w:hAnsi="仿宋" w:eastAsia="仿宋"/>
        </w:rPr>
      </w:pPr>
      <w:bookmarkStart w:id="62" w:name="_Toc15396627"/>
      <w:r>
        <w:rPr>
          <w:rStyle w:val="18"/>
          <w:rFonts w:hint="eastAsia" w:ascii="仿宋" w:hAnsi="仿宋" w:eastAsia="仿宋"/>
          <w:b w:val="0"/>
          <w:bCs w:val="0"/>
        </w:rPr>
        <w:t>九、</w:t>
      </w:r>
      <w:r>
        <w:rPr>
          <w:rFonts w:hint="eastAsia" w:ascii="仿宋" w:hAnsi="仿宋" w:eastAsia="仿宋"/>
          <w:b w:val="0"/>
        </w:rPr>
        <w:t>一</w:t>
      </w:r>
      <w:r>
        <w:rPr>
          <w:rStyle w:val="18"/>
          <w:rFonts w:hint="eastAsia" w:ascii="仿宋" w:hAnsi="仿宋" w:eastAsia="仿宋"/>
          <w:b w:val="0"/>
          <w:bCs w:val="0"/>
        </w:rPr>
        <w:t>般公共预算财政拨款项目支出决算表</w:t>
      </w:r>
      <w:bookmarkEnd w:id="62"/>
    </w:p>
    <w:p w14:paraId="5B033D20">
      <w:pPr>
        <w:pStyle w:val="6"/>
        <w:rPr>
          <w:rFonts w:ascii="仿宋" w:hAnsi="仿宋" w:eastAsia="仿宋"/>
        </w:rPr>
      </w:pPr>
      <w:bookmarkStart w:id="63" w:name="_Toc15396628"/>
      <w:r>
        <w:rPr>
          <w:rStyle w:val="18"/>
          <w:rFonts w:hint="eastAsia" w:ascii="仿宋" w:hAnsi="仿宋" w:eastAsia="仿宋"/>
          <w:b w:val="0"/>
          <w:bCs w:val="0"/>
        </w:rPr>
        <w:t>十、</w:t>
      </w:r>
      <w:bookmarkEnd w:id="63"/>
      <w:r>
        <w:rPr>
          <w:rFonts w:hint="eastAsia" w:ascii="仿宋" w:hAnsi="仿宋" w:eastAsia="仿宋"/>
          <w:b w:val="0"/>
        </w:rPr>
        <w:t>政</w:t>
      </w:r>
      <w:r>
        <w:rPr>
          <w:rStyle w:val="18"/>
          <w:rFonts w:hint="eastAsia" w:ascii="仿宋" w:hAnsi="仿宋" w:eastAsia="仿宋"/>
          <w:b w:val="0"/>
          <w:bCs w:val="0"/>
        </w:rPr>
        <w:t>府性基金预算财政拨款收入支出决算表</w:t>
      </w:r>
    </w:p>
    <w:p w14:paraId="1B863B64">
      <w:pPr>
        <w:pStyle w:val="6"/>
        <w:rPr>
          <w:rFonts w:ascii="仿宋" w:hAnsi="仿宋" w:eastAsia="仿宋"/>
        </w:rPr>
      </w:pPr>
      <w:bookmarkStart w:id="64" w:name="_Toc15396629"/>
      <w:r>
        <w:rPr>
          <w:rStyle w:val="18"/>
          <w:rFonts w:hint="eastAsia" w:ascii="仿宋" w:hAnsi="仿宋" w:eastAsia="仿宋"/>
          <w:b w:val="0"/>
          <w:bCs w:val="0"/>
        </w:rPr>
        <w:t>十一、</w:t>
      </w:r>
      <w:bookmarkEnd w:id="64"/>
      <w:r>
        <w:rPr>
          <w:rFonts w:hint="eastAsia" w:ascii="仿宋" w:hAnsi="仿宋" w:eastAsia="仿宋"/>
          <w:b w:val="0"/>
        </w:rPr>
        <w:t>国</w:t>
      </w:r>
      <w:r>
        <w:rPr>
          <w:rStyle w:val="18"/>
          <w:rFonts w:hint="eastAsia" w:ascii="仿宋" w:hAnsi="仿宋" w:eastAsia="仿宋"/>
          <w:b w:val="0"/>
          <w:bCs w:val="0"/>
        </w:rPr>
        <w:t>有资本经营预算财政拨款收入支出决算表</w:t>
      </w:r>
    </w:p>
    <w:p w14:paraId="0EBA3254">
      <w:pPr>
        <w:pStyle w:val="6"/>
        <w:rPr>
          <w:rFonts w:ascii="仿宋" w:hAnsi="仿宋" w:eastAsia="仿宋"/>
        </w:rPr>
      </w:pPr>
      <w:bookmarkStart w:id="65" w:name="_Toc15396630"/>
      <w:r>
        <w:rPr>
          <w:rStyle w:val="18"/>
          <w:rFonts w:hint="eastAsia" w:ascii="仿宋" w:hAnsi="仿宋" w:eastAsia="仿宋"/>
          <w:b w:val="0"/>
          <w:bCs w:val="0"/>
        </w:rPr>
        <w:t>十二、</w:t>
      </w:r>
      <w:bookmarkEnd w:id="65"/>
      <w:r>
        <w:rPr>
          <w:rStyle w:val="18"/>
          <w:rFonts w:hint="eastAsia" w:ascii="仿宋" w:hAnsi="仿宋" w:eastAsia="仿宋"/>
          <w:b w:val="0"/>
          <w:bCs w:val="0"/>
        </w:rPr>
        <w:t>国有资本经营预算财政拨款支出决算表</w:t>
      </w:r>
    </w:p>
    <w:p w14:paraId="0BEDC9A5">
      <w:pPr>
        <w:pStyle w:val="6"/>
        <w:rPr>
          <w:rFonts w:eastAsia="仿宋"/>
        </w:rPr>
      </w:pPr>
      <w:bookmarkStart w:id="66" w:name="_Toc15396631"/>
      <w:r>
        <w:rPr>
          <w:rStyle w:val="18"/>
          <w:rFonts w:hint="eastAsia" w:ascii="仿宋" w:hAnsi="仿宋" w:eastAsia="仿宋"/>
          <w:b w:val="0"/>
          <w:bCs w:val="0"/>
        </w:rPr>
        <w:t>十三、</w:t>
      </w:r>
      <w:bookmarkEnd w:id="66"/>
      <w:r>
        <w:rPr>
          <w:rStyle w:val="18"/>
          <w:rFonts w:hint="eastAsia" w:ascii="仿宋" w:hAnsi="仿宋" w:eastAsia="仿宋"/>
          <w:b w:val="0"/>
          <w:bCs w:val="0"/>
        </w:rPr>
        <w:t>财政拨款“三公”经费支出决算表</w:t>
      </w:r>
    </w:p>
    <w:p w14:paraId="430AE252"/>
    <w:sectPr>
      <w:headerReference r:id="rId3" w:type="default"/>
      <w:footerReference r:id="rId4" w:type="default"/>
      <w:pgSz w:w="11906" w:h="16838"/>
      <w:pgMar w:top="1361" w:right="1843" w:bottom="1440" w:left="1797"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261FAA12">
        <w:pPr>
          <w:pStyle w:val="9"/>
          <w:jc w:val="center"/>
        </w:pPr>
        <w:r>
          <w:fldChar w:fldCharType="begin"/>
        </w:r>
        <w:r>
          <w:instrText xml:space="preserve">PAGE   \* MERGEFORMAT</w:instrText>
        </w:r>
        <w:r>
          <w:fldChar w:fldCharType="separate"/>
        </w:r>
        <w:r>
          <w:rPr>
            <w:lang w:val="zh-CN"/>
          </w:rPr>
          <w:t>8</w:t>
        </w:r>
        <w:r>
          <w:rPr>
            <w:lang w:val="zh-CN"/>
          </w:rPr>
          <w:fldChar w:fldCharType="end"/>
        </w:r>
      </w:p>
    </w:sdtContent>
  </w:sdt>
  <w:p w14:paraId="41AB7E3A">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E8247">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0070E208"/>
    <w:multiLevelType w:val="singleLevel"/>
    <w:tmpl w:val="0070E208"/>
    <w:lvl w:ilvl="0" w:tentative="0">
      <w:start w:val="3"/>
      <w:numFmt w:val="chineseCounting"/>
      <w:suff w:val="nothing"/>
      <w:lvlText w:val="（%1）"/>
      <w:lvlJc w:val="left"/>
      <w:rPr>
        <w:rFonts w:hint="eastAsia"/>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3818A09A"/>
    <w:multiLevelType w:val="singleLevel"/>
    <w:tmpl w:val="3818A09A"/>
    <w:lvl w:ilvl="0" w:tentative="0">
      <w:start w:val="1"/>
      <w:numFmt w:val="chineseCounting"/>
      <w:suff w:val="nothing"/>
      <w:lvlText w:val="%1、"/>
      <w:lvlJc w:val="left"/>
      <w:rPr>
        <w:rFonts w:hint="eastAsia"/>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kNjNmMTc4ZmM1MWEwNjFjNWU4YjQwMjAzZTk3ZGQifQ=="/>
  </w:docVars>
  <w:rsids>
    <w:rsidRoot w:val="2D7016E0"/>
    <w:rsid w:val="00092511"/>
    <w:rsid w:val="000A4CF7"/>
    <w:rsid w:val="000F7CC5"/>
    <w:rsid w:val="001056A7"/>
    <w:rsid w:val="00162166"/>
    <w:rsid w:val="001841F6"/>
    <w:rsid w:val="001872C0"/>
    <w:rsid w:val="001B73A3"/>
    <w:rsid w:val="0023712A"/>
    <w:rsid w:val="0039209E"/>
    <w:rsid w:val="003A2268"/>
    <w:rsid w:val="004E7B39"/>
    <w:rsid w:val="00565744"/>
    <w:rsid w:val="00632C18"/>
    <w:rsid w:val="00661BCA"/>
    <w:rsid w:val="006B3D38"/>
    <w:rsid w:val="006C196F"/>
    <w:rsid w:val="00747903"/>
    <w:rsid w:val="00750E23"/>
    <w:rsid w:val="0082030C"/>
    <w:rsid w:val="00820DE5"/>
    <w:rsid w:val="00983863"/>
    <w:rsid w:val="009B11D0"/>
    <w:rsid w:val="00A47738"/>
    <w:rsid w:val="00AA19A5"/>
    <w:rsid w:val="00AC54AE"/>
    <w:rsid w:val="00B20A6B"/>
    <w:rsid w:val="00C00A0D"/>
    <w:rsid w:val="00C5154D"/>
    <w:rsid w:val="00C86088"/>
    <w:rsid w:val="00CB4551"/>
    <w:rsid w:val="00D84AB2"/>
    <w:rsid w:val="00DE1B1A"/>
    <w:rsid w:val="00E50B7F"/>
    <w:rsid w:val="00ED6EFD"/>
    <w:rsid w:val="00EE04D4"/>
    <w:rsid w:val="00F419A7"/>
    <w:rsid w:val="00FA4170"/>
    <w:rsid w:val="00FF6536"/>
    <w:rsid w:val="02F33309"/>
    <w:rsid w:val="04922ECE"/>
    <w:rsid w:val="07332775"/>
    <w:rsid w:val="0B5A78B0"/>
    <w:rsid w:val="0B5E7D0A"/>
    <w:rsid w:val="0ECF222C"/>
    <w:rsid w:val="0F804D8C"/>
    <w:rsid w:val="10281561"/>
    <w:rsid w:val="10A922F2"/>
    <w:rsid w:val="10C044B8"/>
    <w:rsid w:val="10C81CF4"/>
    <w:rsid w:val="11182313"/>
    <w:rsid w:val="1129640A"/>
    <w:rsid w:val="12492A6D"/>
    <w:rsid w:val="134166A8"/>
    <w:rsid w:val="14F72E20"/>
    <w:rsid w:val="17D74767"/>
    <w:rsid w:val="17E66A99"/>
    <w:rsid w:val="1A6609B5"/>
    <w:rsid w:val="1B7159D9"/>
    <w:rsid w:val="1CB81E69"/>
    <w:rsid w:val="1EBB6FB8"/>
    <w:rsid w:val="21FC4A44"/>
    <w:rsid w:val="22CB36AB"/>
    <w:rsid w:val="24983064"/>
    <w:rsid w:val="2CF435A6"/>
    <w:rsid w:val="2D7016E0"/>
    <w:rsid w:val="30227288"/>
    <w:rsid w:val="307E568B"/>
    <w:rsid w:val="31701C41"/>
    <w:rsid w:val="31E10500"/>
    <w:rsid w:val="32184AB3"/>
    <w:rsid w:val="34E04D3F"/>
    <w:rsid w:val="35E7050D"/>
    <w:rsid w:val="362150C0"/>
    <w:rsid w:val="3685134D"/>
    <w:rsid w:val="368A72B5"/>
    <w:rsid w:val="38DE4E7C"/>
    <w:rsid w:val="39721B52"/>
    <w:rsid w:val="3BFE05DD"/>
    <w:rsid w:val="3D051C17"/>
    <w:rsid w:val="3F6438F8"/>
    <w:rsid w:val="40F803BC"/>
    <w:rsid w:val="43855A2A"/>
    <w:rsid w:val="479E2BBD"/>
    <w:rsid w:val="48471C91"/>
    <w:rsid w:val="49837D12"/>
    <w:rsid w:val="4B080E54"/>
    <w:rsid w:val="4B183E1E"/>
    <w:rsid w:val="4B3734F6"/>
    <w:rsid w:val="4B4204B1"/>
    <w:rsid w:val="4CDA0F8F"/>
    <w:rsid w:val="4D516307"/>
    <w:rsid w:val="50514152"/>
    <w:rsid w:val="536776AE"/>
    <w:rsid w:val="53E913DF"/>
    <w:rsid w:val="548B4E14"/>
    <w:rsid w:val="55655A81"/>
    <w:rsid w:val="570E48B3"/>
    <w:rsid w:val="58C74CAF"/>
    <w:rsid w:val="59A64B14"/>
    <w:rsid w:val="5BA7106A"/>
    <w:rsid w:val="5BA932C8"/>
    <w:rsid w:val="5CCA402D"/>
    <w:rsid w:val="5CE25CC3"/>
    <w:rsid w:val="5CEB20E6"/>
    <w:rsid w:val="5EEB2E08"/>
    <w:rsid w:val="60BE3971"/>
    <w:rsid w:val="618F0BD7"/>
    <w:rsid w:val="62596646"/>
    <w:rsid w:val="62675CCD"/>
    <w:rsid w:val="62D41950"/>
    <w:rsid w:val="6326023B"/>
    <w:rsid w:val="63E77F90"/>
    <w:rsid w:val="680E1B50"/>
    <w:rsid w:val="6AFF5259"/>
    <w:rsid w:val="6B1F78D8"/>
    <w:rsid w:val="6B451557"/>
    <w:rsid w:val="6B767AC5"/>
    <w:rsid w:val="6C360339"/>
    <w:rsid w:val="6CF07611"/>
    <w:rsid w:val="6D6F3AE6"/>
    <w:rsid w:val="71344461"/>
    <w:rsid w:val="72EB004E"/>
    <w:rsid w:val="72F34874"/>
    <w:rsid w:val="737C39C6"/>
    <w:rsid w:val="744321B9"/>
    <w:rsid w:val="753D4189"/>
    <w:rsid w:val="75D55F79"/>
    <w:rsid w:val="78A57CB7"/>
    <w:rsid w:val="78E66CFD"/>
    <w:rsid w:val="7A5E5F62"/>
    <w:rsid w:val="7AC264E9"/>
    <w:rsid w:val="7B6A2721"/>
    <w:rsid w:val="7F0F354E"/>
    <w:rsid w:val="7FDE5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footnote text"/>
    <w:basedOn w:val="1"/>
    <w:next w:val="3"/>
    <w:semiHidden/>
    <w:qFormat/>
    <w:uiPriority w:val="0"/>
    <w:pPr>
      <w:snapToGrid w:val="0"/>
      <w:jc w:val="left"/>
    </w:pPr>
    <w:rPr>
      <w:sz w:val="18"/>
      <w:szCs w:val="18"/>
    </w:rPr>
  </w:style>
  <w:style w:type="paragraph" w:styleId="3">
    <w:name w:val="Body Text First Indent 2"/>
    <w:basedOn w:val="4"/>
    <w:next w:val="1"/>
    <w:unhideWhenUsed/>
    <w:qFormat/>
    <w:uiPriority w:val="99"/>
    <w:pPr>
      <w:ind w:firstLine="420" w:firstLineChars="200"/>
    </w:pPr>
  </w:style>
  <w:style w:type="paragraph" w:styleId="4">
    <w:name w:val="Body Text Indent"/>
    <w:basedOn w:val="1"/>
    <w:next w:val="3"/>
    <w:qFormat/>
    <w:uiPriority w:val="0"/>
    <w:pPr>
      <w:spacing w:after="120"/>
      <w:ind w:leftChars="200"/>
    </w:pPr>
    <w:rPr>
      <w:rFonts w:ascii="仿宋_GB2312"/>
      <w:szCs w:val="32"/>
    </w:rPr>
  </w:style>
  <w:style w:type="paragraph" w:styleId="7">
    <w:name w:val="Body Text"/>
    <w:basedOn w:val="1"/>
    <w:qFormat/>
    <w:uiPriority w:val="99"/>
    <w:pPr>
      <w:spacing w:beforeLines="30"/>
    </w:pPr>
    <w:rPr>
      <w:rFonts w:ascii="仿宋_GB2312" w:eastAsia="仿宋_GB2312"/>
      <w:kern w:val="0"/>
      <w:sz w:val="30"/>
    </w:rPr>
  </w:style>
  <w:style w:type="paragraph" w:styleId="8">
    <w:name w:val="Balloon Text"/>
    <w:basedOn w:val="1"/>
    <w:link w:val="21"/>
    <w:qFormat/>
    <w:uiPriority w:val="0"/>
    <w:rPr>
      <w:sz w:val="18"/>
      <w:szCs w:val="18"/>
    </w:rPr>
  </w:style>
  <w:style w:type="paragraph" w:styleId="9">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character" w:styleId="15">
    <w:name w:val="Strong"/>
    <w:basedOn w:val="14"/>
    <w:qFormat/>
    <w:uiPriority w:val="99"/>
    <w:rPr>
      <w:b/>
    </w:rPr>
  </w:style>
  <w:style w:type="character" w:styleId="16">
    <w:name w:val="Hyperlink"/>
    <w:basedOn w:val="14"/>
    <w:unhideWhenUsed/>
    <w:qFormat/>
    <w:uiPriority w:val="99"/>
    <w:rPr>
      <w:color w:val="0563C1" w:themeColor="hyperlink"/>
      <w:u w:val="single"/>
      <w14:textFill>
        <w14:solidFill>
          <w14:schemeClr w14:val="hlink"/>
        </w14:solidFill>
      </w14:textFill>
    </w:rPr>
  </w:style>
  <w:style w:type="character" w:customStyle="1" w:styleId="17">
    <w:name w:val="标题 1 Char"/>
    <w:basedOn w:val="14"/>
    <w:link w:val="5"/>
    <w:qFormat/>
    <w:uiPriority w:val="9"/>
    <w:rPr>
      <w:b/>
      <w:bCs/>
      <w:kern w:val="44"/>
      <w:sz w:val="44"/>
      <w:szCs w:val="44"/>
    </w:rPr>
  </w:style>
  <w:style w:type="character" w:customStyle="1" w:styleId="18">
    <w:name w:val="标题 2 Char"/>
    <w:basedOn w:val="14"/>
    <w:link w:val="6"/>
    <w:qFormat/>
    <w:uiPriority w:val="9"/>
    <w:rPr>
      <w:rFonts w:asciiTheme="majorHAnsi" w:hAnsiTheme="majorHAnsi" w:eastAsiaTheme="majorEastAsia" w:cstheme="majorBidi"/>
      <w:b/>
      <w:bCs/>
      <w:sz w:val="32"/>
      <w:szCs w:val="32"/>
    </w:rPr>
  </w:style>
  <w:style w:type="paragraph" w:styleId="19">
    <w:name w:val="List Paragraph"/>
    <w:basedOn w:val="1"/>
    <w:qFormat/>
    <w:uiPriority w:val="34"/>
    <w:pPr>
      <w:ind w:firstLine="420" w:firstLineChars="200"/>
    </w:pPr>
  </w:style>
  <w:style w:type="paragraph" w:customStyle="1" w:styleId="20">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21">
    <w:name w:val="批注框文本 Char"/>
    <w:basedOn w:val="14"/>
    <w:link w:val="8"/>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72544823273"/>
          <c:y val="0.16860450940659"/>
          <c:w val="0.874143960031096"/>
          <c:h val="0.823128823926743"/>
        </c:manualLayout>
      </c:layout>
      <c:barChart>
        <c:barDir val="col"/>
        <c:grouping val="clustered"/>
        <c:varyColors val="0"/>
        <c:ser>
          <c:idx val="0"/>
          <c:order val="0"/>
          <c:tx>
            <c:strRef>
              <c:f>Sheet1!$B$1</c:f>
              <c:strCache>
                <c:ptCount val="1"/>
                <c:pt idx="0">
                  <c:v>2023年度收、支总计（万元）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类别 1</c:v>
                </c:pt>
              </c:strCache>
            </c:strRef>
          </c:cat>
          <c:val>
            <c:numRef>
              <c:f>Sheet1!$B$2</c:f>
              <c:numCache>
                <c:formatCode>General</c:formatCode>
                <c:ptCount val="1"/>
                <c:pt idx="0">
                  <c:v>438.64</c:v>
                </c:pt>
              </c:numCache>
            </c:numRef>
          </c:val>
        </c:ser>
        <c:ser>
          <c:idx val="1"/>
          <c:order val="1"/>
          <c:tx>
            <c:strRef>
              <c:f>Sheet1!$C$1</c:f>
              <c:strCache>
                <c:ptCount val="1"/>
                <c:pt idx="0">
                  <c:v>2024年度收、支总计（万元）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Sheet1!$A$2</c:f>
              <c:strCache>
                <c:ptCount val="1"/>
                <c:pt idx="0">
                  <c:v>类别 1</c:v>
                </c:pt>
              </c:strCache>
            </c:strRef>
          </c:cat>
          <c:val>
            <c:numRef>
              <c:f>Sheet1!$C$2</c:f>
              <c:numCache>
                <c:formatCode>0.00_ </c:formatCode>
                <c:ptCount val="1"/>
                <c:pt idx="0">
                  <c:v>419.56</c:v>
                </c:pt>
              </c:numCache>
            </c:numRef>
          </c:val>
        </c:ser>
        <c:dLbls>
          <c:showLegendKey val="0"/>
          <c:showVal val="1"/>
          <c:showCatName val="0"/>
          <c:showSerName val="0"/>
          <c:showPercent val="0"/>
          <c:showBubbleSize val="0"/>
        </c:dLbls>
        <c:gapWidth val="75"/>
        <c:overlap val="-25"/>
        <c:axId val="98906112"/>
        <c:axId val="98907648"/>
      </c:barChart>
      <c:catAx>
        <c:axId val="98906112"/>
        <c:scaling>
          <c:orientation val="minMax"/>
        </c:scaling>
        <c:delete val="1"/>
        <c:axPos val="b"/>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907648"/>
        <c:crosses val="autoZero"/>
        <c:auto val="1"/>
        <c:lblAlgn val="ctr"/>
        <c:lblOffset val="100"/>
        <c:noMultiLvlLbl val="0"/>
      </c:catAx>
      <c:valAx>
        <c:axId val="98907648"/>
        <c:scaling>
          <c:orientation val="minMax"/>
        </c:scaling>
        <c:delete val="0"/>
        <c:axPos val="l"/>
        <c:majorGridlines/>
        <c:numFmt formatCode="General"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906112"/>
        <c:crosses val="autoZero"/>
        <c:crossBetween val="between"/>
      </c:valAx>
    </c:plotArea>
    <c:legend>
      <c:legendPos val="b"/>
      <c:legendEntry>
        <c:idx val="2"/>
        <c:delete val="1"/>
      </c:legendEntry>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ccb4a42-3e66-4efd-93ed-443636284611}"/>
      </c:ext>
    </c:extLst>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061162079511"/>
          <c:y val="0.121090909090909"/>
          <c:w val="0.307865443425076"/>
          <c:h val="0.762666666666667"/>
        </c:manualLayout>
      </c:layout>
      <c:pieChart>
        <c:varyColors val="1"/>
        <c:ser>
          <c:idx val="0"/>
          <c:order val="0"/>
          <c:tx>
            <c:strRef>
              <c:f>Sheet1!$B$1</c:f>
              <c:strCache>
                <c:ptCount val="1"/>
                <c:pt idx="0">
                  <c:v>列1</c:v>
                </c:pt>
              </c:strCache>
            </c:strRef>
          </c:tx>
          <c:explosion val="35"/>
          <c:dPt>
            <c:idx val="0"/>
            <c:bubble3D val="0"/>
          </c:dPt>
          <c:dPt>
            <c:idx val="1"/>
            <c:bubble3D val="0"/>
          </c:dPt>
          <c:dPt>
            <c:idx val="2"/>
            <c:bubble3D val="0"/>
          </c:dPt>
          <c:dPt>
            <c:idx val="3"/>
            <c:bubble3D val="0"/>
          </c:dPt>
          <c:dPt>
            <c:idx val="4"/>
            <c:bubble3D val="0"/>
          </c:dPt>
          <c:dPt>
            <c:idx val="5"/>
            <c:bubble3D val="0"/>
          </c:dPt>
          <c:dLbls>
            <c:dLbl>
              <c:idx val="1"/>
              <c:layout>
                <c:manualLayout>
                  <c:x val="-0.194044144795821"/>
                  <c:y val="0.29315960912052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68297455968689"/>
                  <c:y val="0.0065146579804560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35159817351598"/>
                  <c:y val="0.16774374165333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66144814090019"/>
                  <c:y val="0.022801302931596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00406470493186568"/>
                  <c:y val="0.041212121212121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50091743119266"/>
                      <c:h val="0.193636363636364"/>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Sheet1!$A$2:$A$7</c:f>
              <c:strCache>
                <c:ptCount val="6"/>
                <c:pt idx="0">
                  <c:v>一般公共预算财政拨款收入</c:v>
                </c:pt>
                <c:pt idx="1">
                  <c:v>政府性基金预算财政拨款收入</c:v>
                </c:pt>
                <c:pt idx="2">
                  <c:v>国有资本经营预算财政拨款收入</c:v>
                </c:pt>
                <c:pt idx="3">
                  <c:v>事业收入</c:v>
                </c:pt>
                <c:pt idx="4">
                  <c:v>附属单位上缴收入</c:v>
                </c:pt>
                <c:pt idx="5">
                  <c:v>其他收入</c:v>
                </c:pt>
              </c:strCache>
            </c:strRef>
          </c:cat>
          <c:val>
            <c:numRef>
              <c:f>Sheet1!$B$2:$B$7</c:f>
              <c:numCache>
                <c:formatCode>0.00_);[Red]\(0.00\)</c:formatCode>
                <c:ptCount val="6"/>
                <c:pt idx="0">
                  <c:v>318.64</c:v>
                </c:pt>
                <c:pt idx="1">
                  <c:v>0</c:v>
                </c:pt>
                <c:pt idx="2">
                  <c:v>0</c:v>
                </c:pt>
                <c:pt idx="3">
                  <c:v>0</c:v>
                </c:pt>
                <c:pt idx="4">
                  <c:v>0</c:v>
                </c:pt>
                <c:pt idx="5">
                  <c:v>11.06</c:v>
                </c:pt>
              </c:numCache>
            </c:numRef>
          </c:val>
        </c:ser>
        <c:dLbls>
          <c:showLegendKey val="0"/>
          <c:showVal val="0"/>
          <c:showCatName val="1"/>
          <c:showSerName val="0"/>
          <c:showPercent val="1"/>
          <c:showBubbleSize val="0"/>
          <c:showLeaderLines val="1"/>
        </c:dLbls>
        <c:firstSliceAng val="0"/>
      </c:pieChart>
    </c:plotArea>
    <c:legend>
      <c:legendPos val="r"/>
      <c:layout>
        <c:manualLayout>
          <c:xMode val="edge"/>
          <c:yMode val="edge"/>
          <c:x val="0.654533594259622"/>
          <c:y val="0.140499457111835"/>
          <c:w val="0.3449161790556"/>
          <c:h val="0.9141159627773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extLst>
      <c:ext uri="{0b15fc19-7d7d-44ad-8c2d-2c3a37ce22c3}">
        <chartProps xmlns="https://web.wps.cn/et/2018/main" chartId="{98203678-b232-4d9c-8118-3d4a9dd9cbe4}"/>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Lbls>
            <c:dLbl>
              <c:idx val="0"/>
              <c:layout>
                <c:manualLayout>
                  <c:x val="0.0221660468730385"/>
                  <c:y val="-0.072884499323014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62869294760562"/>
                  <c:y val="0.008038091819343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0.00%</c:formatCode>
                <c:ptCount val="2"/>
                <c:pt idx="0">
                  <c:v>0.6936</c:v>
                </c:pt>
                <c:pt idx="1">
                  <c:v>0.3064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1189aae5-eb9a-4415-a816-ecc5446fd81b}"/>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43973380136446"/>
          <c:y val="0.0506571741511501"/>
          <c:w val="0.874143960031095"/>
          <c:h val="0.823128823926743"/>
        </c:manualLayout>
      </c:layout>
      <c:barChart>
        <c:barDir val="col"/>
        <c:grouping val="clustered"/>
        <c:varyColors val="0"/>
        <c:ser>
          <c:idx val="0"/>
          <c:order val="0"/>
          <c:tx>
            <c:strRef>
              <c:f>Sheet1!$B$1</c:f>
              <c:strCache>
                <c:ptCount val="1"/>
                <c:pt idx="0">
                  <c:v>2023年度收、支总计(万元）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类别 1</c:v>
                </c:pt>
              </c:strCache>
            </c:strRef>
          </c:cat>
          <c:val>
            <c:numRef>
              <c:f>Sheet1!$B$2</c:f>
              <c:numCache>
                <c:formatCode>General</c:formatCode>
                <c:ptCount val="1"/>
                <c:pt idx="0">
                  <c:v>438.64</c:v>
                </c:pt>
              </c:numCache>
            </c:numRef>
          </c:val>
        </c:ser>
        <c:ser>
          <c:idx val="1"/>
          <c:order val="1"/>
          <c:tx>
            <c:strRef>
              <c:f>Sheet1!$C$1</c:f>
              <c:strCache>
                <c:ptCount val="1"/>
                <c:pt idx="0">
                  <c:v>2024年度收、支总计（万元）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Sheet1!$A$2</c:f>
              <c:strCache>
                <c:ptCount val="1"/>
                <c:pt idx="0">
                  <c:v>类别 1</c:v>
                </c:pt>
              </c:strCache>
            </c:strRef>
          </c:cat>
          <c:val>
            <c:numRef>
              <c:f>Sheet1!$C$2</c:f>
              <c:numCache>
                <c:formatCode>General</c:formatCode>
                <c:ptCount val="1"/>
                <c:pt idx="0">
                  <c:v>419.56</c:v>
                </c:pt>
              </c:numCache>
            </c:numRef>
          </c:val>
        </c:ser>
        <c:dLbls>
          <c:showLegendKey val="0"/>
          <c:showVal val="1"/>
          <c:showCatName val="0"/>
          <c:showSerName val="0"/>
          <c:showPercent val="0"/>
          <c:showBubbleSize val="0"/>
        </c:dLbls>
        <c:gapWidth val="75"/>
        <c:overlap val="-25"/>
        <c:axId val="138117120"/>
        <c:axId val="138118656"/>
      </c:barChart>
      <c:catAx>
        <c:axId val="138117120"/>
        <c:scaling>
          <c:orientation val="minMax"/>
        </c:scaling>
        <c:delete val="1"/>
        <c:axPos val="b"/>
        <c:majorTickMark val="none"/>
        <c:minorTickMark val="none"/>
        <c:tickLblPos val="none"/>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138118656"/>
        <c:crosses val="autoZero"/>
        <c:auto val="1"/>
        <c:lblAlgn val="ctr"/>
        <c:lblOffset val="100"/>
        <c:noMultiLvlLbl val="0"/>
      </c:catAx>
      <c:valAx>
        <c:axId val="138118656"/>
        <c:scaling>
          <c:orientation val="minMax"/>
        </c:scaling>
        <c:delete val="0"/>
        <c:axPos val="l"/>
        <c:majorGridlines/>
        <c:numFmt formatCode="General"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138117120"/>
        <c:crosses val="autoZero"/>
        <c:crossBetween val="between"/>
      </c:valAx>
    </c:plotArea>
    <c:legend>
      <c:legendPos val="b"/>
      <c:legendEntry>
        <c:idx val="2"/>
        <c:delete val="1"/>
      </c:legendEntry>
      <c:layout/>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
    <c:plotVisOnly val="1"/>
    <c:dispBlanksAs val="gap"/>
    <c:showDLblsOverMax val="0"/>
    <c:extLst>
      <c:ext uri="{0b15fc19-7d7d-44ad-8c2d-2c3a37ce22c3}">
        <chartProps xmlns="https://web.wps.cn/et/2018/main" chartId="{3f423c8a-a13e-41d0-a4f6-dbde6e36d3e5}"/>
      </c:ext>
    </c:extLst>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24401294498383"/>
          <c:y val="0.0542020774315393"/>
          <c:w val="0.890019417475729"/>
          <c:h val="0.810764872521247"/>
        </c:manualLayout>
      </c:layout>
      <c:barChart>
        <c:barDir val="col"/>
        <c:grouping val="clustered"/>
        <c:varyColors val="0"/>
        <c:ser>
          <c:idx val="0"/>
          <c:order val="0"/>
          <c:tx>
            <c:strRef>
              <c:f>Sheet1!$B$1</c:f>
              <c:strCache>
                <c:ptCount val="1"/>
                <c:pt idx="0">
                  <c:v>2023（万元）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类别 1</c:v>
                </c:pt>
              </c:strCache>
            </c:strRef>
          </c:cat>
          <c:val>
            <c:numRef>
              <c:f>Sheet1!$B$2</c:f>
              <c:numCache>
                <c:formatCode>General</c:formatCode>
                <c:ptCount val="1"/>
                <c:pt idx="0">
                  <c:v>336.78</c:v>
                </c:pt>
              </c:numCache>
            </c:numRef>
          </c:val>
        </c:ser>
        <c:ser>
          <c:idx val="1"/>
          <c:order val="1"/>
          <c:tx>
            <c:strRef>
              <c:f>Sheet1!$C$1</c:f>
              <c:strCache>
                <c:ptCount val="1"/>
                <c:pt idx="0">
                  <c:v>2024（万元）</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类别 1</c:v>
                </c:pt>
              </c:strCache>
            </c:strRef>
          </c:cat>
          <c:val>
            <c:numRef>
              <c:f>Sheet1!$C$2</c:f>
              <c:numCache>
                <c:formatCode>General</c:formatCode>
                <c:ptCount val="1"/>
                <c:pt idx="0">
                  <c:v>318.64</c:v>
                </c:pt>
              </c:numCache>
            </c:numRef>
          </c:val>
        </c:ser>
        <c:dLbls>
          <c:showLegendKey val="0"/>
          <c:showVal val="1"/>
          <c:showCatName val="0"/>
          <c:showSerName val="0"/>
          <c:showPercent val="0"/>
          <c:showBubbleSize val="0"/>
        </c:dLbls>
        <c:gapWidth val="75"/>
        <c:overlap val="-25"/>
        <c:axId val="138365568"/>
        <c:axId val="138375552"/>
      </c:barChart>
      <c:catAx>
        <c:axId val="138365568"/>
        <c:scaling>
          <c:orientation val="minMax"/>
        </c:scaling>
        <c:delete val="0"/>
        <c:axPos val="b"/>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8375552"/>
        <c:crosses val="autoZero"/>
        <c:auto val="1"/>
        <c:lblAlgn val="ctr"/>
        <c:lblOffset val="100"/>
        <c:noMultiLvlLbl val="0"/>
      </c:catAx>
      <c:valAx>
        <c:axId val="13837555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836556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1f65ae1-1749-4aa2-b7ee-2a3a9729b406}"/>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33925049309665"/>
          <c:y val="0.141664020392513"/>
          <c:w val="0.566522542670332"/>
          <c:h val="0.788002549064083"/>
        </c:manualLayout>
      </c:layout>
      <c:pieChart>
        <c:varyColors val="1"/>
        <c:ser>
          <c:idx val="0"/>
          <c:order val="0"/>
          <c:tx>
            <c:strRef>
              <c:f>Sheet1!$B$1</c:f>
              <c:strCache>
                <c:ptCount val="1"/>
                <c:pt idx="0">
                  <c:v>列1</c:v>
                </c:pt>
              </c:strCache>
            </c:strRef>
          </c:tx>
          <c:explosion val="0"/>
          <c:dPt>
            <c:idx val="0"/>
            <c:bubble3D val="0"/>
          </c:dPt>
          <c:dPt>
            <c:idx val="1"/>
            <c:bubble3D val="0"/>
          </c:dPt>
          <c:dPt>
            <c:idx val="2"/>
            <c:bubble3D val="0"/>
          </c:dPt>
          <c:dPt>
            <c:idx val="3"/>
            <c:bubble3D val="0"/>
          </c:dPt>
          <c:dLbls>
            <c:dLbl>
              <c:idx val="0"/>
              <c:layout>
                <c:manualLayout>
                  <c:x val="0.0883960279315258"/>
                  <c:y val="0.0236309205494108"/>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33381502890173"/>
                      <c:h val="0.0945426594926979"/>
                    </c:manualLayout>
                  </c15:layout>
                </c:ext>
              </c:extLst>
            </c:dLbl>
            <c:dLbl>
              <c:idx val="1"/>
              <c:layout>
                <c:manualLayout>
                  <c:x val="-0.108576350210888"/>
                  <c:y val="-0.130976404279004"/>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01589595375723"/>
                      <c:h val="0.0680245964642583"/>
                    </c:manualLayout>
                  </c15:layout>
                </c:ext>
              </c:extLst>
            </c:dLbl>
            <c:dLbl>
              <c:idx val="2"/>
              <c:layout>
                <c:manualLayout>
                  <c:x val="0.00127391052161585"/>
                  <c:y val="0.055302931436135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129260747149148"/>
                  <c:y val="-0.019356449840568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prstDash val="solid"/>
                      <a:round/>
                    </a:ln>
                    <a:effectLst/>
                  </c:spPr>
                </c15:leaderLines>
              </c:ext>
            </c:extLst>
          </c:dLbls>
          <c:cat>
            <c:strRef>
              <c:f>Sheet1!$A$2:$A$5</c:f>
              <c:strCache>
                <c:ptCount val="4"/>
                <c:pt idx="0">
                  <c:v>教育支出（类）</c:v>
                </c:pt>
                <c:pt idx="1">
                  <c:v>社会保障和就业（类）</c:v>
                </c:pt>
                <c:pt idx="2">
                  <c:v>卫生健康支出（类）</c:v>
                </c:pt>
                <c:pt idx="3">
                  <c:v>住房保障支出（类）</c:v>
                </c:pt>
              </c:strCache>
            </c:strRef>
          </c:cat>
          <c:val>
            <c:numRef>
              <c:f>Sheet1!$B$2:$B$5</c:f>
              <c:numCache>
                <c:formatCode>General</c:formatCode>
                <c:ptCount val="4"/>
                <c:pt idx="0">
                  <c:v>268.05</c:v>
                </c:pt>
                <c:pt idx="1">
                  <c:v>27.65</c:v>
                </c:pt>
                <c:pt idx="2">
                  <c:v>6.69</c:v>
                </c:pt>
                <c:pt idx="3">
                  <c:v>16.25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alpha val="78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601b1022-c958-4a01-a307-07f1cb475016}"/>
      </c:ext>
    </c:extLst>
  </c:chart>
  <c:spPr>
    <a:pattFill prst="dkDnDiag">
      <a:fgClr>
        <a:schemeClr val="lt1">
          <a:lumMod val="95000"/>
        </a:schemeClr>
      </a:fgClr>
      <a:bgClr>
        <a:schemeClr val="lt1"/>
      </a:bgClr>
    </a:patt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depthPercent val="100"/>
      <c:rAngAx val="0"/>
      <c:perspective val="3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0234726659167604"/>
          <c:y val="0.00307890085167926"/>
          <c:w val="0.440467067600802"/>
          <c:h val="0.682008368200837"/>
        </c:manualLayout>
      </c:layout>
      <c:pie3DChart>
        <c:varyColors val="1"/>
        <c:ser>
          <c:idx val="0"/>
          <c:order val="0"/>
          <c:tx>
            <c:strRef>
              <c:f>Sheet1!$B$1</c:f>
              <c:strCache>
                <c:ptCount val="1"/>
                <c:pt idx="0">
                  <c:v>列1</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883960279315258"/>
                  <c:y val="0.023630920549410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08576350210888"/>
                  <c:y val="-0.13097640427900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0127391052161585"/>
                  <c:y val="0.055302931436135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因公出国费</c:v>
                </c:pt>
                <c:pt idx="1">
                  <c:v>公务用车购置及运行维护费</c:v>
                </c:pt>
                <c:pt idx="2">
                  <c:v>公务接待费</c:v>
                </c:pt>
              </c:strCache>
            </c:strRef>
          </c:cat>
          <c:val>
            <c:numRef>
              <c:f>Sheet1!$B$2:$B$4</c:f>
              <c:numCache>
                <c:formatCode>General</c:formatCode>
                <c:ptCount val="3"/>
                <c:pt idx="0">
                  <c:v>0</c:v>
                </c:pt>
                <c:pt idx="1">
                  <c:v>0</c:v>
                </c:pt>
                <c:pt idx="2">
                  <c:v>0.13</c:v>
                </c:pt>
              </c:numCache>
            </c:numRef>
          </c:val>
        </c:ser>
        <c:dLbls>
          <c:showLegendKey val="0"/>
          <c:showVal val="0"/>
          <c:showCatName val="0"/>
          <c:showSerName val="0"/>
          <c:showPercent val="1"/>
          <c:showBubbleSize val="0"/>
        </c:dLbls>
      </c:pie3DChart>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e1042283-b41c-4698-97f7-1e050748594a}"/>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02E35-F996-4EB0-835E-D74E03784CB3}">
  <ds:schemaRefs/>
</ds:datastoreItem>
</file>

<file path=docProps/app.xml><?xml version="1.0" encoding="utf-8"?>
<Properties xmlns="http://schemas.openxmlformats.org/officeDocument/2006/extended-properties" xmlns:vt="http://schemas.openxmlformats.org/officeDocument/2006/docPropsVTypes">
  <Template>Normal</Template>
  <Pages>21</Pages>
  <Words>4349</Words>
  <Characters>4739</Characters>
  <Lines>93</Lines>
  <Paragraphs>26</Paragraphs>
  <TotalTime>4</TotalTime>
  <ScaleCrop>false</ScaleCrop>
  <LinksUpToDate>false</LinksUpToDate>
  <CharactersWithSpaces>4802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2025-10-11T02:28:00Z</dcterms:created>
  <dc:creator>cx</dc:creator>
  <cp:lastModifiedBy>碧云天</cp:lastModifiedBy>
  <dcterms:modified xsi:type="dcterms:W3CDTF">2025-12-03T09:34:50Z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7D292A543C6A48B8B37C61367E5F52EE_13</vt:lpwstr>
  </property>
  <property fmtid="{D5CDD505-2E9C-101B-9397-08002B2CF9AE}" pid="4" name="KSOTemplateDocerSaveRecord">
    <vt:lpwstr>eyJoZGlkIjoiNzI2ZGI0OGUzMDAzMzk0YmE1OTYyMDVlZGMwMmYyODYiLCJ1c2VySWQiOiIxMTM5NjM2MTk5In0=</vt:lpwstr>
  </property>
</Properties>
</file>