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27BBC">
      <w:pPr>
        <w:spacing w:line="600" w:lineRule="exact"/>
        <w:jc w:val="left"/>
        <w:outlineLvl w:val="9"/>
        <w:rPr>
          <w:rFonts w:ascii="方正小标宋简体" w:hAnsi="宋体" w:eastAsia="方正小标宋简体"/>
          <w:szCs w:val="21"/>
        </w:rPr>
      </w:pPr>
      <w:bookmarkStart w:id="0" w:name="_Toc15306267"/>
    </w:p>
    <w:p w14:paraId="1B34F063">
      <w:pPr>
        <w:pStyle w:val="5"/>
        <w:spacing w:before="93"/>
      </w:pPr>
    </w:p>
    <w:p w14:paraId="599AF5D2">
      <w:pPr>
        <w:spacing w:line="600" w:lineRule="exact"/>
        <w:jc w:val="center"/>
        <w:outlineLvl w:val="9"/>
        <w:rPr>
          <w:rFonts w:ascii="方正小标宋简体" w:hAnsi="宋体" w:eastAsia="方正小标宋简体"/>
          <w:sz w:val="72"/>
          <w:szCs w:val="72"/>
        </w:rPr>
      </w:pPr>
    </w:p>
    <w:p w14:paraId="663743E0">
      <w:pPr>
        <w:spacing w:line="600" w:lineRule="exact"/>
        <w:jc w:val="center"/>
        <w:outlineLvl w:val="9"/>
        <w:rPr>
          <w:rFonts w:ascii="方正小标宋简体" w:hAnsi="宋体" w:eastAsia="方正小标宋简体"/>
          <w:sz w:val="72"/>
          <w:szCs w:val="72"/>
        </w:rPr>
      </w:pPr>
    </w:p>
    <w:p w14:paraId="65D22F8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9205"/>
      <w:bookmarkStart w:id="2" w:name="_Toc15377425"/>
      <w:bookmarkStart w:id="3" w:name="_Toc15377193"/>
      <w:bookmarkStart w:id="4" w:name="_Toc15396475"/>
      <w:bookmarkStart w:id="5" w:name="_Toc15378441"/>
      <w:bookmarkStart w:id="6"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5776A42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06268"/>
      <w:bookmarkStart w:id="9" w:name="_Toc6305"/>
      <w:bookmarkStart w:id="10" w:name="_Toc15396598"/>
      <w:bookmarkStart w:id="11" w:name="_Toc15396476"/>
      <w:bookmarkStart w:id="12" w:name="_Toc15377426"/>
      <w:bookmarkStart w:id="13" w:name="_Toc15377194"/>
      <w:r>
        <w:rPr>
          <w:rFonts w:hint="eastAsia" w:ascii="方正小标宋简体" w:hAnsi="方正小标宋简体" w:eastAsia="方正小标宋简体" w:cs="方正小标宋简体"/>
          <w:sz w:val="72"/>
          <w:szCs w:val="72"/>
        </w:rPr>
        <w:t>峨边彝族自治县疾病预防控制中心单位决算</w:t>
      </w:r>
      <w:bookmarkEnd w:id="7"/>
      <w:bookmarkEnd w:id="8"/>
      <w:bookmarkEnd w:id="9"/>
      <w:bookmarkEnd w:id="10"/>
      <w:bookmarkEnd w:id="11"/>
      <w:bookmarkEnd w:id="12"/>
      <w:bookmarkEnd w:id="13"/>
    </w:p>
    <w:p w14:paraId="281B6C3C">
      <w:pPr>
        <w:adjustRightInd w:val="0"/>
        <w:snapToGrid w:val="0"/>
        <w:spacing w:line="360" w:lineRule="auto"/>
        <w:jc w:val="center"/>
        <w:outlineLvl w:val="9"/>
        <w:rPr>
          <w:rFonts w:ascii="方正小标宋简体" w:hAnsi="宋体" w:eastAsia="方正小标宋简体"/>
          <w:sz w:val="52"/>
          <w:szCs w:val="52"/>
        </w:rPr>
      </w:pPr>
    </w:p>
    <w:p w14:paraId="1F296D8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81C73CD">
      <w:pPr>
        <w:widowControl/>
        <w:jc w:val="center"/>
        <w:rPr>
          <w:rFonts w:ascii="黑体" w:hAnsi="黑体" w:eastAsia="黑体" w:cstheme="minorBidi"/>
          <w:sz w:val="28"/>
          <w:szCs w:val="28"/>
        </w:rPr>
      </w:pPr>
    </w:p>
    <w:p w14:paraId="7DCE0262">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4F95BA3C"/>
    <w:sdt>
      <w:sdtPr>
        <w:rPr>
          <w:rFonts w:ascii="宋体" w:hAnsi="宋体" w:eastAsia="宋体" w:cs="Times New Roman"/>
          <w:kern w:val="2"/>
          <w:sz w:val="21"/>
          <w:szCs w:val="24"/>
          <w:lang w:val="en-US" w:eastAsia="zh-CN" w:bidi="ar-SA"/>
        </w:rPr>
        <w:id w:val="14745443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21DCA580">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674B5F9F">
          <w:pPr>
            <w:pStyle w:val="33"/>
            <w:tabs>
              <w:tab w:val="right" w:leader="dot" w:pos="8306"/>
            </w:tabs>
            <w:rPr>
              <w:b/>
            </w:rPr>
          </w:pPr>
          <w:r>
            <w:rPr>
              <w:b/>
            </w:rPr>
            <w:fldChar w:fldCharType="begin"/>
          </w:r>
          <w:r>
            <w:rPr>
              <w:b/>
            </w:rPr>
            <w:instrText xml:space="preserve"> HYPERLINK \l _Toc13535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_Toc13535 \h </w:instrText>
          </w:r>
          <w:r>
            <w:rPr>
              <w:b/>
            </w:rPr>
            <w:fldChar w:fldCharType="separate"/>
          </w:r>
          <w:r>
            <w:rPr>
              <w:b/>
            </w:rPr>
            <w:t>3</w:t>
          </w:r>
          <w:r>
            <w:rPr>
              <w:b/>
            </w:rPr>
            <w:fldChar w:fldCharType="end"/>
          </w:r>
          <w:r>
            <w:rPr>
              <w:b/>
            </w:rPr>
            <w:fldChar w:fldCharType="end"/>
          </w:r>
        </w:p>
        <w:p w14:paraId="0EAA59A1">
          <w:pPr>
            <w:pStyle w:val="34"/>
            <w:tabs>
              <w:tab w:val="right" w:leader="dot" w:pos="8306"/>
            </w:tabs>
          </w:pPr>
          <w:r>
            <w:fldChar w:fldCharType="begin"/>
          </w:r>
          <w:r>
            <w:instrText xml:space="preserve"> HYPERLINK \l _Toc18403 </w:instrText>
          </w:r>
          <w:r>
            <w:fldChar w:fldCharType="separate"/>
          </w:r>
          <w:r>
            <w:rPr>
              <w:rFonts w:hint="eastAsia" w:ascii="黑体" w:hAnsi="黑体" w:eastAsia="黑体"/>
              <w:bCs w:val="0"/>
            </w:rPr>
            <w:t>一、 主要职责</w:t>
          </w:r>
          <w:r>
            <w:tab/>
          </w:r>
          <w:r>
            <w:fldChar w:fldCharType="begin"/>
          </w:r>
          <w:r>
            <w:instrText xml:space="preserve"> PAGEREF _Toc18403 \h </w:instrText>
          </w:r>
          <w:r>
            <w:fldChar w:fldCharType="separate"/>
          </w:r>
          <w:r>
            <w:t>3</w:t>
          </w:r>
          <w:r>
            <w:fldChar w:fldCharType="end"/>
          </w:r>
          <w:r>
            <w:fldChar w:fldCharType="end"/>
          </w:r>
        </w:p>
        <w:p w14:paraId="02BD205D">
          <w:pPr>
            <w:pStyle w:val="34"/>
            <w:tabs>
              <w:tab w:val="right" w:leader="dot" w:pos="8306"/>
            </w:tabs>
          </w:pPr>
          <w:r>
            <w:fldChar w:fldCharType="begin"/>
          </w:r>
          <w:r>
            <w:instrText xml:space="preserve"> HYPERLINK \l _Toc13009 </w:instrText>
          </w:r>
          <w:r>
            <w:fldChar w:fldCharType="separate"/>
          </w:r>
          <w:r>
            <w:rPr>
              <w:rFonts w:hint="eastAsia" w:ascii="黑体" w:hAnsi="黑体" w:eastAsia="黑体"/>
            </w:rPr>
            <w:t>二、机构设置</w:t>
          </w:r>
          <w:r>
            <w:tab/>
          </w:r>
          <w:r>
            <w:fldChar w:fldCharType="begin"/>
          </w:r>
          <w:r>
            <w:instrText xml:space="preserve"> PAGEREF _Toc13009 \h </w:instrText>
          </w:r>
          <w:r>
            <w:fldChar w:fldCharType="separate"/>
          </w:r>
          <w:r>
            <w:t>4</w:t>
          </w:r>
          <w:r>
            <w:fldChar w:fldCharType="end"/>
          </w:r>
          <w:r>
            <w:fldChar w:fldCharType="end"/>
          </w:r>
        </w:p>
        <w:p w14:paraId="25A75C42">
          <w:pPr>
            <w:pStyle w:val="33"/>
            <w:tabs>
              <w:tab w:val="right" w:leader="dot" w:pos="8306"/>
            </w:tabs>
            <w:rPr>
              <w:b/>
            </w:rPr>
          </w:pPr>
          <w:r>
            <w:rPr>
              <w:b/>
            </w:rPr>
            <w:fldChar w:fldCharType="begin"/>
          </w:r>
          <w:r>
            <w:rPr>
              <w:b/>
            </w:rPr>
            <w:instrText xml:space="preserve"> HYPERLINK \l _Toc13452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_Toc13452 \h </w:instrText>
          </w:r>
          <w:r>
            <w:rPr>
              <w:b/>
            </w:rPr>
            <w:fldChar w:fldCharType="separate"/>
          </w:r>
          <w:r>
            <w:rPr>
              <w:b/>
            </w:rPr>
            <w:t>5</w:t>
          </w:r>
          <w:r>
            <w:rPr>
              <w:b/>
            </w:rPr>
            <w:fldChar w:fldCharType="end"/>
          </w:r>
          <w:r>
            <w:rPr>
              <w:b/>
            </w:rPr>
            <w:fldChar w:fldCharType="end"/>
          </w:r>
        </w:p>
        <w:p w14:paraId="5FE1DBF8">
          <w:pPr>
            <w:pStyle w:val="34"/>
            <w:tabs>
              <w:tab w:val="right" w:leader="dot" w:pos="8306"/>
            </w:tabs>
          </w:pPr>
          <w:r>
            <w:fldChar w:fldCharType="begin"/>
          </w:r>
          <w:r>
            <w:instrText xml:space="preserve"> HYPERLINK \l _Toc7291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_Toc7291 \h </w:instrText>
          </w:r>
          <w:r>
            <w:fldChar w:fldCharType="separate"/>
          </w:r>
          <w:r>
            <w:t>5</w:t>
          </w:r>
          <w:r>
            <w:fldChar w:fldCharType="end"/>
          </w:r>
          <w:r>
            <w:fldChar w:fldCharType="end"/>
          </w:r>
        </w:p>
        <w:p w14:paraId="5B951B82">
          <w:pPr>
            <w:pStyle w:val="34"/>
            <w:tabs>
              <w:tab w:val="right" w:leader="dot" w:pos="8306"/>
            </w:tabs>
          </w:pPr>
          <w:r>
            <w:fldChar w:fldCharType="begin"/>
          </w:r>
          <w:r>
            <w:instrText xml:space="preserve"> HYPERLINK \l _Toc16191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_Toc16191 \h </w:instrText>
          </w:r>
          <w:r>
            <w:fldChar w:fldCharType="separate"/>
          </w:r>
          <w:r>
            <w:t>5</w:t>
          </w:r>
          <w:r>
            <w:fldChar w:fldCharType="end"/>
          </w:r>
          <w:r>
            <w:fldChar w:fldCharType="end"/>
          </w:r>
        </w:p>
        <w:p w14:paraId="0347BA86">
          <w:pPr>
            <w:pStyle w:val="34"/>
            <w:tabs>
              <w:tab w:val="right" w:leader="dot" w:pos="8306"/>
            </w:tabs>
          </w:pPr>
          <w:r>
            <w:fldChar w:fldCharType="begin"/>
          </w:r>
          <w:r>
            <w:instrText xml:space="preserve"> HYPERLINK \l _Toc19666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_Toc19666 \h </w:instrText>
          </w:r>
          <w:r>
            <w:fldChar w:fldCharType="separate"/>
          </w:r>
          <w:r>
            <w:t>6</w:t>
          </w:r>
          <w:r>
            <w:fldChar w:fldCharType="end"/>
          </w:r>
          <w:r>
            <w:fldChar w:fldCharType="end"/>
          </w:r>
        </w:p>
        <w:p w14:paraId="616743E3">
          <w:pPr>
            <w:pStyle w:val="34"/>
            <w:tabs>
              <w:tab w:val="right" w:leader="dot" w:pos="8306"/>
            </w:tabs>
          </w:pPr>
          <w:r>
            <w:fldChar w:fldCharType="begin"/>
          </w:r>
          <w:r>
            <w:instrText xml:space="preserve"> HYPERLINK \l _Toc279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_Toc279 \h </w:instrText>
          </w:r>
          <w:r>
            <w:fldChar w:fldCharType="separate"/>
          </w:r>
          <w:r>
            <w:t>7</w:t>
          </w:r>
          <w:r>
            <w:fldChar w:fldCharType="end"/>
          </w:r>
          <w:r>
            <w:fldChar w:fldCharType="end"/>
          </w:r>
        </w:p>
        <w:p w14:paraId="3681B350">
          <w:pPr>
            <w:pStyle w:val="34"/>
            <w:tabs>
              <w:tab w:val="right" w:leader="dot" w:pos="8306"/>
            </w:tabs>
          </w:pPr>
          <w:r>
            <w:fldChar w:fldCharType="begin"/>
          </w:r>
          <w:r>
            <w:instrText xml:space="preserve"> HYPERLINK \l _Toc13751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_Toc13751 \h </w:instrText>
          </w:r>
          <w:r>
            <w:fldChar w:fldCharType="separate"/>
          </w:r>
          <w:r>
            <w:t>7</w:t>
          </w:r>
          <w:r>
            <w:fldChar w:fldCharType="end"/>
          </w:r>
          <w:r>
            <w:fldChar w:fldCharType="end"/>
          </w:r>
        </w:p>
        <w:p w14:paraId="23B30110">
          <w:pPr>
            <w:pStyle w:val="34"/>
            <w:tabs>
              <w:tab w:val="right" w:leader="dot" w:pos="8306"/>
            </w:tabs>
          </w:pPr>
          <w:r>
            <w:fldChar w:fldCharType="begin"/>
          </w:r>
          <w:r>
            <w:instrText xml:space="preserve"> HYPERLINK \l _Toc16223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_Toc16223 \h </w:instrText>
          </w:r>
          <w:r>
            <w:fldChar w:fldCharType="separate"/>
          </w:r>
          <w:r>
            <w:t>10</w:t>
          </w:r>
          <w:r>
            <w:fldChar w:fldCharType="end"/>
          </w:r>
          <w:r>
            <w:fldChar w:fldCharType="end"/>
          </w:r>
        </w:p>
        <w:p w14:paraId="4171B3C0">
          <w:pPr>
            <w:pStyle w:val="34"/>
            <w:tabs>
              <w:tab w:val="right" w:leader="dot" w:pos="8306"/>
            </w:tabs>
          </w:pPr>
          <w:r>
            <w:fldChar w:fldCharType="begin"/>
          </w:r>
          <w:r>
            <w:instrText xml:space="preserve"> HYPERLINK \l _Toc9251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_Toc9251 \h </w:instrText>
          </w:r>
          <w:r>
            <w:fldChar w:fldCharType="separate"/>
          </w:r>
          <w:r>
            <w:t>11</w:t>
          </w:r>
          <w:r>
            <w:fldChar w:fldCharType="end"/>
          </w:r>
          <w:r>
            <w:fldChar w:fldCharType="end"/>
          </w:r>
        </w:p>
        <w:p w14:paraId="7380997E">
          <w:pPr>
            <w:pStyle w:val="34"/>
            <w:tabs>
              <w:tab w:val="right" w:leader="dot" w:pos="8306"/>
            </w:tabs>
          </w:pPr>
          <w:r>
            <w:fldChar w:fldCharType="begin"/>
          </w:r>
          <w:r>
            <w:instrText xml:space="preserve"> HYPERLINK \l _Toc21648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_Toc21648 \h </w:instrText>
          </w:r>
          <w:r>
            <w:fldChar w:fldCharType="separate"/>
          </w:r>
          <w:r>
            <w:t>13</w:t>
          </w:r>
          <w:r>
            <w:fldChar w:fldCharType="end"/>
          </w:r>
          <w:r>
            <w:fldChar w:fldCharType="end"/>
          </w:r>
        </w:p>
        <w:p w14:paraId="126C19C3">
          <w:pPr>
            <w:pStyle w:val="34"/>
            <w:tabs>
              <w:tab w:val="right" w:leader="dot" w:pos="8306"/>
            </w:tabs>
          </w:pPr>
          <w:r>
            <w:fldChar w:fldCharType="begin"/>
          </w:r>
          <w:r>
            <w:instrText xml:space="preserve"> HYPERLINK \l _Toc11913 </w:instrText>
          </w:r>
          <w:r>
            <w:fldChar w:fldCharType="separate"/>
          </w:r>
          <w:r>
            <w:rPr>
              <w:rFonts w:hint="eastAsia" w:ascii="黑体" w:hAnsi="黑体" w:eastAsia="黑体"/>
            </w:rPr>
            <w:t>九、 国有资本经营预算支出决算情况说明</w:t>
          </w:r>
          <w:r>
            <w:tab/>
          </w:r>
          <w:r>
            <w:fldChar w:fldCharType="begin"/>
          </w:r>
          <w:r>
            <w:instrText xml:space="preserve"> PAGEREF _Toc11913 \h </w:instrText>
          </w:r>
          <w:r>
            <w:fldChar w:fldCharType="separate"/>
          </w:r>
          <w:r>
            <w:t>13</w:t>
          </w:r>
          <w:r>
            <w:fldChar w:fldCharType="end"/>
          </w:r>
          <w:r>
            <w:fldChar w:fldCharType="end"/>
          </w:r>
        </w:p>
        <w:p w14:paraId="5E6CB269">
          <w:pPr>
            <w:pStyle w:val="34"/>
            <w:tabs>
              <w:tab w:val="right" w:leader="dot" w:pos="8306"/>
            </w:tabs>
          </w:pPr>
          <w:r>
            <w:fldChar w:fldCharType="begin"/>
          </w:r>
          <w:r>
            <w:instrText xml:space="preserve"> HYPERLINK \l _Toc2194 </w:instrText>
          </w:r>
          <w:r>
            <w:fldChar w:fldCharType="separate"/>
          </w:r>
          <w:r>
            <w:rPr>
              <w:rFonts w:hint="eastAsia" w:ascii="黑体" w:hAnsi="黑体" w:eastAsia="黑体"/>
            </w:rPr>
            <w:t>十、 其他重要事项的情况说明</w:t>
          </w:r>
          <w:r>
            <w:tab/>
          </w:r>
          <w:r>
            <w:fldChar w:fldCharType="begin"/>
          </w:r>
          <w:r>
            <w:instrText xml:space="preserve"> PAGEREF _Toc2194 \h </w:instrText>
          </w:r>
          <w:r>
            <w:fldChar w:fldCharType="separate"/>
          </w:r>
          <w:r>
            <w:t>13</w:t>
          </w:r>
          <w:r>
            <w:fldChar w:fldCharType="end"/>
          </w:r>
          <w:r>
            <w:fldChar w:fldCharType="end"/>
          </w:r>
        </w:p>
        <w:p w14:paraId="112F2217">
          <w:pPr>
            <w:pStyle w:val="33"/>
            <w:tabs>
              <w:tab w:val="right" w:leader="dot" w:pos="8306"/>
            </w:tabs>
          </w:pPr>
          <w:r>
            <w:rPr>
              <w:b/>
            </w:rPr>
            <w:fldChar w:fldCharType="begin"/>
          </w:r>
          <w:r>
            <w:rPr>
              <w:b/>
            </w:rPr>
            <w:instrText xml:space="preserve"> HYPERLINK \l _Toc1420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_Toc1420 \h </w:instrText>
          </w:r>
          <w:r>
            <w:rPr>
              <w:b/>
            </w:rPr>
            <w:fldChar w:fldCharType="separate"/>
          </w:r>
          <w:r>
            <w:rPr>
              <w:b/>
            </w:rPr>
            <w:t>15</w:t>
          </w:r>
          <w:r>
            <w:rPr>
              <w:b/>
            </w:rPr>
            <w:fldChar w:fldCharType="end"/>
          </w:r>
          <w:r>
            <w:rPr>
              <w:b/>
            </w:rPr>
            <w:fldChar w:fldCharType="end"/>
          </w:r>
        </w:p>
        <w:p w14:paraId="778DF1C5">
          <w:pPr>
            <w:pStyle w:val="33"/>
            <w:tabs>
              <w:tab w:val="right" w:leader="dot" w:pos="8306"/>
            </w:tabs>
          </w:pPr>
          <w:r>
            <w:rPr>
              <w:b/>
            </w:rPr>
            <w:fldChar w:fldCharType="begin"/>
          </w:r>
          <w:r>
            <w:rPr>
              <w:b/>
            </w:rPr>
            <w:instrText xml:space="preserve"> HYPERLINK \l _Toc8211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_Toc8211 \h </w:instrText>
          </w:r>
          <w:r>
            <w:rPr>
              <w:b/>
            </w:rPr>
            <w:fldChar w:fldCharType="separate"/>
          </w:r>
          <w:r>
            <w:rPr>
              <w:b/>
            </w:rPr>
            <w:t>19</w:t>
          </w:r>
          <w:r>
            <w:rPr>
              <w:b/>
            </w:rPr>
            <w:fldChar w:fldCharType="end"/>
          </w:r>
          <w:r>
            <w:rPr>
              <w:b/>
            </w:rPr>
            <w:fldChar w:fldCharType="end"/>
          </w:r>
        </w:p>
        <w:p w14:paraId="139293B0">
          <w:pPr>
            <w:pStyle w:val="33"/>
            <w:tabs>
              <w:tab w:val="right" w:leader="dot" w:pos="8306"/>
            </w:tabs>
            <w:rPr>
              <w:b/>
            </w:rPr>
          </w:pPr>
          <w:r>
            <w:rPr>
              <w:b/>
            </w:rPr>
            <w:fldChar w:fldCharType="begin"/>
          </w:r>
          <w:r>
            <w:rPr>
              <w:b/>
            </w:rPr>
            <w:instrText xml:space="preserve"> HYPERLINK \l _Toc28749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_Toc28749 \h </w:instrText>
          </w:r>
          <w:r>
            <w:rPr>
              <w:b/>
            </w:rPr>
            <w:fldChar w:fldCharType="separate"/>
          </w:r>
          <w:r>
            <w:rPr>
              <w:b/>
            </w:rPr>
            <w:t>20</w:t>
          </w:r>
          <w:r>
            <w:rPr>
              <w:b/>
            </w:rPr>
            <w:fldChar w:fldCharType="end"/>
          </w:r>
          <w:r>
            <w:rPr>
              <w:b/>
            </w:rPr>
            <w:fldChar w:fldCharType="end"/>
          </w:r>
        </w:p>
        <w:p w14:paraId="0BEBD1BC">
          <w:pPr>
            <w:pStyle w:val="34"/>
            <w:tabs>
              <w:tab w:val="right" w:leader="dot" w:pos="8306"/>
            </w:tabs>
          </w:pPr>
          <w:r>
            <w:fldChar w:fldCharType="begin"/>
          </w:r>
          <w:r>
            <w:instrText xml:space="preserve"> HYPERLINK \l _Toc26581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_Toc26581 \h </w:instrText>
          </w:r>
          <w:r>
            <w:fldChar w:fldCharType="separate"/>
          </w:r>
          <w:r>
            <w:t>20</w:t>
          </w:r>
          <w:r>
            <w:fldChar w:fldCharType="end"/>
          </w:r>
          <w:r>
            <w:fldChar w:fldCharType="end"/>
          </w:r>
        </w:p>
        <w:p w14:paraId="67E85598">
          <w:pPr>
            <w:pStyle w:val="34"/>
            <w:tabs>
              <w:tab w:val="right" w:leader="dot" w:pos="8306"/>
            </w:tabs>
          </w:pPr>
          <w:r>
            <w:fldChar w:fldCharType="begin"/>
          </w:r>
          <w:r>
            <w:instrText xml:space="preserve"> HYPERLINK \l _Toc32244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_Toc32244 \h </w:instrText>
          </w:r>
          <w:r>
            <w:fldChar w:fldCharType="separate"/>
          </w:r>
          <w:r>
            <w:t>20</w:t>
          </w:r>
          <w:r>
            <w:fldChar w:fldCharType="end"/>
          </w:r>
          <w:r>
            <w:fldChar w:fldCharType="end"/>
          </w:r>
        </w:p>
        <w:p w14:paraId="37C34ED3">
          <w:pPr>
            <w:pStyle w:val="34"/>
            <w:tabs>
              <w:tab w:val="right" w:leader="dot" w:pos="8306"/>
            </w:tabs>
          </w:pPr>
          <w:r>
            <w:fldChar w:fldCharType="begin"/>
          </w:r>
          <w:r>
            <w:instrText xml:space="preserve"> HYPERLINK \l _Toc11555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_Toc11555 \h </w:instrText>
          </w:r>
          <w:r>
            <w:fldChar w:fldCharType="separate"/>
          </w:r>
          <w:r>
            <w:t>20</w:t>
          </w:r>
          <w:r>
            <w:fldChar w:fldCharType="end"/>
          </w:r>
          <w:r>
            <w:fldChar w:fldCharType="end"/>
          </w:r>
        </w:p>
        <w:p w14:paraId="09BD79C9">
          <w:pPr>
            <w:pStyle w:val="34"/>
            <w:tabs>
              <w:tab w:val="right" w:leader="dot" w:pos="8306"/>
            </w:tabs>
          </w:pPr>
          <w:r>
            <w:fldChar w:fldCharType="begin"/>
          </w:r>
          <w:r>
            <w:instrText xml:space="preserve"> HYPERLINK \l _Toc21471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_Toc21471 \h </w:instrText>
          </w:r>
          <w:r>
            <w:fldChar w:fldCharType="separate"/>
          </w:r>
          <w:r>
            <w:t>20</w:t>
          </w:r>
          <w:r>
            <w:fldChar w:fldCharType="end"/>
          </w:r>
          <w:r>
            <w:fldChar w:fldCharType="end"/>
          </w:r>
        </w:p>
        <w:p w14:paraId="06BBF4B0">
          <w:pPr>
            <w:pStyle w:val="34"/>
            <w:tabs>
              <w:tab w:val="right" w:leader="dot" w:pos="8306"/>
            </w:tabs>
          </w:pPr>
          <w:r>
            <w:fldChar w:fldCharType="begin"/>
          </w:r>
          <w:r>
            <w:instrText xml:space="preserve"> HYPERLINK \l _Toc26628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_Toc26628 \h </w:instrText>
          </w:r>
          <w:r>
            <w:fldChar w:fldCharType="separate"/>
          </w:r>
          <w:r>
            <w:t>20</w:t>
          </w:r>
          <w:r>
            <w:fldChar w:fldCharType="end"/>
          </w:r>
          <w:r>
            <w:fldChar w:fldCharType="end"/>
          </w:r>
        </w:p>
        <w:p w14:paraId="3E334323">
          <w:pPr>
            <w:pStyle w:val="34"/>
            <w:tabs>
              <w:tab w:val="right" w:leader="dot" w:pos="8306"/>
            </w:tabs>
          </w:pPr>
          <w:r>
            <w:fldChar w:fldCharType="begin"/>
          </w:r>
          <w:r>
            <w:instrText xml:space="preserve"> HYPERLINK \l _Toc25337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_Toc25337 \h </w:instrText>
          </w:r>
          <w:r>
            <w:fldChar w:fldCharType="separate"/>
          </w:r>
          <w:r>
            <w:t>20</w:t>
          </w:r>
          <w:r>
            <w:fldChar w:fldCharType="end"/>
          </w:r>
          <w:r>
            <w:fldChar w:fldCharType="end"/>
          </w:r>
        </w:p>
        <w:p w14:paraId="59210BA9">
          <w:pPr>
            <w:pStyle w:val="34"/>
            <w:tabs>
              <w:tab w:val="right" w:leader="dot" w:pos="8306"/>
            </w:tabs>
          </w:pPr>
          <w:r>
            <w:fldChar w:fldCharType="begin"/>
          </w:r>
          <w:r>
            <w:instrText xml:space="preserve"> HYPERLINK \l _Toc6813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_Toc6813 \h </w:instrText>
          </w:r>
          <w:r>
            <w:fldChar w:fldCharType="separate"/>
          </w:r>
          <w:r>
            <w:t>20</w:t>
          </w:r>
          <w:r>
            <w:fldChar w:fldCharType="end"/>
          </w:r>
          <w:r>
            <w:fldChar w:fldCharType="end"/>
          </w:r>
        </w:p>
        <w:p w14:paraId="54585762">
          <w:pPr>
            <w:pStyle w:val="34"/>
            <w:tabs>
              <w:tab w:val="right" w:leader="dot" w:pos="8306"/>
            </w:tabs>
          </w:pPr>
          <w:r>
            <w:fldChar w:fldCharType="begin"/>
          </w:r>
          <w:r>
            <w:instrText xml:space="preserve"> HYPERLINK \l _Toc19989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_Toc19989 \h </w:instrText>
          </w:r>
          <w:r>
            <w:fldChar w:fldCharType="separate"/>
          </w:r>
          <w:r>
            <w:t>20</w:t>
          </w:r>
          <w:r>
            <w:fldChar w:fldCharType="end"/>
          </w:r>
          <w:r>
            <w:fldChar w:fldCharType="end"/>
          </w:r>
        </w:p>
        <w:p w14:paraId="452C7DB7">
          <w:pPr>
            <w:pStyle w:val="34"/>
            <w:tabs>
              <w:tab w:val="right" w:leader="dot" w:pos="8306"/>
            </w:tabs>
          </w:pPr>
          <w:r>
            <w:fldChar w:fldCharType="begin"/>
          </w:r>
          <w:r>
            <w:instrText xml:space="preserve"> HYPERLINK \l _Toc26803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_Toc26803 \h </w:instrText>
          </w:r>
          <w:r>
            <w:fldChar w:fldCharType="separate"/>
          </w:r>
          <w:r>
            <w:t>20</w:t>
          </w:r>
          <w:r>
            <w:fldChar w:fldCharType="end"/>
          </w:r>
          <w:r>
            <w:fldChar w:fldCharType="end"/>
          </w:r>
        </w:p>
        <w:p w14:paraId="5BA96D37">
          <w:pPr>
            <w:pStyle w:val="34"/>
            <w:tabs>
              <w:tab w:val="right" w:leader="dot" w:pos="8306"/>
            </w:tabs>
          </w:pPr>
          <w:r>
            <w:fldChar w:fldCharType="begin"/>
          </w:r>
          <w:r>
            <w:instrText xml:space="preserve"> HYPERLINK \l _Toc27958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_Toc27958 \h </w:instrText>
          </w:r>
          <w:r>
            <w:fldChar w:fldCharType="separate"/>
          </w:r>
          <w:r>
            <w:t>20</w:t>
          </w:r>
          <w:r>
            <w:fldChar w:fldCharType="end"/>
          </w:r>
          <w:r>
            <w:fldChar w:fldCharType="end"/>
          </w:r>
        </w:p>
        <w:p w14:paraId="0725F763">
          <w:pPr>
            <w:pStyle w:val="34"/>
            <w:tabs>
              <w:tab w:val="right" w:leader="dot" w:pos="8306"/>
            </w:tabs>
          </w:pPr>
          <w:r>
            <w:fldChar w:fldCharType="begin"/>
          </w:r>
          <w:r>
            <w:instrText xml:space="preserve"> HYPERLINK \l _Toc18501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_Toc18501 \h </w:instrText>
          </w:r>
          <w:r>
            <w:fldChar w:fldCharType="separate"/>
          </w:r>
          <w:r>
            <w:t>20</w:t>
          </w:r>
          <w:r>
            <w:fldChar w:fldCharType="end"/>
          </w:r>
          <w:r>
            <w:fldChar w:fldCharType="end"/>
          </w:r>
        </w:p>
        <w:p w14:paraId="5E39389D">
          <w:pPr>
            <w:pStyle w:val="34"/>
            <w:tabs>
              <w:tab w:val="right" w:leader="dot" w:pos="8306"/>
            </w:tabs>
          </w:pPr>
          <w:r>
            <w:fldChar w:fldCharType="begin"/>
          </w:r>
          <w:r>
            <w:instrText xml:space="preserve"> HYPERLINK \l _Toc3141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_Toc3141 \h </w:instrText>
          </w:r>
          <w:r>
            <w:fldChar w:fldCharType="separate"/>
          </w:r>
          <w:r>
            <w:t>20</w:t>
          </w:r>
          <w:r>
            <w:fldChar w:fldCharType="end"/>
          </w:r>
          <w:r>
            <w:fldChar w:fldCharType="end"/>
          </w:r>
        </w:p>
        <w:p w14:paraId="63692AF8">
          <w:pPr>
            <w:pStyle w:val="34"/>
            <w:tabs>
              <w:tab w:val="right" w:leader="dot" w:pos="8306"/>
            </w:tabs>
          </w:pPr>
          <w:r>
            <w:fldChar w:fldCharType="begin"/>
          </w:r>
          <w:r>
            <w:instrText xml:space="preserve"> HYPERLINK \l _Toc21491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_Toc21491 \h </w:instrText>
          </w:r>
          <w:r>
            <w:fldChar w:fldCharType="separate"/>
          </w:r>
          <w:r>
            <w:t>20</w:t>
          </w:r>
          <w:r>
            <w:fldChar w:fldCharType="end"/>
          </w:r>
          <w:r>
            <w:fldChar w:fldCharType="end"/>
          </w:r>
        </w:p>
        <w:p w14:paraId="53D37064">
          <w:pPr>
            <w:rPr>
              <w:b/>
            </w:rPr>
          </w:pPr>
          <w:r>
            <w:rPr>
              <w:b/>
            </w:rPr>
            <w:fldChar w:fldCharType="end"/>
          </w:r>
        </w:p>
      </w:sdtContent>
    </w:sdt>
    <w:p w14:paraId="0D64BCB5">
      <w:pPr>
        <w:rPr>
          <w:b/>
        </w:rPr>
      </w:pPr>
    </w:p>
    <w:p w14:paraId="3B7907E9">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3614EFA1">
      <w:pPr>
        <w:pStyle w:val="2"/>
        <w:jc w:val="center"/>
        <w:rPr>
          <w:rStyle w:val="27"/>
          <w:rFonts w:ascii="黑体" w:hAnsi="黑体" w:eastAsia="黑体"/>
          <w:b/>
          <w:bCs w:val="0"/>
        </w:rPr>
      </w:pPr>
      <w:bookmarkStart w:id="16" w:name="_Toc13535"/>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0C05A58C">
      <w:pPr>
        <w:widowControl/>
        <w:jc w:val="left"/>
        <w:rPr>
          <w:rFonts w:ascii="黑体" w:eastAsia="黑体"/>
          <w:sz w:val="32"/>
          <w:szCs w:val="32"/>
        </w:rPr>
      </w:pPr>
    </w:p>
    <w:p w14:paraId="2F8F7F5C">
      <w:pPr>
        <w:pStyle w:val="3"/>
        <w:numPr>
          <w:ilvl w:val="0"/>
          <w:numId w:val="1"/>
        </w:numPr>
        <w:rPr>
          <w:rStyle w:val="28"/>
          <w:rFonts w:ascii="黑体" w:hAnsi="黑体" w:eastAsia="黑体"/>
          <w:b w:val="0"/>
          <w:bCs w:val="0"/>
        </w:rPr>
      </w:pPr>
      <w:bookmarkStart w:id="17" w:name="_Toc18403"/>
      <w:bookmarkStart w:id="18" w:name="_Toc15377197"/>
      <w:bookmarkStart w:id="19" w:name="_Toc15396600"/>
      <w:r>
        <w:rPr>
          <w:rStyle w:val="28"/>
          <w:rFonts w:hint="eastAsia" w:ascii="黑体" w:hAnsi="黑体" w:eastAsia="黑体"/>
          <w:b w:val="0"/>
          <w:bCs w:val="0"/>
        </w:rPr>
        <w:t>主要职责</w:t>
      </w:r>
      <w:bookmarkEnd w:id="17"/>
    </w:p>
    <w:p w14:paraId="243D6ED5">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1.疾病的预防与控制：开展疾病监测</w:t>
      </w:r>
      <w:r>
        <w:rPr>
          <w:rFonts w:hint="eastAsia" w:ascii="仿宋" w:hAnsi="仿宋" w:eastAsia="仿宋" w:cs="仿宋"/>
          <w:sz w:val="32"/>
          <w:szCs w:val="32"/>
          <w:lang w:eastAsia="zh-CN"/>
        </w:rPr>
        <w:t>，研</w:t>
      </w:r>
      <w:r>
        <w:rPr>
          <w:rFonts w:hint="eastAsia" w:ascii="仿宋" w:hAnsi="仿宋" w:eastAsia="仿宋" w:cs="仿宋"/>
          <w:sz w:val="32"/>
          <w:szCs w:val="32"/>
        </w:rPr>
        <w:t>究传染病寄生虫病地方病非传染性疾病等疾病的分布</w:t>
      </w:r>
      <w:r>
        <w:rPr>
          <w:rFonts w:hint="eastAsia" w:ascii="仿宋" w:hAnsi="仿宋" w:eastAsia="仿宋" w:cs="仿宋"/>
          <w:sz w:val="32"/>
          <w:szCs w:val="32"/>
          <w:lang w:eastAsia="zh-CN"/>
        </w:rPr>
        <w:t>，</w:t>
      </w:r>
      <w:r>
        <w:rPr>
          <w:rFonts w:hint="eastAsia" w:ascii="仿宋" w:hAnsi="仿宋" w:eastAsia="仿宋" w:cs="仿宋"/>
          <w:sz w:val="32"/>
          <w:szCs w:val="32"/>
        </w:rPr>
        <w:t>探讨疾病的发生发展的原因和流行疾病预防规律</w:t>
      </w:r>
      <w:r>
        <w:rPr>
          <w:rFonts w:hint="eastAsia" w:ascii="仿宋" w:hAnsi="仿宋" w:eastAsia="仿宋" w:cs="仿宋"/>
          <w:sz w:val="32"/>
          <w:szCs w:val="32"/>
          <w:lang w:eastAsia="zh-CN"/>
        </w:rPr>
        <w:t>，</w:t>
      </w:r>
      <w:r>
        <w:rPr>
          <w:rFonts w:hint="eastAsia" w:ascii="仿宋" w:hAnsi="仿宋" w:eastAsia="仿宋" w:cs="仿宋"/>
          <w:sz w:val="32"/>
          <w:szCs w:val="32"/>
        </w:rPr>
        <w:t>提供制订预防控制策略与措施的技术保障组织实施疾病预防控制工作规划计划和方案预防控制相关疾病的发生与流行。</w:t>
      </w:r>
    </w:p>
    <w:p w14:paraId="6B36FC22">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2.开展突发公共卫生事件处置：开展突发公共卫生事件处置和救灾防病的应急准备；对突发卫生事件、灾后疫病进行监测报告，提供预测预警信息；开展现场调查处置和效果评估。</w:t>
      </w:r>
    </w:p>
    <w:p w14:paraId="023AA3A2">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3.疫情及健康相关因素信息：管理疾病预防控制信息系统，收集、报告、分析和评价疾病与健康危害因素等公共卫生信息为疾病预防控制决策提供依据，为社会和公众提供信息服务。</w:t>
      </w:r>
    </w:p>
    <w:p w14:paraId="2AC964CC">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4.健康危害因素监测与干预：开展食源性、职业性辐射性环境性疾病监</w:t>
      </w:r>
      <w:r>
        <w:rPr>
          <w:rFonts w:hint="eastAsia" w:ascii="仿宋" w:hAnsi="仿宋" w:eastAsia="仿宋" w:cs="仿宋"/>
          <w:sz w:val="32"/>
          <w:szCs w:val="32"/>
          <w:lang w:eastAsia="zh-CN"/>
        </w:rPr>
        <w:t>督调查处置</w:t>
      </w:r>
      <w:r>
        <w:rPr>
          <w:rFonts w:hint="eastAsia" w:ascii="仿宋" w:hAnsi="仿宋" w:eastAsia="仿宋" w:cs="仿宋"/>
          <w:sz w:val="32"/>
          <w:szCs w:val="32"/>
        </w:rPr>
        <w:t>公众营养监测与评价；对生产生活工作学习环境中影响人群健康的危害因素进行监测与评价，提出干预策略与措施，预防控制相关因素对人体健康的危害。</w:t>
      </w:r>
    </w:p>
    <w:p w14:paraId="7D3DF17C">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5.实验室检测检验与评价：开展卫生防病检验和实验室质量控制，为突发公共卫生事件的应急处置、传染性疾病的诊断、疾病和健康相关危害因素的预防控制及卫生监督执法等提供技术支撑为社会提供技术服务。</w:t>
      </w:r>
    </w:p>
    <w:p w14:paraId="5F8B1DDF">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6.健康教育与健康促进：开展健康教育健康促进，普及卫生防病知识，对公众进行健康指导；协同有关部门和组织，对公众不良健康行为进行干预，社会健康环境的建立和人群健康行为的形成。</w:t>
      </w:r>
    </w:p>
    <w:p w14:paraId="4E8FE30D">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7.技术管理与应用指导：开展疾病预防控制工作业务与技术培训，提供技术指导、技术支持和技术服务。</w:t>
      </w:r>
    </w:p>
    <w:p w14:paraId="6B2C56D2">
      <w:pPr>
        <w:pStyle w:val="3"/>
        <w:rPr>
          <w:rFonts w:ascii="黑体" w:hAnsi="黑体" w:eastAsia="黑体"/>
          <w:b w:val="0"/>
        </w:rPr>
      </w:pPr>
      <w:bookmarkStart w:id="20" w:name="_Toc13009"/>
      <w:r>
        <w:rPr>
          <w:rFonts w:hint="eastAsia" w:ascii="黑体" w:hAnsi="黑体" w:eastAsia="黑体"/>
          <w:b w:val="0"/>
        </w:rPr>
        <w:t>二、机构设置</w:t>
      </w:r>
      <w:bookmarkEnd w:id="20"/>
    </w:p>
    <w:bookmarkEnd w:id="18"/>
    <w:bookmarkEnd w:id="19"/>
    <w:p w14:paraId="08AAF397">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峨边彝族自治县疾病预防控制中心为峨边卫生健康局下属二级预算单位。属于事业单位，现共设有中心办公室、疾控科、计免科、卫生科、检验科、性</w:t>
      </w:r>
      <w:r>
        <w:rPr>
          <w:rFonts w:hint="eastAsia" w:ascii="仿宋" w:hAnsi="仿宋" w:eastAsia="仿宋"/>
          <w:sz w:val="32"/>
          <w:szCs w:val="32"/>
          <w:lang w:eastAsia="zh-CN"/>
        </w:rPr>
        <w:t>艾</w:t>
      </w:r>
      <w:bookmarkStart w:id="104" w:name="_GoBack"/>
      <w:bookmarkEnd w:id="104"/>
      <w:r>
        <w:rPr>
          <w:rFonts w:hint="eastAsia" w:ascii="仿宋" w:hAnsi="仿宋" w:eastAsia="仿宋"/>
          <w:sz w:val="32"/>
          <w:szCs w:val="32"/>
          <w:lang w:eastAsia="zh-CN"/>
        </w:rPr>
        <w:t>科</w:t>
      </w:r>
      <w:r>
        <w:rPr>
          <w:rFonts w:hint="eastAsia" w:ascii="仿宋" w:hAnsi="仿宋" w:eastAsia="仿宋"/>
          <w:sz w:val="32"/>
          <w:szCs w:val="32"/>
        </w:rPr>
        <w:t>、结防科和美沙酮门诊共8个业务科室，承担着全县免疫规划、传染病防治、结核病防治、艾滋病防治、地方病及慢性病防治、学校卫生、卫生检验监测，基本公共卫生培训、督导、考核评估等工作。</w:t>
      </w:r>
      <w:r>
        <w:rPr>
          <w:rFonts w:ascii="仿宋" w:hAnsi="仿宋" w:eastAsia="仿宋"/>
          <w:sz w:val="32"/>
          <w:szCs w:val="32"/>
        </w:rPr>
        <w:br w:type="page"/>
      </w:r>
    </w:p>
    <w:p w14:paraId="0F7A2F58">
      <w:pPr>
        <w:pStyle w:val="2"/>
        <w:ind w:right="440"/>
        <w:jc w:val="center"/>
        <w:rPr>
          <w:rStyle w:val="27"/>
          <w:rFonts w:ascii="黑体" w:hAnsi="黑体" w:eastAsia="黑体"/>
          <w:b w:val="0"/>
          <w:bCs/>
        </w:rPr>
      </w:pPr>
      <w:bookmarkStart w:id="21" w:name="_Toc15377204"/>
      <w:bookmarkStart w:id="22" w:name="_Toc13452"/>
      <w:bookmarkStart w:id="23"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02EC00DB"/>
    <w:p w14:paraId="3838D67E">
      <w:pPr>
        <w:pStyle w:val="26"/>
        <w:numPr>
          <w:ilvl w:val="0"/>
          <w:numId w:val="2"/>
        </w:numPr>
        <w:spacing w:line="600" w:lineRule="exact"/>
        <w:ind w:firstLineChars="0"/>
        <w:outlineLvl w:val="1"/>
        <w:rPr>
          <w:rStyle w:val="28"/>
          <w:rFonts w:ascii="黑体" w:hAnsi="黑体" w:eastAsia="黑体"/>
          <w:b w:val="0"/>
        </w:rPr>
      </w:pPr>
      <w:bookmarkStart w:id="24" w:name="_Toc7291"/>
      <w:bookmarkStart w:id="25" w:name="_Toc15396603"/>
      <w:bookmarkStart w:id="26"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1C6D9DC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838.5</w:t>
      </w:r>
      <w:r>
        <w:rPr>
          <w:rFonts w:hint="eastAsia" w:ascii="仿宋" w:hAnsi="仿宋" w:eastAsia="仿宋"/>
          <w:sz w:val="32"/>
          <w:szCs w:val="32"/>
        </w:rPr>
        <w:t>万元。与2022年度相比，收、支总计各减少</w:t>
      </w:r>
      <w:r>
        <w:rPr>
          <w:rFonts w:hint="eastAsia" w:ascii="仿宋" w:hAnsi="仿宋" w:eastAsia="仿宋"/>
          <w:sz w:val="32"/>
          <w:szCs w:val="32"/>
          <w:lang w:val="en-US" w:eastAsia="zh-CN"/>
        </w:rPr>
        <w:t>216.50</w:t>
      </w:r>
      <w:r>
        <w:rPr>
          <w:rFonts w:hint="eastAsia" w:ascii="仿宋" w:hAnsi="仿宋" w:eastAsia="仿宋"/>
          <w:sz w:val="32"/>
          <w:szCs w:val="32"/>
        </w:rPr>
        <w:t>万元，下降</w:t>
      </w:r>
      <w:r>
        <w:rPr>
          <w:rFonts w:hint="eastAsia" w:ascii="仿宋" w:hAnsi="仿宋" w:eastAsia="仿宋"/>
          <w:sz w:val="32"/>
          <w:szCs w:val="32"/>
          <w:lang w:val="en-US" w:eastAsia="zh-CN"/>
        </w:rPr>
        <w:t>20.52</w:t>
      </w:r>
      <w:r>
        <w:rPr>
          <w:rFonts w:ascii="仿宋" w:hAnsi="仿宋" w:eastAsia="仿宋"/>
          <w:sz w:val="32"/>
          <w:szCs w:val="32"/>
        </w:rPr>
        <w:t>%</w:t>
      </w:r>
      <w:r>
        <w:rPr>
          <w:rFonts w:hint="eastAsia" w:ascii="仿宋" w:hAnsi="仿宋" w:eastAsia="仿宋"/>
          <w:sz w:val="32"/>
          <w:szCs w:val="32"/>
        </w:rPr>
        <w:t>。主要变动原因是2023年项目经费和公用经费预算减少。</w:t>
      </w:r>
    </w:p>
    <w:p w14:paraId="408E0AC5">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4449497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C76827F">
      <w:pPr>
        <w:spacing w:line="600" w:lineRule="exact"/>
        <w:ind w:firstLine="640" w:firstLineChars="200"/>
        <w:jc w:val="left"/>
        <w:rPr>
          <w:rFonts w:ascii="仿宋_GB2312" w:eastAsia="仿宋_GB2312"/>
          <w:sz w:val="32"/>
          <w:szCs w:val="32"/>
        </w:rPr>
      </w:pPr>
    </w:p>
    <w:p w14:paraId="209DE4CB">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16191"/>
      <w:bookmarkStart w:id="29" w:name="_Toc15377206"/>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66EE1293">
      <w:pPr>
        <w:spacing w:line="600" w:lineRule="exact"/>
        <w:ind w:firstLine="640" w:firstLineChars="200"/>
        <w:outlineLvl w:val="1"/>
        <w:rPr>
          <w:rFonts w:ascii="仿宋" w:hAnsi="仿宋" w:eastAsia="仿宋"/>
          <w:b/>
          <w:sz w:val="32"/>
          <w:szCs w:val="32"/>
        </w:rPr>
      </w:pPr>
      <w:bookmarkStart w:id="30" w:name="_Toc8560"/>
      <w:r>
        <w:rPr>
          <w:rFonts w:hint="eastAsia" w:ascii="仿宋" w:hAnsi="仿宋" w:eastAsia="仿宋"/>
          <w:sz w:val="32"/>
          <w:szCs w:val="32"/>
        </w:rPr>
        <w:t>2023年度本年收入合计</w:t>
      </w:r>
      <w:r>
        <w:rPr>
          <w:rFonts w:ascii="仿宋" w:hAnsi="仿宋" w:eastAsia="仿宋"/>
          <w:b/>
          <w:sz w:val="32"/>
          <w:szCs w:val="32"/>
        </w:rPr>
        <w:t>838.5</w:t>
      </w:r>
      <w:r>
        <w:rPr>
          <w:rFonts w:hint="eastAsia" w:ascii="仿宋" w:hAnsi="仿宋" w:eastAsia="仿宋"/>
          <w:sz w:val="32"/>
          <w:szCs w:val="32"/>
        </w:rPr>
        <w:t>万元，其中：一般公共预算财政拨款收入</w:t>
      </w:r>
      <w:r>
        <w:rPr>
          <w:rFonts w:ascii="仿宋" w:hAnsi="仿宋" w:eastAsia="仿宋"/>
          <w:b/>
          <w:sz w:val="32"/>
          <w:szCs w:val="32"/>
        </w:rPr>
        <w:t>838.5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b/>
          <w:sz w:val="32"/>
          <w:szCs w:val="32"/>
          <w:lang w:eastAsia="zh-CN"/>
        </w:rPr>
        <w:t>。</w:t>
      </w:r>
      <w:bookmarkEnd w:id="30"/>
    </w:p>
    <w:p w14:paraId="6C6EFB14">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4972E720">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469F90B4">
      <w:pPr>
        <w:spacing w:line="600" w:lineRule="exact"/>
        <w:ind w:firstLine="640" w:firstLineChars="200"/>
        <w:rPr>
          <w:rFonts w:ascii="仿宋_GB2312" w:eastAsia="仿宋_GB2312"/>
          <w:sz w:val="32"/>
          <w:szCs w:val="32"/>
        </w:rPr>
      </w:pPr>
    </w:p>
    <w:p w14:paraId="0D556673">
      <w:pPr>
        <w:pStyle w:val="26"/>
        <w:numPr>
          <w:ilvl w:val="0"/>
          <w:numId w:val="2"/>
        </w:numPr>
        <w:spacing w:line="600" w:lineRule="exact"/>
        <w:ind w:firstLineChars="0"/>
        <w:outlineLvl w:val="1"/>
        <w:rPr>
          <w:rStyle w:val="28"/>
          <w:rFonts w:ascii="黑体" w:hAnsi="黑体" w:eastAsia="黑体"/>
          <w:b w:val="0"/>
        </w:rPr>
      </w:pPr>
      <w:bookmarkStart w:id="31" w:name="_Toc15377207"/>
      <w:bookmarkStart w:id="32" w:name="_Toc15396605"/>
      <w:bookmarkStart w:id="33" w:name="_Toc19666"/>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7B6BDF6E">
      <w:pPr>
        <w:spacing w:line="600" w:lineRule="exact"/>
        <w:ind w:firstLine="640" w:firstLineChars="200"/>
        <w:outlineLvl w:val="1"/>
        <w:rPr>
          <w:rFonts w:ascii="仿宋" w:hAnsi="仿宋" w:eastAsia="仿宋"/>
          <w:sz w:val="32"/>
          <w:szCs w:val="32"/>
        </w:rPr>
      </w:pPr>
      <w:bookmarkStart w:id="34" w:name="_Toc120"/>
      <w:r>
        <w:rPr>
          <w:rFonts w:hint="eastAsia" w:ascii="仿宋" w:hAnsi="仿宋" w:eastAsia="仿宋"/>
          <w:sz w:val="32"/>
          <w:szCs w:val="32"/>
        </w:rPr>
        <w:t>2023年度本年支出合计</w:t>
      </w:r>
      <w:r>
        <w:rPr>
          <w:rFonts w:ascii="仿宋" w:hAnsi="仿宋" w:eastAsia="仿宋"/>
          <w:b/>
          <w:sz w:val="32"/>
          <w:szCs w:val="32"/>
        </w:rPr>
        <w:t>838.5</w:t>
      </w:r>
      <w:r>
        <w:rPr>
          <w:rFonts w:hint="eastAsia" w:ascii="仿宋" w:hAnsi="仿宋" w:eastAsia="仿宋"/>
          <w:sz w:val="32"/>
          <w:szCs w:val="32"/>
        </w:rPr>
        <w:t>万元，其中：基本支出</w:t>
      </w:r>
      <w:r>
        <w:rPr>
          <w:rFonts w:ascii="仿宋" w:hAnsi="仿宋" w:eastAsia="仿宋"/>
          <w:b/>
          <w:sz w:val="32"/>
          <w:szCs w:val="32"/>
        </w:rPr>
        <w:t>556.74</w:t>
      </w:r>
      <w:r>
        <w:rPr>
          <w:rFonts w:hint="eastAsia" w:ascii="仿宋" w:hAnsi="仿宋" w:eastAsia="仿宋"/>
          <w:sz w:val="32"/>
          <w:szCs w:val="32"/>
        </w:rPr>
        <w:t>万元，占</w:t>
      </w:r>
      <w:r>
        <w:rPr>
          <w:rFonts w:ascii="仿宋" w:hAnsi="仿宋" w:eastAsia="仿宋"/>
          <w:b/>
          <w:sz w:val="32"/>
          <w:szCs w:val="32"/>
        </w:rPr>
        <w:t>66.</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281.76</w:t>
      </w:r>
      <w:r>
        <w:rPr>
          <w:rFonts w:hint="eastAsia" w:ascii="仿宋" w:hAnsi="仿宋" w:eastAsia="仿宋"/>
          <w:sz w:val="32"/>
          <w:szCs w:val="32"/>
        </w:rPr>
        <w:t>万元，占</w:t>
      </w:r>
      <w:r>
        <w:rPr>
          <w:rFonts w:ascii="仿宋" w:hAnsi="仿宋" w:eastAsia="仿宋"/>
          <w:b/>
          <w:sz w:val="32"/>
          <w:szCs w:val="32"/>
        </w:rPr>
        <w:t>33.6</w:t>
      </w:r>
      <w:r>
        <w:rPr>
          <w:rFonts w:ascii="仿宋" w:hAnsi="仿宋" w:eastAsia="仿宋"/>
          <w:sz w:val="32"/>
          <w:szCs w:val="32"/>
        </w:rPr>
        <w:t>%</w:t>
      </w:r>
      <w:r>
        <w:rPr>
          <w:rFonts w:hint="eastAsia" w:ascii="仿宋" w:hAnsi="仿宋" w:eastAsia="仿宋"/>
          <w:sz w:val="32"/>
          <w:szCs w:val="32"/>
        </w:rPr>
        <w:t>。</w:t>
      </w:r>
      <w:bookmarkEnd w:id="34"/>
    </w:p>
    <w:p w14:paraId="786B8BA4">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0DFE613C">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09C53589">
      <w:pPr>
        <w:spacing w:line="600" w:lineRule="exact"/>
        <w:ind w:firstLine="640" w:firstLineChars="200"/>
        <w:rPr>
          <w:rFonts w:ascii="仿宋_GB2312" w:eastAsia="仿宋_GB2312"/>
          <w:sz w:val="32"/>
          <w:szCs w:val="32"/>
        </w:rPr>
      </w:pPr>
    </w:p>
    <w:p w14:paraId="1DE44DC4">
      <w:pPr>
        <w:spacing w:line="600" w:lineRule="exact"/>
        <w:ind w:firstLine="640" w:firstLineChars="200"/>
        <w:outlineLvl w:val="1"/>
        <w:rPr>
          <w:rStyle w:val="28"/>
          <w:rFonts w:ascii="黑体" w:hAnsi="黑体" w:eastAsia="黑体"/>
          <w:b w:val="0"/>
        </w:rPr>
      </w:pPr>
      <w:bookmarkStart w:id="35" w:name="_Toc15377208"/>
      <w:bookmarkStart w:id="36" w:name="_Toc15396606"/>
      <w:bookmarkStart w:id="37" w:name="_Toc279"/>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4547E447">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838.5</w:t>
      </w:r>
      <w:r>
        <w:rPr>
          <w:rFonts w:hint="eastAsia" w:ascii="仿宋" w:hAnsi="仿宋" w:eastAsia="仿宋"/>
          <w:sz w:val="32"/>
          <w:szCs w:val="32"/>
        </w:rPr>
        <w:t>万元。与2022年度相比，财政拨款收、支总计各减少</w:t>
      </w:r>
      <w:r>
        <w:rPr>
          <w:rFonts w:hint="eastAsia" w:ascii="仿宋" w:hAnsi="仿宋" w:eastAsia="仿宋"/>
          <w:sz w:val="32"/>
          <w:szCs w:val="32"/>
          <w:lang w:val="en-US" w:eastAsia="zh-CN"/>
        </w:rPr>
        <w:t>216.50</w:t>
      </w:r>
      <w:r>
        <w:rPr>
          <w:rFonts w:hint="eastAsia" w:ascii="仿宋" w:hAnsi="仿宋" w:eastAsia="仿宋"/>
          <w:sz w:val="32"/>
          <w:szCs w:val="32"/>
        </w:rPr>
        <w:t>万元，下降</w:t>
      </w:r>
      <w:r>
        <w:rPr>
          <w:rFonts w:hint="eastAsia" w:ascii="仿宋" w:hAnsi="仿宋" w:eastAsia="仿宋"/>
          <w:sz w:val="32"/>
          <w:szCs w:val="32"/>
          <w:lang w:val="en-US" w:eastAsia="zh-CN"/>
        </w:rPr>
        <w:t>20.52</w:t>
      </w:r>
      <w:r>
        <w:rPr>
          <w:rFonts w:ascii="仿宋" w:hAnsi="仿宋" w:eastAsia="仿宋"/>
          <w:sz w:val="32"/>
          <w:szCs w:val="32"/>
        </w:rPr>
        <w:t>%</w:t>
      </w:r>
      <w:r>
        <w:rPr>
          <w:rFonts w:hint="eastAsia" w:ascii="仿宋" w:hAnsi="仿宋" w:eastAsia="仿宋"/>
          <w:sz w:val="32"/>
          <w:szCs w:val="32"/>
        </w:rPr>
        <w:t>。主要变动原因是2023年项目经费和公用经费预算减少</w:t>
      </w:r>
      <w:r>
        <w:rPr>
          <w:rFonts w:hint="eastAsia" w:ascii="仿宋" w:hAnsi="仿宋" w:eastAsia="仿宋"/>
          <w:sz w:val="32"/>
          <w:szCs w:val="32"/>
          <w:lang w:eastAsia="zh-CN"/>
        </w:rPr>
        <w:t>。</w:t>
      </w:r>
    </w:p>
    <w:p w14:paraId="62AD0881">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775194A4">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5314504">
      <w:pPr>
        <w:spacing w:line="600" w:lineRule="exact"/>
        <w:ind w:firstLine="640"/>
        <w:rPr>
          <w:rFonts w:ascii="仿宋" w:hAnsi="仿宋" w:eastAsia="仿宋"/>
          <w:b/>
          <w:sz w:val="32"/>
          <w:szCs w:val="32"/>
        </w:rPr>
      </w:pPr>
    </w:p>
    <w:p w14:paraId="13DD947E">
      <w:pPr>
        <w:spacing w:line="600" w:lineRule="exact"/>
        <w:ind w:firstLine="640" w:firstLineChars="200"/>
        <w:outlineLvl w:val="1"/>
        <w:rPr>
          <w:rStyle w:val="28"/>
          <w:rFonts w:ascii="黑体" w:hAnsi="黑体" w:eastAsia="黑体"/>
          <w:b w:val="0"/>
        </w:rPr>
      </w:pPr>
      <w:bookmarkStart w:id="38" w:name="_Toc13751"/>
      <w:bookmarkStart w:id="39" w:name="_Toc15377209"/>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51C4DA4F">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08584B46">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838.5</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hint="eastAsia" w:ascii="仿宋" w:hAnsi="仿宋" w:eastAsia="仿宋"/>
          <w:sz w:val="32"/>
          <w:szCs w:val="32"/>
          <w:lang w:val="en-US" w:eastAsia="zh-CN"/>
        </w:rPr>
        <w:t>216.50</w:t>
      </w:r>
      <w:r>
        <w:rPr>
          <w:rFonts w:hint="eastAsia" w:ascii="仿宋" w:hAnsi="仿宋" w:eastAsia="仿宋"/>
          <w:sz w:val="32"/>
          <w:szCs w:val="32"/>
        </w:rPr>
        <w:t>万元，下降</w:t>
      </w:r>
      <w:r>
        <w:rPr>
          <w:rFonts w:hint="eastAsia" w:ascii="仿宋" w:hAnsi="仿宋" w:eastAsia="仿宋"/>
          <w:sz w:val="32"/>
          <w:szCs w:val="32"/>
          <w:lang w:val="en-US" w:eastAsia="zh-CN"/>
        </w:rPr>
        <w:t>20.52</w:t>
      </w:r>
      <w:r>
        <w:rPr>
          <w:rFonts w:ascii="仿宋" w:hAnsi="仿宋" w:eastAsia="仿宋"/>
          <w:sz w:val="32"/>
          <w:szCs w:val="32"/>
        </w:rPr>
        <w:t>%</w:t>
      </w:r>
      <w:r>
        <w:rPr>
          <w:rFonts w:hint="eastAsia" w:ascii="仿宋" w:hAnsi="仿宋" w:eastAsia="仿宋"/>
          <w:sz w:val="32"/>
          <w:szCs w:val="32"/>
        </w:rPr>
        <w:t>。主要变动原因是2023年项目经费和公用经费预算减少</w:t>
      </w:r>
      <w:r>
        <w:rPr>
          <w:rFonts w:hint="eastAsia" w:ascii="仿宋" w:hAnsi="仿宋" w:eastAsia="仿宋"/>
          <w:sz w:val="32"/>
          <w:szCs w:val="32"/>
          <w:lang w:eastAsia="zh-CN"/>
        </w:rPr>
        <w:t>。</w:t>
      </w:r>
    </w:p>
    <w:p w14:paraId="26D14C41">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5703D4F3">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58CE902">
      <w:pPr>
        <w:spacing w:line="600" w:lineRule="exact"/>
        <w:ind w:firstLine="640" w:firstLineChars="200"/>
        <w:rPr>
          <w:rFonts w:ascii="仿宋" w:hAnsi="仿宋" w:eastAsia="仿宋"/>
          <w:sz w:val="32"/>
          <w:szCs w:val="32"/>
        </w:rPr>
      </w:pPr>
    </w:p>
    <w:p w14:paraId="36110F79">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782AE4B6">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838.5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64.74</w:t>
      </w:r>
      <w:r>
        <w:rPr>
          <w:rFonts w:hint="eastAsia" w:ascii="仿宋" w:hAnsi="仿宋" w:eastAsia="仿宋"/>
          <w:sz w:val="32"/>
          <w:szCs w:val="32"/>
        </w:rPr>
        <w:t>万元，占</w:t>
      </w:r>
      <w:r>
        <w:rPr>
          <w:rFonts w:hint="eastAsia" w:ascii="仿宋" w:hAnsi="仿宋" w:eastAsia="仿宋"/>
          <w:sz w:val="32"/>
          <w:szCs w:val="32"/>
          <w:lang w:val="en-US" w:eastAsia="zh-CN"/>
        </w:rPr>
        <w:t>7.72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732.47</w:t>
      </w:r>
      <w:r>
        <w:rPr>
          <w:rFonts w:hint="eastAsia" w:ascii="仿宋" w:hAnsi="仿宋" w:eastAsia="仿宋"/>
          <w:sz w:val="32"/>
          <w:szCs w:val="32"/>
        </w:rPr>
        <w:t>万元，占</w:t>
      </w:r>
      <w:r>
        <w:rPr>
          <w:rFonts w:hint="eastAsia" w:ascii="仿宋" w:hAnsi="仿宋" w:eastAsia="仿宋"/>
          <w:sz w:val="32"/>
          <w:szCs w:val="32"/>
          <w:lang w:val="en-US" w:eastAsia="zh-CN"/>
        </w:rPr>
        <w:t>87.35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41.29</w:t>
      </w:r>
      <w:r>
        <w:rPr>
          <w:rFonts w:hint="eastAsia" w:ascii="仿宋" w:hAnsi="仿宋" w:eastAsia="仿宋"/>
          <w:sz w:val="32"/>
          <w:szCs w:val="32"/>
        </w:rPr>
        <w:t>万元，占</w:t>
      </w:r>
      <w:r>
        <w:rPr>
          <w:rFonts w:hint="eastAsia" w:ascii="仿宋" w:hAnsi="仿宋" w:eastAsia="仿宋"/>
          <w:sz w:val="32"/>
          <w:szCs w:val="32"/>
          <w:lang w:val="en-US" w:eastAsia="zh-CN"/>
        </w:rPr>
        <w:t>4.93</w:t>
      </w:r>
      <w:r>
        <w:rPr>
          <w:rFonts w:ascii="仿宋" w:hAnsi="仿宋" w:eastAsia="仿宋"/>
          <w:sz w:val="32"/>
          <w:szCs w:val="32"/>
        </w:rPr>
        <w:t>%</w:t>
      </w:r>
      <w:r>
        <w:rPr>
          <w:rFonts w:hint="eastAsia" w:ascii="仿宋" w:hAnsi="仿宋" w:eastAsia="仿宋"/>
          <w:sz w:val="32"/>
          <w:szCs w:val="32"/>
        </w:rPr>
        <w:t>。</w:t>
      </w:r>
    </w:p>
    <w:p w14:paraId="5FC9925B">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4D8A5E45">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D7AC22C">
      <w:pPr>
        <w:spacing w:line="600" w:lineRule="exact"/>
        <w:ind w:firstLine="640" w:firstLineChars="200"/>
        <w:rPr>
          <w:rFonts w:ascii="仿宋" w:hAnsi="仿宋" w:eastAsia="仿宋"/>
          <w:sz w:val="32"/>
          <w:szCs w:val="32"/>
        </w:rPr>
      </w:pPr>
    </w:p>
    <w:p w14:paraId="11EC7D48">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02130570">
      <w:pPr>
        <w:spacing w:line="600" w:lineRule="exact"/>
        <w:ind w:firstLine="643" w:firstLineChars="200"/>
        <w:outlineLvl w:val="1"/>
        <w:rPr>
          <w:rFonts w:ascii="仿宋" w:hAnsi="仿宋" w:eastAsia="仿宋"/>
          <w:sz w:val="32"/>
          <w:szCs w:val="32"/>
        </w:rPr>
      </w:pPr>
      <w:bookmarkStart w:id="44" w:name="_Toc15378460"/>
      <w:bookmarkStart w:id="45" w:name="_Toc15377213"/>
      <w:bookmarkStart w:id="46" w:name="_Toc15377444"/>
      <w:bookmarkStart w:id="47" w:name="_Toc6348"/>
      <w:r>
        <w:rPr>
          <w:rFonts w:hint="eastAsia" w:ascii="仿宋" w:hAnsi="仿宋" w:eastAsia="仿宋"/>
          <w:b/>
          <w:sz w:val="32"/>
          <w:szCs w:val="32"/>
        </w:rPr>
        <w:t>2023年度一般公共预算支出决算数为</w:t>
      </w:r>
      <w:r>
        <w:rPr>
          <w:rFonts w:ascii="仿宋" w:hAnsi="仿宋" w:eastAsia="仿宋"/>
          <w:b/>
          <w:sz w:val="32"/>
          <w:szCs w:val="32"/>
        </w:rPr>
        <w:t>838.5</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269E5866">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1.社会保障和就业支出（类）行政事业单位养老支出（款）机关事业单位基本养老保险缴费支出（项）:</w:t>
      </w:r>
      <w:r>
        <w:rPr>
          <w:rFonts w:hint="eastAsia" w:ascii="仿宋_GB2312" w:hAnsi="仿宋_GB2312" w:eastAsia="仿宋_GB2312"/>
          <w:color w:val="000000"/>
          <w:kern w:val="2"/>
          <w:sz w:val="32"/>
          <w:szCs w:val="24"/>
          <w:lang w:val="en-US"/>
        </w:rPr>
        <w:t xml:space="preserve"> </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36.02</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2BA0917D">
      <w:pPr>
        <w:spacing w:beforeLines="0" w:afterLines="0"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rPr>
        <w:t xml:space="preserve">2.社会保障和就业支出（类）行政事业单位养老支出（款）机关事业单位职业年金缴费支出（项）: </w:t>
      </w:r>
      <w:r>
        <w:rPr>
          <w:rFonts w:hint="eastAsia" w:ascii="仿宋_GB2312" w:hAnsi="仿宋_GB2312" w:eastAsia="仿宋_GB2312"/>
          <w:color w:val="000000"/>
          <w:kern w:val="2"/>
          <w:sz w:val="32"/>
          <w:szCs w:val="24"/>
          <w:lang w:val="en-US"/>
        </w:rPr>
        <w:t>支出决算为18.</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万元，完成预算100%，决算数与预算数持平</w:t>
      </w:r>
      <w:r>
        <w:rPr>
          <w:rFonts w:hint="eastAsia" w:ascii="仿宋" w:hAnsi="仿宋" w:eastAsia="仿宋"/>
          <w:color w:val="auto"/>
          <w:kern w:val="2"/>
          <w:sz w:val="32"/>
          <w:szCs w:val="24"/>
          <w:lang w:val="en-US"/>
        </w:rPr>
        <w:t>。</w:t>
      </w:r>
    </w:p>
    <w:p w14:paraId="4551AB29">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.社会保障和就业支出（类）其他社会保障和就业支出（款）其他社会保障和就业支出（项）: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10.71</w:t>
      </w:r>
      <w:r>
        <w:rPr>
          <w:rFonts w:hint="eastAsia" w:ascii="仿宋_GB2312" w:hAnsi="仿宋_GB2312" w:eastAsia="仿宋_GB2312"/>
          <w:color w:val="000000"/>
          <w:kern w:val="2"/>
          <w:sz w:val="32"/>
          <w:szCs w:val="24"/>
          <w:lang w:val="en-US"/>
        </w:rPr>
        <w:t>万元，完成预算100%，决算数与预算数持平。</w:t>
      </w:r>
    </w:p>
    <w:p w14:paraId="06D8140F">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 xml:space="preserve">.卫生健康支出（类）基层医疗卫生机构（款）乡镇卫生院（项）: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0.90</w:t>
      </w:r>
      <w:r>
        <w:rPr>
          <w:rFonts w:hint="eastAsia" w:ascii="仿宋_GB2312" w:hAnsi="仿宋_GB2312" w:eastAsia="仿宋_GB2312"/>
          <w:color w:val="000000"/>
          <w:kern w:val="2"/>
          <w:sz w:val="32"/>
          <w:szCs w:val="24"/>
          <w:lang w:val="en-US"/>
        </w:rPr>
        <w:t>万元，完成预算100%，决算数与预算数持平。</w:t>
      </w:r>
    </w:p>
    <w:p w14:paraId="75297CBC">
      <w:pPr>
        <w:spacing w:beforeLines="0" w:afterLines="0"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.卫生健康支出（类）公共卫生（款）疾病预防控制机构（项）: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433.39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054DD9E3">
      <w:pPr>
        <w:spacing w:beforeLines="0" w:afterLines="0"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.卫生健康支出（类）公共卫生（款）基本公共卫生服务（项）: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29.56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61DF7F14">
      <w:pPr>
        <w:spacing w:beforeLines="0" w:afterLines="0"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.卫生健康支出（类）公共卫生（款）重大公共卫生服务（项）: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252.20</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2559ACB2">
      <w:pPr>
        <w:spacing w:beforeLines="0" w:afterLines="0"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.卫生健康支出（类）行政事业单位医疗（款）事业单位医疗（项）: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14.08</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6D0D9782">
      <w:pPr>
        <w:spacing w:beforeLines="0" w:afterLines="0"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.卫生健康支出（类）行政事业单位医疗（款）公务员医疗补助（项）: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2.34</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12B02192">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41.29</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r>
        <w:rPr>
          <w:rStyle w:val="16"/>
          <w:rFonts w:hint="eastAsia" w:ascii="仿宋" w:hAnsi="仿宋" w:eastAsia="仿宋"/>
          <w:b w:val="0"/>
          <w:bCs/>
          <w:sz w:val="32"/>
          <w:szCs w:val="32"/>
        </w:rPr>
        <w:t>。</w:t>
      </w:r>
    </w:p>
    <w:p w14:paraId="2BAA9C4F">
      <w:pPr>
        <w:spacing w:line="600" w:lineRule="exact"/>
        <w:ind w:firstLine="643" w:firstLineChars="200"/>
        <w:rPr>
          <w:rFonts w:ascii="仿宋" w:hAnsi="仿宋" w:eastAsia="仿宋"/>
          <w:b/>
          <w:sz w:val="32"/>
          <w:szCs w:val="32"/>
        </w:rPr>
      </w:pPr>
    </w:p>
    <w:p w14:paraId="0A54D784">
      <w:pPr>
        <w:spacing w:line="600" w:lineRule="exact"/>
        <w:ind w:firstLine="640"/>
        <w:rPr>
          <w:rFonts w:ascii="仿宋" w:hAnsi="仿宋" w:eastAsia="仿宋"/>
          <w:b/>
          <w:sz w:val="32"/>
          <w:szCs w:val="32"/>
        </w:rPr>
      </w:pPr>
    </w:p>
    <w:p w14:paraId="2DD4E14C">
      <w:pPr>
        <w:tabs>
          <w:tab w:val="right" w:pos="8306"/>
        </w:tabs>
        <w:spacing w:line="600" w:lineRule="exact"/>
        <w:ind w:firstLine="640"/>
        <w:outlineLvl w:val="1"/>
        <w:rPr>
          <w:rStyle w:val="28"/>
        </w:rPr>
      </w:pPr>
      <w:bookmarkStart w:id="48" w:name="_Toc15377214"/>
      <w:bookmarkStart w:id="49" w:name="_Toc15396608"/>
      <w:bookmarkStart w:id="50" w:name="_Toc1622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05035C4D">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556.74</w:t>
      </w:r>
      <w:r>
        <w:rPr>
          <w:rFonts w:hint="eastAsia" w:ascii="仿宋" w:hAnsi="仿宋" w:eastAsia="仿宋"/>
          <w:sz w:val="32"/>
          <w:szCs w:val="32"/>
        </w:rPr>
        <w:t>万元，其中：</w:t>
      </w:r>
    </w:p>
    <w:p w14:paraId="565B2719">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505.66</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生活补助</w:t>
      </w:r>
      <w:r>
        <w:rPr>
          <w:rFonts w:hint="eastAsia" w:ascii="仿宋" w:hAnsi="仿宋" w:eastAsia="仿宋"/>
          <w:sz w:val="32"/>
          <w:szCs w:val="32"/>
          <w:lang w:eastAsia="zh-CN"/>
        </w:rPr>
        <w:t>、其他对个人和家庭的补助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51.08</w:t>
      </w:r>
      <w:r>
        <w:rPr>
          <w:rFonts w:hint="eastAsia" w:ascii="仿宋" w:hAnsi="仿宋" w:eastAsia="仿宋"/>
          <w:sz w:val="32"/>
          <w:szCs w:val="32"/>
        </w:rPr>
        <w:t>万元，主要包括：办公费、差旅费、培训费、公务接待费、劳务费、委托业务费、工会经费、福利费、公务用车运行维护费、其他商品和服务支出、办公设备购置等。</w:t>
      </w:r>
    </w:p>
    <w:p w14:paraId="3E3AFBA4">
      <w:pPr>
        <w:spacing w:line="600" w:lineRule="exact"/>
        <w:ind w:firstLine="640"/>
        <w:rPr>
          <w:rFonts w:ascii="仿宋" w:hAnsi="仿宋" w:eastAsia="仿宋"/>
          <w:b/>
          <w:sz w:val="32"/>
          <w:szCs w:val="32"/>
        </w:rPr>
      </w:pPr>
    </w:p>
    <w:p w14:paraId="7BAEA875">
      <w:pPr>
        <w:spacing w:line="600" w:lineRule="exact"/>
        <w:ind w:firstLine="640"/>
        <w:outlineLvl w:val="1"/>
        <w:rPr>
          <w:rStyle w:val="28"/>
          <w:rFonts w:ascii="黑体" w:hAnsi="黑体" w:eastAsia="黑体"/>
          <w:b w:val="0"/>
        </w:rPr>
      </w:pPr>
      <w:bookmarkStart w:id="51" w:name="_Toc15396609"/>
      <w:bookmarkStart w:id="52" w:name="_Toc15377215"/>
      <w:bookmarkStart w:id="53" w:name="_Toc9251"/>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6120061A">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187DA92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4</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11</w:t>
      </w:r>
      <w:r>
        <w:rPr>
          <w:rFonts w:hint="eastAsia" w:ascii="仿宋" w:hAnsi="仿宋" w:eastAsia="仿宋"/>
          <w:sz w:val="32"/>
          <w:szCs w:val="32"/>
        </w:rPr>
        <w:t>万元，下降</w:t>
      </w:r>
      <w:r>
        <w:rPr>
          <w:rFonts w:hint="eastAsia" w:ascii="仿宋" w:hAnsi="仿宋" w:eastAsia="仿宋"/>
          <w:sz w:val="32"/>
          <w:szCs w:val="32"/>
          <w:lang w:val="en-US" w:eastAsia="zh-CN"/>
        </w:rPr>
        <w:t>73.33</w:t>
      </w:r>
      <w:r>
        <w:rPr>
          <w:rFonts w:hint="eastAsia" w:ascii="仿宋" w:hAnsi="仿宋" w:eastAsia="仿宋"/>
          <w:sz w:val="32"/>
          <w:szCs w:val="32"/>
        </w:rPr>
        <w:t>%。决算数与预算数持平的主要原因是厉行节约，严格控制三公经费支出。</w:t>
      </w:r>
    </w:p>
    <w:p w14:paraId="497011B8">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134F1EAE">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3.42</w:t>
      </w:r>
      <w:r>
        <w:rPr>
          <w:rFonts w:hint="eastAsia" w:ascii="仿宋" w:hAnsi="仿宋" w:eastAsia="仿宋"/>
          <w:sz w:val="32"/>
          <w:szCs w:val="32"/>
        </w:rPr>
        <w:t>万元，占</w:t>
      </w:r>
      <w:r>
        <w:rPr>
          <w:rFonts w:ascii="仿宋" w:hAnsi="仿宋" w:eastAsia="仿宋"/>
          <w:b/>
          <w:sz w:val="32"/>
          <w:szCs w:val="32"/>
        </w:rPr>
        <w:t>85.</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0.58</w:t>
      </w:r>
      <w:r>
        <w:rPr>
          <w:rFonts w:hint="eastAsia" w:ascii="仿宋" w:hAnsi="仿宋" w:eastAsia="仿宋"/>
          <w:sz w:val="32"/>
          <w:szCs w:val="32"/>
        </w:rPr>
        <w:t>万元，占</w:t>
      </w:r>
      <w:r>
        <w:rPr>
          <w:rFonts w:ascii="仿宋" w:hAnsi="仿宋" w:eastAsia="仿宋"/>
          <w:b/>
          <w:sz w:val="32"/>
          <w:szCs w:val="32"/>
        </w:rPr>
        <w:t>14.</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rPr>
        <w:t>。具体情况如下：</w:t>
      </w:r>
    </w:p>
    <w:p w14:paraId="37D7A5DC">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65CB3A8A">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542C248">
      <w:pPr>
        <w:spacing w:line="600" w:lineRule="exact"/>
        <w:ind w:firstLine="640"/>
        <w:rPr>
          <w:rFonts w:ascii="仿宋_GB2312" w:eastAsia="仿宋_GB2312"/>
          <w:sz w:val="32"/>
          <w:szCs w:val="32"/>
        </w:rPr>
      </w:pPr>
      <w:bookmarkStart w:id="56" w:name="_Toc15377218"/>
      <w:bookmarkStart w:id="5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3A79AE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3.42</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公务用车购置及运行维护费支出决算比2022年度增减少</w:t>
      </w:r>
      <w:r>
        <w:rPr>
          <w:rFonts w:hint="eastAsia" w:ascii="仿宋_GB2312" w:eastAsia="仿宋_GB2312"/>
          <w:sz w:val="32"/>
          <w:szCs w:val="32"/>
          <w:lang w:val="en-US" w:eastAsia="zh-CN"/>
        </w:rPr>
        <w:t>10.58</w:t>
      </w:r>
      <w:r>
        <w:rPr>
          <w:rFonts w:hint="eastAsia" w:ascii="仿宋_GB2312" w:eastAsia="仿宋_GB2312"/>
          <w:sz w:val="32"/>
          <w:szCs w:val="32"/>
        </w:rPr>
        <w:t>万元，下降</w:t>
      </w:r>
      <w:r>
        <w:rPr>
          <w:rFonts w:hint="eastAsia" w:ascii="仿宋_GB2312" w:eastAsia="仿宋_GB2312"/>
          <w:sz w:val="32"/>
          <w:szCs w:val="32"/>
          <w:lang w:val="en-US" w:eastAsia="zh-CN"/>
        </w:rPr>
        <w:t>75.57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2023年公务用车运行维护费用减少</w:t>
      </w:r>
      <w:r>
        <w:rPr>
          <w:rFonts w:hint="eastAsia" w:ascii="仿宋_GB2312" w:eastAsia="仿宋_GB2312"/>
          <w:sz w:val="32"/>
          <w:szCs w:val="32"/>
        </w:rPr>
        <w:t>。</w:t>
      </w:r>
    </w:p>
    <w:p w14:paraId="6FF73C1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3</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其他车型1辆</w:t>
      </w:r>
      <w:r>
        <w:rPr>
          <w:rFonts w:hint="eastAsia" w:ascii="仿宋_GB2312" w:eastAsia="仿宋_GB2312"/>
          <w:sz w:val="32"/>
          <w:szCs w:val="32"/>
        </w:rPr>
        <w:t>。</w:t>
      </w:r>
    </w:p>
    <w:p w14:paraId="0940699E">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3.42</w:t>
      </w:r>
      <w:r>
        <w:rPr>
          <w:rFonts w:hint="eastAsia" w:ascii="仿宋_GB2312" w:eastAsia="仿宋_GB2312"/>
          <w:sz w:val="32"/>
          <w:szCs w:val="32"/>
        </w:rPr>
        <w:t>万元。主要用于疾病防控</w:t>
      </w:r>
      <w:r>
        <w:rPr>
          <w:rFonts w:hint="eastAsia" w:ascii="仿宋_GB2312" w:eastAsia="仿宋_GB2312"/>
          <w:sz w:val="32"/>
          <w:szCs w:val="32"/>
          <w:lang w:val="en-US" w:eastAsia="zh-CN"/>
        </w:rPr>
        <w:t>业务工作</w:t>
      </w:r>
      <w:r>
        <w:rPr>
          <w:rFonts w:hint="eastAsia" w:ascii="仿宋_GB2312" w:eastAsia="仿宋_GB2312"/>
          <w:sz w:val="32"/>
          <w:szCs w:val="32"/>
        </w:rPr>
        <w:t>等所需的公务用车燃料费、维修费、过路过桥费、保险费等支出。</w:t>
      </w:r>
    </w:p>
    <w:p w14:paraId="7143318D">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0.58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0.42</w:t>
      </w:r>
      <w:r>
        <w:rPr>
          <w:rFonts w:hint="eastAsia" w:ascii="仿宋_GB2312" w:eastAsia="仿宋_GB2312"/>
          <w:sz w:val="32"/>
          <w:szCs w:val="32"/>
        </w:rPr>
        <w:t>万元，下降</w:t>
      </w:r>
      <w:r>
        <w:rPr>
          <w:rFonts w:hint="eastAsia" w:ascii="仿宋_GB2312" w:eastAsia="仿宋_GB2312"/>
          <w:sz w:val="32"/>
          <w:szCs w:val="32"/>
          <w:lang w:val="en-US" w:eastAsia="zh-CN"/>
        </w:rPr>
        <w:t>42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2023年公务接待费用预算减少</w:t>
      </w:r>
      <w:r>
        <w:rPr>
          <w:rFonts w:hint="eastAsia" w:ascii="仿宋_GB2312" w:eastAsia="仿宋_GB2312"/>
          <w:sz w:val="32"/>
          <w:szCs w:val="32"/>
        </w:rPr>
        <w:t>。其中：</w:t>
      </w:r>
    </w:p>
    <w:p w14:paraId="4D298B49">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0.58</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17</w:t>
      </w:r>
      <w:r>
        <w:rPr>
          <w:rFonts w:hint="eastAsia" w:ascii="仿宋_GB2312" w:eastAsia="仿宋_GB2312"/>
          <w:sz w:val="32"/>
          <w:szCs w:val="32"/>
        </w:rPr>
        <w:t>批次，</w:t>
      </w:r>
      <w:r>
        <w:rPr>
          <w:rFonts w:hint="eastAsia" w:ascii="仿宋_GB2312" w:eastAsia="仿宋_GB2312"/>
          <w:sz w:val="32"/>
          <w:szCs w:val="32"/>
          <w:lang w:val="en-US" w:eastAsia="zh-CN"/>
        </w:rPr>
        <w:t>74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0.58</w:t>
      </w:r>
      <w:r>
        <w:rPr>
          <w:rFonts w:hint="eastAsia" w:ascii="仿宋_GB2312" w:eastAsia="仿宋_GB2312"/>
          <w:sz w:val="32"/>
          <w:szCs w:val="32"/>
        </w:rPr>
        <w:t>万元。</w:t>
      </w:r>
    </w:p>
    <w:p w14:paraId="79D957F0">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A820D75">
      <w:pPr>
        <w:spacing w:line="600" w:lineRule="exact"/>
        <w:ind w:firstLine="640"/>
        <w:outlineLvl w:val="9"/>
        <w:rPr>
          <w:rFonts w:ascii="黑体" w:eastAsia="黑体"/>
          <w:sz w:val="32"/>
          <w:szCs w:val="32"/>
        </w:rPr>
      </w:pPr>
    </w:p>
    <w:p w14:paraId="284687BB">
      <w:pPr>
        <w:spacing w:line="600" w:lineRule="exact"/>
        <w:ind w:firstLine="640"/>
        <w:outlineLvl w:val="1"/>
        <w:rPr>
          <w:rStyle w:val="28"/>
          <w:rFonts w:ascii="黑体" w:hAnsi="黑体" w:eastAsia="黑体"/>
        </w:rPr>
      </w:pPr>
      <w:bookmarkStart w:id="58" w:name="_Toc21648"/>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1F605B36">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546903A">
      <w:pPr>
        <w:spacing w:line="600" w:lineRule="exact"/>
        <w:ind w:firstLine="640"/>
        <w:rPr>
          <w:rFonts w:ascii="仿宋_GB2312" w:eastAsia="仿宋_GB2312"/>
          <w:sz w:val="32"/>
          <w:szCs w:val="32"/>
        </w:rPr>
      </w:pPr>
    </w:p>
    <w:p w14:paraId="1A169F90">
      <w:pPr>
        <w:numPr>
          <w:ilvl w:val="0"/>
          <w:numId w:val="3"/>
        </w:numPr>
        <w:spacing w:line="600" w:lineRule="exact"/>
        <w:ind w:firstLine="640"/>
        <w:outlineLvl w:val="1"/>
        <w:rPr>
          <w:rStyle w:val="28"/>
          <w:rFonts w:ascii="黑体" w:hAnsi="黑体" w:eastAsia="黑体"/>
          <w:b w:val="0"/>
        </w:rPr>
      </w:pPr>
      <w:bookmarkStart w:id="59" w:name="_Toc15377219"/>
      <w:bookmarkStart w:id="60" w:name="_Toc15396611"/>
      <w:bookmarkStart w:id="61" w:name="_Toc11913"/>
      <w:r>
        <w:rPr>
          <w:rStyle w:val="28"/>
          <w:rFonts w:hint="eastAsia" w:ascii="黑体" w:hAnsi="黑体" w:eastAsia="黑体"/>
          <w:b w:val="0"/>
        </w:rPr>
        <w:t>国有资本经营预算支出决算情况说明</w:t>
      </w:r>
      <w:bookmarkEnd w:id="59"/>
      <w:bookmarkEnd w:id="60"/>
      <w:bookmarkEnd w:id="61"/>
    </w:p>
    <w:p w14:paraId="1CAAE432">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99D6B44">
      <w:pPr>
        <w:spacing w:line="580" w:lineRule="exact"/>
        <w:jc w:val="center"/>
        <w:rPr>
          <w:rFonts w:ascii="方正小标宋简体" w:hAnsi="方正小标宋简体" w:eastAsia="方正小标宋简体" w:cs="方正小标宋简体"/>
          <w:sz w:val="44"/>
          <w:szCs w:val="44"/>
        </w:rPr>
      </w:pPr>
    </w:p>
    <w:p w14:paraId="6CEC40B9">
      <w:pPr>
        <w:numPr>
          <w:ilvl w:val="0"/>
          <w:numId w:val="3"/>
        </w:numPr>
        <w:spacing w:line="600" w:lineRule="exact"/>
        <w:ind w:firstLine="640"/>
        <w:outlineLvl w:val="1"/>
        <w:rPr>
          <w:rStyle w:val="28"/>
          <w:rFonts w:ascii="黑体" w:hAnsi="黑体" w:eastAsia="黑体"/>
          <w:b w:val="0"/>
        </w:rPr>
      </w:pPr>
      <w:bookmarkStart w:id="62" w:name="_Toc2194"/>
      <w:bookmarkStart w:id="63" w:name="_Toc15377221"/>
      <w:bookmarkStart w:id="64" w:name="_Toc15396612"/>
      <w:r>
        <w:rPr>
          <w:rStyle w:val="28"/>
          <w:rFonts w:hint="eastAsia" w:ascii="黑体" w:hAnsi="黑体" w:eastAsia="黑体"/>
          <w:b w:val="0"/>
        </w:rPr>
        <w:t>其他重要事项的情况说明</w:t>
      </w:r>
      <w:bookmarkEnd w:id="62"/>
      <w:bookmarkEnd w:id="63"/>
      <w:bookmarkEnd w:id="64"/>
    </w:p>
    <w:p w14:paraId="57033EB1">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0464F36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峨边彝族自治县疾病预防控制中心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与2022年度决算数持平。</w:t>
      </w:r>
    </w:p>
    <w:p w14:paraId="21F25B73">
      <w:pPr>
        <w:spacing w:line="600" w:lineRule="exact"/>
        <w:ind w:firstLine="643" w:firstLineChars="200"/>
        <w:rPr>
          <w:rFonts w:ascii="仿宋" w:hAnsi="仿宋" w:eastAsia="仿宋"/>
          <w:b/>
          <w:sz w:val="32"/>
          <w:szCs w:val="32"/>
        </w:rPr>
      </w:pPr>
    </w:p>
    <w:p w14:paraId="1939FE54">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00591616">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峨边彝族自治县疾病预防控制中心</w:t>
      </w:r>
      <w:r>
        <w:rPr>
          <w:rFonts w:hint="eastAsia" w:ascii="仿宋_GB2312" w:eastAsia="仿宋_GB2312"/>
          <w:sz w:val="32"/>
          <w:szCs w:val="32"/>
        </w:rPr>
        <w:t>政府采购支出总额</w:t>
      </w:r>
      <w:r>
        <w:rPr>
          <w:rFonts w:ascii="仿宋" w:hAnsi="仿宋" w:eastAsia="仿宋"/>
          <w:b/>
          <w:sz w:val="32"/>
          <w:szCs w:val="32"/>
        </w:rPr>
        <w:t>0.88</w:t>
      </w:r>
      <w:r>
        <w:rPr>
          <w:rFonts w:hint="eastAsia" w:ascii="仿宋_GB2312" w:eastAsia="仿宋_GB2312"/>
          <w:sz w:val="32"/>
          <w:szCs w:val="32"/>
        </w:rPr>
        <w:t>万元，其中：政府采购货物支出</w:t>
      </w:r>
      <w:r>
        <w:rPr>
          <w:rFonts w:ascii="仿宋" w:hAnsi="仿宋" w:eastAsia="仿宋"/>
          <w:b/>
          <w:sz w:val="32"/>
          <w:szCs w:val="32"/>
        </w:rPr>
        <w:t>0.88</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疾控中心办公</w:t>
      </w:r>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469445DC">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016A32A4">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峨边彝族自治县疾病预防控制中心</w:t>
      </w:r>
      <w:r>
        <w:rPr>
          <w:rFonts w:hint="eastAsia" w:ascii="仿宋_GB2312" w:eastAsia="仿宋_GB2312"/>
          <w:sz w:val="32"/>
          <w:szCs w:val="32"/>
        </w:rPr>
        <w:t>共有车辆</w:t>
      </w:r>
      <w:r>
        <w:rPr>
          <w:rFonts w:hint="eastAsia" w:ascii="仿宋_GB2312" w:eastAsia="仿宋_GB2312"/>
          <w:b/>
          <w:sz w:val="32"/>
          <w:szCs w:val="32"/>
        </w:rPr>
        <w:t>4</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4</w:t>
      </w:r>
      <w:r>
        <w:rPr>
          <w:rFonts w:hint="eastAsia" w:ascii="仿宋_GB2312" w:eastAsia="仿宋_GB2312"/>
          <w:sz w:val="32"/>
          <w:szCs w:val="32"/>
        </w:rPr>
        <w:t>辆，其他用车主要是用于开展疾病防控业务工作。单价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A07B3C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474987C">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根据预算绩效管理要求，本单位在2023年度预算编制阶段，组织对艾滋病生活补助</w:t>
      </w:r>
      <w:r>
        <w:rPr>
          <w:rFonts w:hint="eastAsia" w:ascii="仿宋_GB2312" w:eastAsia="仿宋_GB2312"/>
          <w:sz w:val="32"/>
          <w:szCs w:val="32"/>
          <w:lang w:eastAsia="zh-CN"/>
        </w:rPr>
        <w:t>项目</w:t>
      </w:r>
      <w:r>
        <w:rPr>
          <w:rFonts w:hint="eastAsia" w:ascii="仿宋_GB2312" w:eastAsia="仿宋_GB2312"/>
          <w:sz w:val="32"/>
          <w:szCs w:val="32"/>
        </w:rPr>
        <w:t>（项目名称）等</w:t>
      </w:r>
      <w:r>
        <w:rPr>
          <w:rFonts w:hint="eastAsia" w:ascii="仿宋_GB2312" w:eastAsia="仿宋_GB2312"/>
          <w:sz w:val="32"/>
          <w:szCs w:val="32"/>
          <w:lang w:val="en-US" w:eastAsia="zh-CN"/>
        </w:rPr>
        <w:t>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w:t>
      </w:r>
      <w:r>
        <w:rPr>
          <w:rFonts w:hint="eastAsia" w:ascii="仿宋_GB2312" w:eastAsia="仿宋_GB2312"/>
          <w:sz w:val="32"/>
          <w:szCs w:val="32"/>
        </w:rPr>
        <w:t>个项目开展绩效自评，绩效自评表详见第四部分附件。</w:t>
      </w:r>
    </w:p>
    <w:p w14:paraId="4932FC5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A3FAA38">
      <w:pPr>
        <w:numPr>
          <w:ilvl w:val="0"/>
          <w:numId w:val="4"/>
        </w:numPr>
        <w:spacing w:line="600" w:lineRule="exact"/>
        <w:ind w:firstLine="660" w:firstLineChars="150"/>
        <w:jc w:val="center"/>
        <w:outlineLvl w:val="0"/>
        <w:rPr>
          <w:rStyle w:val="27"/>
          <w:rFonts w:ascii="黑体" w:hAnsi="黑体" w:eastAsia="黑体"/>
          <w:b w:val="0"/>
        </w:rPr>
      </w:pPr>
      <w:bookmarkStart w:id="68" w:name="_Toc1420"/>
      <w:bookmarkStart w:id="69" w:name="_Toc15377225"/>
      <w:bookmarkStart w:id="70" w:name="_Toc153966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48E1291E">
      <w:pPr>
        <w:spacing w:line="600" w:lineRule="exact"/>
        <w:jc w:val="left"/>
        <w:rPr>
          <w:rFonts w:ascii="宋体"/>
          <w:b/>
          <w:sz w:val="44"/>
          <w:szCs w:val="44"/>
        </w:rPr>
      </w:pPr>
    </w:p>
    <w:p w14:paraId="6CCE9CA6">
      <w:pPr>
        <w:pStyle w:val="25"/>
        <w:spacing w:line="560" w:lineRule="exact"/>
        <w:ind w:firstLine="640" w:firstLineChars="200"/>
        <w:outlineLvl w:val="1"/>
        <w:rPr>
          <w:rFonts w:hint="eastAsia" w:ascii="仿宋_GB2312" w:eastAsia="仿宋_GB2312"/>
          <w:color w:val="auto"/>
          <w:sz w:val="32"/>
          <w:szCs w:val="32"/>
        </w:rPr>
      </w:pPr>
      <w:bookmarkStart w:id="71" w:name="_Toc25746"/>
      <w:r>
        <w:rPr>
          <w:rFonts w:hint="eastAsia" w:ascii="仿宋_GB2312" w:eastAsia="仿宋_GB2312"/>
          <w:color w:val="auto"/>
          <w:sz w:val="32"/>
          <w:szCs w:val="32"/>
        </w:rPr>
        <w:t>1.财政拨款收入：指单位从同级财政部门取得的财政预算资金。</w:t>
      </w:r>
      <w:bookmarkEnd w:id="71"/>
    </w:p>
    <w:p w14:paraId="05DED14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3CCB7C0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14FF1E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1E87C5E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4622ABE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6C891D8F">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113CD05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56D8290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9.社会保障和就业支出（类）抚恤（款）死亡抚恤（项）：反映按规定用于烈士和牺牲、病故人员家属的一次性和定期抚恤金以及丧葬补助费。</w:t>
      </w:r>
    </w:p>
    <w:p w14:paraId="67C823B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10.社会保障和就业支出（类）其他社会保障和就业支出（款）其他社会保障和就业支出（项）：指反映除上述项目以外用于社会保障和就业方面的支出。</w:t>
      </w:r>
    </w:p>
    <w:p w14:paraId="2839548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11.卫生健康支出（类）卫生健康管理事务（款）行政运行（项）：指反映行政单位（包括实行公务员管理的事业单位）的基本支出。</w:t>
      </w:r>
    </w:p>
    <w:p w14:paraId="4FDD5C8F">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12.卫生健康支出（类）卫生健康管理事务（款）其他卫生健康管理事务支出（项）：指反映除上述项目外</w:t>
      </w:r>
      <w:r>
        <w:rPr>
          <w:rFonts w:hint="eastAsia" w:ascii="仿宋_GB2312" w:eastAsia="仿宋_GB2312"/>
          <w:color w:val="auto"/>
          <w:sz w:val="32"/>
          <w:szCs w:val="32"/>
          <w:lang w:eastAsia="zh-CN"/>
        </w:rPr>
        <w:t>其他</w:t>
      </w:r>
      <w:r>
        <w:rPr>
          <w:rFonts w:hint="eastAsia" w:ascii="仿宋_GB2312" w:eastAsia="仿宋_GB2312"/>
          <w:color w:val="auto"/>
          <w:sz w:val="32"/>
          <w:szCs w:val="32"/>
        </w:rPr>
        <w:t>健康卫生管理事务方面的支出。</w:t>
      </w:r>
    </w:p>
    <w:p w14:paraId="295DEF8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13.卫生健康支出（类）公共卫生（款）疾病预防控制机构（项）：反映卫生健康部门所属疾病预防控制机构的支出。</w:t>
      </w:r>
    </w:p>
    <w:p w14:paraId="24B6DCA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14.卫生健康支出（类）公共卫生（款）基本公共卫生服务（项）：指反映基本公共卫生服务支出。</w:t>
      </w:r>
    </w:p>
    <w:p w14:paraId="2964DAB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15.卫生健康支出（类）公共卫生（款）重大公共卫生专项（项）：指反映重大疾病、重大传染病预防控制等重大公共卫生服务项目支出。</w:t>
      </w:r>
    </w:p>
    <w:p w14:paraId="10705A2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16.卫生健康支出（类）公共卫生（款）突发公共卫生事件应急处理（项）：指反映用于突发公共卫生事件应急处理的支出。</w:t>
      </w:r>
    </w:p>
    <w:p w14:paraId="193AF8B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17.卫生健康支出（类）公共卫生（款）其他公共卫生支出（项）：指其他公共卫生支出反映除上述项目以外的其他用于公共卫生方面的支出。</w:t>
      </w:r>
    </w:p>
    <w:p w14:paraId="65DC3CA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卫生健康支出（类）行政事业单位医疗（款）事业单位医疗（项）：指反映财政部门安排的事业单位基本医疗保险缴费经费，未参加医疗保险的事业单位的公费医疗经费，按国家规定享受离休人员待遇人员的医疗经费。</w:t>
      </w:r>
    </w:p>
    <w:p w14:paraId="2FA1DEB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19.卫生健康支出（类）行政事业单位医疗（款）公务员医疗补助（项）：反映财政部门安排的公务员医疗补助经费。</w:t>
      </w:r>
    </w:p>
    <w:p w14:paraId="71BC7C2F">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20.卫生健康支出（类）其他卫生健康支出（款）其他卫生健康支出（项）：指上述项目以外用于卫生健康方面的支出。</w:t>
      </w:r>
    </w:p>
    <w:p w14:paraId="5A6B9DD8">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21.住房保障支出（类）住房改革支出（款）住房公积金（项）：指反映行政事业单位按人力资源和社会保障部、财政部规定的基本工资和津贴补贴以及规定比例为职工缴纳的住房公积金。</w:t>
      </w:r>
    </w:p>
    <w:p w14:paraId="3403B9F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22.基本支出：指为保障机构正常运转、完成日常工作任务而发生的人员支出和公用支出。</w:t>
      </w:r>
    </w:p>
    <w:p w14:paraId="071E373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23.项目支出：指在基本支出之外为完成特定行政任务和事业发展目标所发生的支出。 </w:t>
      </w:r>
    </w:p>
    <w:p w14:paraId="534069C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21F3F7">
      <w:pPr>
        <w:spacing w:beforeLines="0" w:afterLines="0" w:line="576" w:lineRule="exact"/>
        <w:ind w:firstLine="640"/>
        <w:rPr>
          <w:rFonts w:ascii="仿宋_GB2312" w:eastAsia="仿宋_GB2312"/>
          <w:color w:val="auto"/>
          <w:sz w:val="32"/>
          <w:szCs w:val="32"/>
        </w:rPr>
      </w:pPr>
      <w:r>
        <w:rPr>
          <w:rFonts w:hint="eastAsia" w:ascii="仿宋_GB2312" w:hAnsi="Times New Roman" w:eastAsia="仿宋_GB2312"/>
          <w:color w:val="auto"/>
          <w:sz w:val="32"/>
          <w:szCs w:val="24"/>
          <w:lang w:val="en-US" w:eastAsia="zh-CN"/>
        </w:rPr>
        <w:t>25</w:t>
      </w:r>
      <w:r>
        <w:rPr>
          <w:rFonts w:hint="eastAsia" w:ascii="仿宋_GB2312" w:hAnsi="Times New Roman" w:eastAsia="仿宋_GB2312"/>
          <w:color w:val="auto"/>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color w:val="auto"/>
          <w:sz w:val="32"/>
          <w:szCs w:val="32"/>
        </w:rPr>
        <w:t>。</w:t>
      </w:r>
    </w:p>
    <w:p w14:paraId="44E6FCB2">
      <w:pPr>
        <w:pStyle w:val="25"/>
        <w:spacing w:line="560" w:lineRule="exact"/>
        <w:ind w:firstLine="640" w:firstLineChars="200"/>
        <w:rPr>
          <w:rFonts w:ascii="仿宋_GB2312" w:eastAsia="仿宋_GB2312" w:cs="黑体"/>
          <w:color w:val="auto"/>
          <w:sz w:val="32"/>
          <w:szCs w:val="32"/>
        </w:rPr>
      </w:pPr>
    </w:p>
    <w:p w14:paraId="70E2FF68">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8211"/>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19B6916D">
      <w:pPr>
        <w:spacing w:line="572" w:lineRule="exact"/>
        <w:jc w:val="left"/>
        <w:outlineLvl w:val="9"/>
        <w:rPr>
          <w:rFonts w:ascii="仿宋_GB2312" w:hAnsi="仿宋_GB2312" w:eastAsia="仿宋_GB2312" w:cs="仿宋_GB2312"/>
          <w:sz w:val="32"/>
          <w:szCs w:val="32"/>
        </w:rPr>
      </w:pPr>
    </w:p>
    <w:p w14:paraId="79B4B43C">
      <w:pPr>
        <w:spacing w:line="600" w:lineRule="exact"/>
        <w:jc w:val="center"/>
        <w:outlineLvl w:val="1"/>
        <w:rPr>
          <w:rFonts w:ascii="黑体" w:hAnsi="黑体" w:eastAsia="黑体"/>
          <w:color w:val="FF0000"/>
          <w:sz w:val="44"/>
          <w:szCs w:val="44"/>
        </w:rPr>
      </w:pPr>
      <w:bookmarkStart w:id="75" w:name="_Toc5250"/>
      <w:bookmarkStart w:id="76" w:name="_Toc15396618"/>
      <w:r>
        <w:rPr>
          <w:rFonts w:hint="eastAsia"/>
          <w:sz w:val="32"/>
          <w:szCs w:val="32"/>
        </w:rPr>
        <w:t>部门预算项目支出绩效自评表（2023年度）</w:t>
      </w:r>
      <w:bookmarkEnd w:id="75"/>
    </w:p>
    <w:p w14:paraId="1801FF33">
      <w:pPr>
        <w:pStyle w:val="5"/>
        <w:spacing w:before="93"/>
        <w:rPr>
          <w:rFonts w:hAnsi="Calibri" w:cs="仿宋"/>
          <w:sz w:val="32"/>
          <w:szCs w:val="32"/>
        </w:rPr>
      </w:pPr>
      <w:r>
        <w:drawing>
          <wp:inline distT="0" distB="0" distL="114300" distR="114300">
            <wp:extent cx="5271135" cy="7446645"/>
            <wp:effectExtent l="0" t="0" r="5715" b="190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3"/>
                    <a:stretch>
                      <a:fillRect/>
                    </a:stretch>
                  </pic:blipFill>
                  <pic:spPr>
                    <a:xfrm>
                      <a:off x="0" y="0"/>
                      <a:ext cx="5271135" cy="7446645"/>
                    </a:xfrm>
                    <a:prstGeom prst="rect">
                      <a:avLst/>
                    </a:prstGeom>
                    <a:noFill/>
                    <a:ln>
                      <a:noFill/>
                    </a:ln>
                  </pic:spPr>
                </pic:pic>
              </a:graphicData>
            </a:graphic>
          </wp:inline>
        </w:drawing>
      </w:r>
    </w:p>
    <w:p w14:paraId="12FC968A">
      <w:pPr>
        <w:spacing w:line="600" w:lineRule="exact"/>
        <w:jc w:val="center"/>
        <w:outlineLvl w:val="0"/>
        <w:rPr>
          <w:rFonts w:ascii="仿宋" w:hAnsi="仿宋" w:eastAsia="仿宋"/>
        </w:rPr>
      </w:pPr>
      <w:bookmarkStart w:id="77" w:name="_Toc28749"/>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1B723D65">
      <w:pPr>
        <w:pStyle w:val="3"/>
        <w:rPr>
          <w:rFonts w:ascii="仿宋" w:hAnsi="仿宋" w:eastAsia="仿宋"/>
        </w:rPr>
      </w:pPr>
      <w:bookmarkStart w:id="79" w:name="_Toc26581"/>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4EEFBAD7">
      <w:pPr>
        <w:pStyle w:val="3"/>
        <w:rPr>
          <w:rFonts w:ascii="仿宋" w:hAnsi="仿宋" w:eastAsia="仿宋"/>
        </w:rPr>
      </w:pPr>
      <w:bookmarkStart w:id="80" w:name="_Toc15396620"/>
      <w:bookmarkStart w:id="81" w:name="_Toc32244"/>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43699E75">
      <w:pPr>
        <w:pStyle w:val="3"/>
        <w:rPr>
          <w:rFonts w:ascii="仿宋" w:hAnsi="仿宋" w:eastAsia="仿宋"/>
        </w:rPr>
      </w:pPr>
      <w:bookmarkStart w:id="82" w:name="_Toc11555"/>
      <w:bookmarkStart w:id="83"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48D48B7F">
      <w:pPr>
        <w:pStyle w:val="3"/>
        <w:rPr>
          <w:rFonts w:ascii="仿宋" w:hAnsi="仿宋" w:eastAsia="仿宋"/>
          <w:b w:val="0"/>
        </w:rPr>
      </w:pPr>
      <w:bookmarkStart w:id="84" w:name="_Toc15396622"/>
      <w:bookmarkStart w:id="85" w:name="_Toc21471"/>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517B7D18">
      <w:pPr>
        <w:pStyle w:val="3"/>
        <w:rPr>
          <w:rStyle w:val="28"/>
          <w:rFonts w:ascii="仿宋" w:hAnsi="仿宋" w:eastAsia="仿宋"/>
          <w:b w:val="0"/>
          <w:bCs w:val="0"/>
        </w:rPr>
      </w:pPr>
      <w:bookmarkStart w:id="86" w:name="_Toc15396623"/>
      <w:bookmarkStart w:id="87" w:name="_Toc26628"/>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20D05531">
      <w:pPr>
        <w:pStyle w:val="3"/>
        <w:rPr>
          <w:rFonts w:ascii="仿宋" w:hAnsi="仿宋" w:eastAsia="仿宋"/>
        </w:rPr>
      </w:pPr>
      <w:bookmarkStart w:id="89" w:name="_Toc25337"/>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60808664">
      <w:pPr>
        <w:pStyle w:val="3"/>
        <w:rPr>
          <w:rFonts w:ascii="仿宋" w:hAnsi="仿宋" w:eastAsia="仿宋"/>
        </w:rPr>
      </w:pPr>
      <w:bookmarkStart w:id="90" w:name="_Toc15396625"/>
      <w:bookmarkStart w:id="91" w:name="_Toc6813"/>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4233517D">
      <w:pPr>
        <w:pStyle w:val="3"/>
        <w:rPr>
          <w:rFonts w:ascii="仿宋" w:hAnsi="仿宋" w:eastAsia="仿宋"/>
        </w:rPr>
      </w:pPr>
      <w:bookmarkStart w:id="92" w:name="_Toc19989"/>
      <w:bookmarkStart w:id="9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3F331313">
      <w:pPr>
        <w:pStyle w:val="3"/>
        <w:rPr>
          <w:rFonts w:ascii="仿宋" w:hAnsi="仿宋" w:eastAsia="仿宋"/>
        </w:rPr>
      </w:pPr>
      <w:bookmarkStart w:id="94" w:name="_Toc26803"/>
      <w:bookmarkStart w:id="9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2B572EBB">
      <w:pPr>
        <w:pStyle w:val="3"/>
        <w:rPr>
          <w:rFonts w:ascii="仿宋" w:hAnsi="仿宋" w:eastAsia="仿宋"/>
        </w:rPr>
      </w:pPr>
      <w:bookmarkStart w:id="96" w:name="_Toc15396628"/>
      <w:bookmarkStart w:id="97" w:name="_Toc27958"/>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16ACD246">
      <w:pPr>
        <w:pStyle w:val="3"/>
        <w:rPr>
          <w:rFonts w:ascii="仿宋" w:hAnsi="仿宋" w:eastAsia="仿宋"/>
        </w:rPr>
      </w:pPr>
      <w:bookmarkStart w:id="98" w:name="_Toc15396629"/>
      <w:bookmarkStart w:id="99" w:name="_Toc18501"/>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59109A4D">
      <w:pPr>
        <w:pStyle w:val="3"/>
        <w:rPr>
          <w:rFonts w:ascii="仿宋" w:hAnsi="仿宋" w:eastAsia="仿宋"/>
        </w:rPr>
      </w:pPr>
      <w:bookmarkStart w:id="100" w:name="_Toc15396630"/>
      <w:bookmarkStart w:id="101" w:name="_Toc3141"/>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22A7298E">
      <w:pPr>
        <w:pStyle w:val="3"/>
        <w:rPr>
          <w:rFonts w:eastAsia="仿宋"/>
        </w:rPr>
      </w:pPr>
      <w:bookmarkStart w:id="102" w:name="_Toc15396631"/>
      <w:bookmarkStart w:id="103" w:name="_Toc21491"/>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EC03B46">
        <w:pPr>
          <w:pStyle w:val="9"/>
          <w:jc w:val="center"/>
        </w:pPr>
        <w:r>
          <w:fldChar w:fldCharType="begin"/>
        </w:r>
        <w:r>
          <w:instrText xml:space="preserve">PAGE   \* MERGEFORMAT</w:instrText>
        </w:r>
        <w:r>
          <w:fldChar w:fldCharType="separate"/>
        </w:r>
        <w:r>
          <w:rPr>
            <w:lang w:val="zh-CN"/>
          </w:rPr>
          <w:t>15</w:t>
        </w:r>
        <w:r>
          <w:fldChar w:fldCharType="end"/>
        </w:r>
      </w:p>
    </w:sdtContent>
  </w:sdt>
  <w:p w14:paraId="41F2F6B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813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4A25FF"/>
    <w:rsid w:val="06173225"/>
    <w:rsid w:val="081B5E94"/>
    <w:rsid w:val="089D7F33"/>
    <w:rsid w:val="0A2032A3"/>
    <w:rsid w:val="0B8A37D8"/>
    <w:rsid w:val="0F5FFB2F"/>
    <w:rsid w:val="0FFFCF60"/>
    <w:rsid w:val="10C055FF"/>
    <w:rsid w:val="10F046E4"/>
    <w:rsid w:val="118107EC"/>
    <w:rsid w:val="11DD6519"/>
    <w:rsid w:val="169D0AAC"/>
    <w:rsid w:val="16BB723D"/>
    <w:rsid w:val="18015F3F"/>
    <w:rsid w:val="1BE8440E"/>
    <w:rsid w:val="1D155CEE"/>
    <w:rsid w:val="1FDBBF84"/>
    <w:rsid w:val="20F57F95"/>
    <w:rsid w:val="23095337"/>
    <w:rsid w:val="240371BF"/>
    <w:rsid w:val="25711CC6"/>
    <w:rsid w:val="25C741E6"/>
    <w:rsid w:val="27652E84"/>
    <w:rsid w:val="276F80C0"/>
    <w:rsid w:val="27842671"/>
    <w:rsid w:val="29FD04D3"/>
    <w:rsid w:val="2A9430FE"/>
    <w:rsid w:val="2ABE7A3E"/>
    <w:rsid w:val="2AFF09B6"/>
    <w:rsid w:val="2B006720"/>
    <w:rsid w:val="2CA234A8"/>
    <w:rsid w:val="2EFA178C"/>
    <w:rsid w:val="2EFDF86C"/>
    <w:rsid w:val="2F9D17E1"/>
    <w:rsid w:val="30B46D73"/>
    <w:rsid w:val="319F7F4E"/>
    <w:rsid w:val="32D515C0"/>
    <w:rsid w:val="356A28F1"/>
    <w:rsid w:val="35792326"/>
    <w:rsid w:val="357C035A"/>
    <w:rsid w:val="368E000D"/>
    <w:rsid w:val="383D272C"/>
    <w:rsid w:val="38FB368D"/>
    <w:rsid w:val="39AE70AB"/>
    <w:rsid w:val="3A0331D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4C221EC"/>
    <w:rsid w:val="55333C3E"/>
    <w:rsid w:val="5A472EB0"/>
    <w:rsid w:val="5DD1171F"/>
    <w:rsid w:val="5F67802D"/>
    <w:rsid w:val="5F7DC4F2"/>
    <w:rsid w:val="5FB36814"/>
    <w:rsid w:val="5FBB8E56"/>
    <w:rsid w:val="5FFB5535"/>
    <w:rsid w:val="64CA39A1"/>
    <w:rsid w:val="676E287B"/>
    <w:rsid w:val="69630ADE"/>
    <w:rsid w:val="69BD5F13"/>
    <w:rsid w:val="69FB0B4B"/>
    <w:rsid w:val="6A3536F6"/>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1A1483"/>
    <w:rsid w:val="79E7B28D"/>
    <w:rsid w:val="7A4D2A52"/>
    <w:rsid w:val="7ACFF0C2"/>
    <w:rsid w:val="7AFB9108"/>
    <w:rsid w:val="7B9928A6"/>
    <w:rsid w:val="7BD47914"/>
    <w:rsid w:val="7BD5340C"/>
    <w:rsid w:val="7BFB19D2"/>
    <w:rsid w:val="7BFD1750"/>
    <w:rsid w:val="7BFDAA1B"/>
    <w:rsid w:val="7C500F1D"/>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5959</Words>
  <Characters>6426</Characters>
  <Lines>54</Lines>
  <Paragraphs>15</Paragraphs>
  <TotalTime>2</TotalTime>
  <ScaleCrop>false</ScaleCrop>
  <LinksUpToDate>false</LinksUpToDate>
  <CharactersWithSpaces>6543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2024-10-24T03:13:43Z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9D441CF58D2D4744B0D321817475C6E4_12</vt:lpwstr>
  </property>
</Properties>
</file>