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auto"/>
          <w:sz w:val="30"/>
          <w:szCs w:val="30"/>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7425"/>
      <w:bookmarkStart w:id="3" w:name="_Toc15396475"/>
      <w:bookmarkStart w:id="4" w:name="_Toc20461"/>
      <w:bookmarkStart w:id="5" w:name="_Toc15378441"/>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32104"/>
      <w:bookmarkStart w:id="9" w:name="_Toc15396598"/>
      <w:bookmarkStart w:id="10" w:name="_Toc15377426"/>
      <w:bookmarkStart w:id="11" w:name="_Toc15306268"/>
      <w:bookmarkStart w:id="12" w:name="_Toc15378442"/>
      <w:bookmarkStart w:id="13" w:name="_Toc15396476"/>
      <w:r>
        <w:rPr>
          <w:rFonts w:hint="eastAsia" w:ascii="方正小标宋简体" w:hAnsi="方正小标宋简体" w:eastAsia="方正小标宋简体" w:cs="方正小标宋简体"/>
          <w:color w:val="auto"/>
          <w:sz w:val="72"/>
          <w:szCs w:val="72"/>
          <w:highlight w:val="none"/>
        </w:rPr>
        <w:t>峨边彝族自治县黑竹沟镇中心卫生院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04" w:name="_GoBack"/>
      <w:bookmarkEnd w:id="104"/>
      <w:r>
        <w:rPr>
          <w:rFonts w:hint="eastAsia" w:ascii="方正小标宋简体" w:hAnsi="方正小标宋简体" w:eastAsia="方正小标宋简体" w:cs="方正小标宋简体"/>
          <w:color w:val="auto"/>
          <w:sz w:val="72"/>
          <w:szCs w:val="72"/>
          <w:highlight w:val="none"/>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77284"/>
        <w15:color w:val="DBDBDB"/>
        <w:docPartObj>
          <w:docPartGallery w:val="Table of Contents"/>
          <w:docPartUnique/>
        </w:docPartObj>
      </w:sdtPr>
      <w:sdtEndPr>
        <w:rPr>
          <w:rFonts w:ascii="仿宋" w:hAnsi="仿宋" w:eastAsia="仿宋"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sz w:val="24"/>
              <w:szCs w:val="24"/>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TOC \o "1-2" \h \u </w:instrText>
          </w:r>
          <w:r>
            <w:rPr>
              <w:rFonts w:ascii="仿宋" w:hAnsi="仿宋" w:eastAsia="仿宋"/>
              <w:color w:val="auto"/>
              <w:sz w:val="24"/>
              <w:szCs w:val="24"/>
              <w:highlight w:val="none"/>
            </w:rPr>
            <w:fldChar w:fldCharType="separate"/>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_Toc18580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_Toc18580 \h </w:instrText>
          </w:r>
          <w:r>
            <w:rPr>
              <w:b/>
              <w:sz w:val="24"/>
              <w:szCs w:val="24"/>
            </w:rPr>
            <w:fldChar w:fldCharType="separate"/>
          </w:r>
          <w:r>
            <w:rPr>
              <w:b/>
              <w:sz w:val="24"/>
              <w:szCs w:val="24"/>
            </w:rPr>
            <w:t>3</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_Toc28971 </w:instrText>
          </w:r>
          <w:r>
            <w:rPr>
              <w:rFonts w:ascii="仿宋" w:hAnsi="仿宋" w:eastAsia="仿宋"/>
              <w:sz w:val="24"/>
              <w:szCs w:val="24"/>
              <w:highlight w:val="none"/>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_Toc28971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_Toc2630 </w:instrText>
          </w:r>
          <w:r>
            <w:rPr>
              <w:rFonts w:ascii="仿宋" w:hAnsi="仿宋" w:eastAsia="仿宋"/>
              <w:sz w:val="24"/>
              <w:szCs w:val="24"/>
              <w:highlight w:val="none"/>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_Toc2630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_Toc12996 </w:instrText>
          </w:r>
          <w:r>
            <w:rPr>
              <w:rFonts w:ascii="仿宋" w:hAnsi="仿宋" w:eastAsia="仿宋"/>
              <w:b/>
              <w:sz w:val="24"/>
              <w:szCs w:val="24"/>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_Toc12996 \h </w:instrText>
          </w:r>
          <w:r>
            <w:rPr>
              <w:b/>
              <w:sz w:val="24"/>
              <w:szCs w:val="24"/>
            </w:rPr>
            <w:fldChar w:fldCharType="separate"/>
          </w:r>
          <w:r>
            <w:rPr>
              <w:b/>
              <w:sz w:val="24"/>
              <w:szCs w:val="24"/>
            </w:rPr>
            <w:t>5</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_Toc6285 </w:instrText>
          </w:r>
          <w:r>
            <w:rPr>
              <w:rFonts w:ascii="仿宋" w:hAnsi="仿宋" w:eastAsia="仿宋"/>
              <w:sz w:val="24"/>
              <w:szCs w:val="24"/>
              <w:highlight w:val="none"/>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_Toc6285 \h </w:instrText>
          </w:r>
          <w:r>
            <w:rPr>
              <w:sz w:val="24"/>
              <w:szCs w:val="24"/>
            </w:rPr>
            <w:fldChar w:fldCharType="separate"/>
          </w:r>
          <w:r>
            <w:rPr>
              <w:sz w:val="24"/>
              <w:szCs w:val="24"/>
            </w:rPr>
            <w:t>5</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_Toc22872 </w:instrText>
          </w:r>
          <w:r>
            <w:rPr>
              <w:rFonts w:ascii="仿宋" w:hAnsi="仿宋" w:eastAsia="仿宋"/>
              <w:sz w:val="24"/>
              <w:szCs w:val="24"/>
              <w:highlight w:val="none"/>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_Toc22872 \h </w:instrText>
          </w:r>
          <w:r>
            <w:rPr>
              <w:sz w:val="24"/>
              <w:szCs w:val="24"/>
            </w:rPr>
            <w:fldChar w:fldCharType="separate"/>
          </w:r>
          <w:r>
            <w:rPr>
              <w:sz w:val="24"/>
              <w:szCs w:val="24"/>
            </w:rPr>
            <w:t>5</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_Toc17251 </w:instrText>
          </w:r>
          <w:r>
            <w:rPr>
              <w:rFonts w:ascii="仿宋" w:hAnsi="仿宋" w:eastAsia="仿宋"/>
              <w:sz w:val="24"/>
              <w:szCs w:val="24"/>
              <w:highlight w:val="none"/>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_Toc17251 \h </w:instrText>
          </w:r>
          <w:r>
            <w:rPr>
              <w:sz w:val="24"/>
              <w:szCs w:val="24"/>
            </w:rPr>
            <w:fldChar w:fldCharType="separate"/>
          </w:r>
          <w:r>
            <w:rPr>
              <w:sz w:val="24"/>
              <w:szCs w:val="24"/>
            </w:rPr>
            <w:t>6</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_Toc10748 </w:instrText>
          </w:r>
          <w:r>
            <w:rPr>
              <w:rFonts w:ascii="仿宋" w:hAnsi="仿宋" w:eastAsia="仿宋"/>
              <w:sz w:val="24"/>
              <w:szCs w:val="24"/>
              <w:highlight w:val="none"/>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_Toc10748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_Toc5325 </w:instrText>
          </w:r>
          <w:r>
            <w:rPr>
              <w:rFonts w:ascii="仿宋" w:hAnsi="仿宋" w:eastAsia="仿宋"/>
              <w:sz w:val="24"/>
              <w:szCs w:val="24"/>
              <w:highlight w:val="none"/>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_Toc5325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_Toc24797 </w:instrText>
          </w:r>
          <w:r>
            <w:rPr>
              <w:rFonts w:ascii="仿宋" w:hAnsi="仿宋" w:eastAsia="仿宋"/>
              <w:sz w:val="24"/>
              <w:szCs w:val="24"/>
              <w:highlight w:val="none"/>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_Toc24797 \h </w:instrText>
          </w:r>
          <w:r>
            <w:rPr>
              <w:sz w:val="24"/>
              <w:szCs w:val="24"/>
            </w:rPr>
            <w:fldChar w:fldCharType="separate"/>
          </w:r>
          <w:r>
            <w:rPr>
              <w:sz w:val="24"/>
              <w:szCs w:val="24"/>
            </w:rPr>
            <w:t>10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_Toc23112 </w:instrText>
          </w:r>
          <w:r>
            <w:rPr>
              <w:rFonts w:ascii="仿宋" w:hAnsi="仿宋" w:eastAsia="仿宋"/>
              <w:sz w:val="24"/>
              <w:szCs w:val="24"/>
              <w:highlight w:val="none"/>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_Toc23112 \h </w:instrText>
          </w:r>
          <w:r>
            <w:rPr>
              <w:sz w:val="24"/>
              <w:szCs w:val="24"/>
            </w:rPr>
            <w:fldChar w:fldCharType="separate"/>
          </w:r>
          <w:r>
            <w:rPr>
              <w:sz w:val="24"/>
              <w:szCs w:val="24"/>
            </w:rPr>
            <w:t>11</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_Toc20453 </w:instrText>
          </w:r>
          <w:r>
            <w:rPr>
              <w:rFonts w:ascii="仿宋" w:hAnsi="仿宋" w:eastAsia="仿宋"/>
              <w:sz w:val="24"/>
              <w:szCs w:val="24"/>
              <w:highlight w:val="none"/>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_Toc20453 \h </w:instrText>
          </w:r>
          <w:r>
            <w:rPr>
              <w:sz w:val="24"/>
              <w:szCs w:val="24"/>
            </w:rPr>
            <w:fldChar w:fldCharType="separate"/>
          </w:r>
          <w:r>
            <w:rPr>
              <w:sz w:val="24"/>
              <w:szCs w:val="24"/>
            </w:rPr>
            <w:t>12</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_Toc6752 </w:instrText>
          </w:r>
          <w:r>
            <w:rPr>
              <w:rFonts w:ascii="仿宋" w:hAnsi="仿宋" w:eastAsia="仿宋"/>
              <w:sz w:val="24"/>
              <w:szCs w:val="24"/>
              <w:highlight w:val="none"/>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13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_Toc1577 </w:instrText>
          </w:r>
          <w:r>
            <w:rPr>
              <w:rFonts w:ascii="仿宋" w:hAnsi="仿宋" w:eastAsia="仿宋"/>
              <w:sz w:val="24"/>
              <w:szCs w:val="24"/>
              <w:highlight w:val="none"/>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_Toc1577 \h </w:instrText>
          </w:r>
          <w:r>
            <w:rPr>
              <w:sz w:val="24"/>
              <w:szCs w:val="24"/>
            </w:rPr>
            <w:fldChar w:fldCharType="separate"/>
          </w:r>
          <w:r>
            <w:rPr>
              <w:sz w:val="24"/>
              <w:szCs w:val="24"/>
            </w:rPr>
            <w:t>13</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_Toc14733 </w:instrText>
          </w:r>
          <w:r>
            <w:rPr>
              <w:rFonts w:ascii="仿宋" w:hAnsi="仿宋" w:eastAsia="仿宋"/>
              <w:b/>
              <w:sz w:val="24"/>
              <w:szCs w:val="24"/>
              <w:highlight w:val="none"/>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_Toc14733 \h </w:instrText>
          </w:r>
          <w:r>
            <w:rPr>
              <w:b/>
              <w:sz w:val="24"/>
              <w:szCs w:val="24"/>
            </w:rPr>
            <w:fldChar w:fldCharType="separate"/>
          </w:r>
          <w:r>
            <w:rPr>
              <w:b/>
              <w:sz w:val="24"/>
              <w:szCs w:val="24"/>
            </w:rPr>
            <w:t>15</w:t>
          </w:r>
          <w:r>
            <w:rPr>
              <w:b/>
              <w:sz w:val="24"/>
              <w:szCs w:val="24"/>
            </w:rPr>
            <w:fldChar w:fldCharType="end"/>
          </w:r>
          <w:r>
            <w:rPr>
              <w:rFonts w:ascii="仿宋" w:hAnsi="仿宋" w:eastAsia="仿宋"/>
              <w:b/>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_Toc29145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_Toc29145 \h </w:instrText>
          </w:r>
          <w:r>
            <w:rPr>
              <w:b/>
              <w:sz w:val="24"/>
              <w:szCs w:val="24"/>
            </w:rPr>
            <w:fldChar w:fldCharType="separate"/>
          </w:r>
          <w:r>
            <w:rPr>
              <w:b/>
              <w:sz w:val="24"/>
              <w:szCs w:val="24"/>
            </w:rPr>
            <w:t>18</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_Toc28033 </w:instrText>
          </w:r>
          <w:r>
            <w:rPr>
              <w:rFonts w:ascii="仿宋" w:hAnsi="仿宋" w:eastAsia="仿宋"/>
              <w:sz w:val="24"/>
              <w:szCs w:val="24"/>
              <w:highlight w:val="none"/>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_Toc28033 \h </w:instrText>
          </w:r>
          <w:r>
            <w:rPr>
              <w:sz w:val="24"/>
              <w:szCs w:val="24"/>
            </w:rPr>
            <w:fldChar w:fldCharType="separate"/>
          </w:r>
          <w:r>
            <w:rPr>
              <w:sz w:val="24"/>
              <w:szCs w:val="24"/>
            </w:rPr>
            <w:t>18</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_Toc30992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_Toc30992 \h </w:instrText>
          </w:r>
          <w:r>
            <w:rPr>
              <w:b/>
              <w:sz w:val="24"/>
              <w:szCs w:val="24"/>
            </w:rPr>
            <w:fldChar w:fldCharType="separate"/>
          </w:r>
          <w:r>
            <w:rPr>
              <w:b/>
              <w:sz w:val="24"/>
              <w:szCs w:val="24"/>
            </w:rPr>
            <w:t>19</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_Toc22075 </w:instrText>
          </w:r>
          <w:r>
            <w:rPr>
              <w:rFonts w:ascii="仿宋" w:hAnsi="仿宋" w:eastAsia="仿宋"/>
              <w:sz w:val="24"/>
              <w:szCs w:val="24"/>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_Toc22075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_Toc3299 </w:instrText>
          </w:r>
          <w:r>
            <w:rPr>
              <w:rFonts w:ascii="仿宋" w:hAnsi="仿宋" w:eastAsia="仿宋"/>
              <w:sz w:val="24"/>
              <w:szCs w:val="24"/>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_Toc3299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_Toc21857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_Toc21857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_Toc29111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_Toc29111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_Toc18866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_Toc18866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_Toc20347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_Toc20347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_Toc5864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_Toc5864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_Toc28790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_Toc28790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_Toc26044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_Toc26044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_Toc3019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_Toc3019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_Toc9448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_Toc9448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_Toc8421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_Toc8421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_Toc23387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_Toc23387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_Toc21347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_Toc21347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widowControl/>
            <w:adjustRightInd w:val="0"/>
            <w:snapToGrid w:val="0"/>
            <w:spacing w:line="440" w:lineRule="exact"/>
            <w:ind w:firstLine="1321" w:firstLineChars="550"/>
            <w:jc w:val="left"/>
            <w:rPr>
              <w:rFonts w:ascii="仿宋" w:hAnsi="仿宋" w:eastAsia="仿宋"/>
              <w:color w:val="auto"/>
              <w:sz w:val="24"/>
              <w:szCs w:val="24"/>
              <w:highlight w:val="none"/>
            </w:rPr>
          </w:pPr>
          <w:r>
            <w:rPr>
              <w:rFonts w:ascii="仿宋" w:hAnsi="仿宋" w:eastAsia="仿宋"/>
              <w:b/>
              <w:color w:val="auto"/>
              <w:sz w:val="24"/>
              <w:szCs w:val="24"/>
              <w:highlight w:val="none"/>
            </w:rPr>
            <w:fldChar w:fldCharType="end"/>
          </w:r>
        </w:p>
      </w:sdtContent>
    </w:sdt>
    <w:p>
      <w:pPr>
        <w:widowControl/>
        <w:spacing w:line="440" w:lineRule="exact"/>
        <w:jc w:val="left"/>
        <w:rPr>
          <w:rFonts w:ascii="仿宋" w:hAnsi="仿宋" w:eastAsia="仿宋"/>
          <w:bCs/>
          <w:color w:val="auto"/>
          <w:kern w:val="44"/>
          <w:sz w:val="24"/>
          <w:highlight w:val="none"/>
        </w:rPr>
      </w:pPr>
      <w:bookmarkStart w:id="14" w:name="_Toc15377196"/>
      <w:bookmarkStart w:id="15" w:name="_Toc15396599"/>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18580"/>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28971"/>
      <w:bookmarkStart w:id="18" w:name="_Toc15377197"/>
      <w:bookmarkStart w:id="19"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黑竹沟镇中心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2630"/>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2021年，我院在县委县政府的正确领导下、在县卫健局的正确指引下、在党委政府的关心与支持下，较好的完成了本年度工作。我院攻坚克难、科学谋划、求真务实、加班加点，以脱贫攻坚为主突破口，基本医疗为保障，取得了良好的社会效益。深入贯彻落实科学发展观，以深化医改为主线，以提高人民健康水平为目标，突出抓好新型农村合作医疗工作，公共卫生、预防保健、乡村一体化管理工作，使我院的基本医疗、公共卫生、预防保健、健康教育和慢性病管理等工作全面、协调、可持续发展。</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77204"/>
      <w:bookmarkStart w:id="22" w:name="_Toc15396602"/>
      <w:bookmarkStart w:id="23" w:name="_Toc1299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77205"/>
      <w:bookmarkStart w:id="25" w:name="_Toc6285"/>
      <w:bookmarkStart w:id="26"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年度收、支总计297.99万元。与20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131.47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78.95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卫生院合并，收入支出较上年有较大增长。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96604"/>
      <w:bookmarkStart w:id="28" w:name="_Toc15377206"/>
      <w:bookmarkStart w:id="29" w:name="_Toc22872"/>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2065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年本年收入合计297.99万元，其中：一般公共预算财政拨款收入231.77万元，占</w:t>
      </w:r>
      <w:r>
        <w:rPr>
          <w:rFonts w:hint="eastAsia" w:ascii="仿宋" w:hAnsi="仿宋" w:eastAsia="仿宋"/>
          <w:color w:val="auto"/>
          <w:sz w:val="32"/>
          <w:szCs w:val="32"/>
          <w:highlight w:val="none"/>
          <w:lang w:val="en-US" w:eastAsia="zh-CN"/>
        </w:rPr>
        <w:t>77.77</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；事业收入63.76万元，占</w:t>
      </w:r>
      <w:r>
        <w:rPr>
          <w:rFonts w:hint="eastAsia" w:ascii="仿宋" w:hAnsi="仿宋" w:eastAsia="仿宋"/>
          <w:color w:val="auto"/>
          <w:sz w:val="32"/>
          <w:szCs w:val="32"/>
          <w:highlight w:val="none"/>
          <w:lang w:val="en-US" w:eastAsia="zh-CN"/>
        </w:rPr>
        <w:t>21.40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；其他收入2.47万元，占</w:t>
      </w:r>
      <w:r>
        <w:rPr>
          <w:rFonts w:hint="eastAsia" w:ascii="仿宋" w:hAnsi="仿宋" w:eastAsia="仿宋"/>
          <w:color w:val="auto"/>
          <w:sz w:val="32"/>
          <w:szCs w:val="32"/>
          <w:highlight w:val="none"/>
          <w:lang w:val="en-US" w:eastAsia="zh-CN"/>
        </w:rPr>
        <w:t>0.83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15396605"/>
      <w:bookmarkStart w:id="32" w:name="_Toc15377207"/>
      <w:bookmarkStart w:id="33" w:name="_Toc17251"/>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1067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年本年支出合计297.99万元，其中：基本支出297.99万元，占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15377208"/>
      <w:bookmarkStart w:id="37" w:name="_Toc1074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年财政拨款收、支总计231.77万元。与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88.98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62.32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。主要变动原因是卫生院合并，收入支出较上年有较大增长</w:t>
      </w:r>
      <w:r>
        <w:rPr>
          <w:rFonts w:hint="eastAsia" w:ascii="仿宋" w:hAnsi="仿宋" w:eastAsia="仿宋"/>
          <w:color w:val="auto"/>
          <w:sz w:val="32"/>
          <w:szCs w:val="32"/>
          <w:highlight w:val="none"/>
          <w:lang w:eastAsia="zh-CN"/>
        </w:rPr>
        <w:t>。</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96607"/>
      <w:bookmarkStart w:id="39" w:name="_Toc5325"/>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年一般公共预算财政拨款支出231.77万元，占本年支出合计的</w:t>
      </w:r>
      <w:r>
        <w:rPr>
          <w:rFonts w:hint="eastAsia" w:ascii="仿宋" w:hAnsi="仿宋" w:eastAsia="仿宋"/>
          <w:color w:val="auto"/>
          <w:sz w:val="32"/>
          <w:szCs w:val="32"/>
          <w:highlight w:val="none"/>
          <w:lang w:val="en-US" w:eastAsia="zh-CN"/>
        </w:rPr>
        <w:t>77.78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88.98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62.32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。主要变动原因是卫生院合并，支出较上年有较大增长。</w:t>
      </w:r>
    </w:p>
    <w:p>
      <w:pPr>
        <w:pStyle w:val="2"/>
        <w:jc w:val="cente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年一般公共预算财政拨款支出231.77万元，主要用于以下方面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支出25.95万元，占</w:t>
      </w:r>
      <w:r>
        <w:rPr>
          <w:rFonts w:hint="eastAsia" w:ascii="仿宋" w:hAnsi="仿宋" w:eastAsia="仿宋"/>
          <w:color w:val="auto"/>
          <w:sz w:val="32"/>
          <w:szCs w:val="32"/>
          <w:highlight w:val="none"/>
          <w:lang w:val="en-US" w:eastAsia="zh-CN"/>
        </w:rPr>
        <w:t>11.20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187.8</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81.03</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；住房保障支出18.01万元，占</w:t>
      </w:r>
      <w:r>
        <w:rPr>
          <w:rFonts w:hint="eastAsia" w:ascii="仿宋" w:hAnsi="仿宋" w:eastAsia="仿宋"/>
          <w:color w:val="auto"/>
          <w:sz w:val="32"/>
          <w:szCs w:val="32"/>
          <w:highlight w:val="none"/>
          <w:lang w:val="en-US" w:eastAsia="zh-CN"/>
        </w:rPr>
        <w:t>7.77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15377444"/>
      <w:bookmarkStart w:id="45" w:name="_Toc15377213"/>
      <w:bookmarkStart w:id="46" w:name="_Toc15378460"/>
      <w:bookmarkStart w:id="47" w:name="_Toc2907"/>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般公共预算支出决算数为231.77</w:t>
      </w:r>
      <w:r>
        <w:rPr>
          <w:rFonts w:hint="eastAsia" w:ascii="仿宋" w:hAnsi="仿宋" w:eastAsia="仿宋"/>
          <w:b/>
          <w:color w:val="auto"/>
          <w:sz w:val="32"/>
          <w:szCs w:val="32"/>
          <w:highlight w:val="none"/>
          <w:lang w:val="en-US" w:eastAsia="zh-CN"/>
        </w:rPr>
        <w:t>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支出决算为15.62万元，完成预算100%。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支出决算为7.82万元，完成预算100%。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支出决算为2.51万元，完成预算100%。</w:t>
      </w:r>
    </w:p>
    <w:p>
      <w:pPr>
        <w:spacing w:line="600" w:lineRule="exact"/>
        <w:ind w:firstLine="640" w:firstLineChars="200"/>
        <w:rPr>
          <w:rStyle w:val="14"/>
          <w:rFonts w:hint="eastAsia" w:ascii="仿宋" w:hAnsi="仿宋" w:eastAsia="仿宋"/>
          <w:bCs/>
          <w:color w:val="auto"/>
          <w:sz w:val="32"/>
          <w:szCs w:val="32"/>
          <w:highlight w:val="none"/>
        </w:rPr>
      </w:pP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4.卫生健康（类）卫生健康管理事务（款）行政运行（项）:支出决算为0.</w:t>
      </w:r>
      <w:r>
        <w:rPr>
          <w:rStyle w:val="14"/>
          <w:rFonts w:hint="eastAsia" w:ascii="仿宋" w:hAnsi="仿宋" w:eastAsia="仿宋"/>
          <w:bCs/>
          <w:color w:val="auto"/>
          <w:sz w:val="32"/>
          <w:szCs w:val="32"/>
          <w:highlight w:val="none"/>
          <w:lang w:val="en-US" w:eastAsia="zh-CN"/>
        </w:rPr>
        <w:t>60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Fonts w:hint="eastAsia"/>
        </w:rPr>
      </w:pPr>
      <w:r>
        <w:rPr>
          <w:rStyle w:val="14"/>
          <w:rFonts w:hint="eastAsia" w:ascii="仿宋" w:hAnsi="仿宋" w:eastAsia="仿宋"/>
          <w:bCs/>
          <w:color w:val="auto"/>
          <w:sz w:val="32"/>
          <w:szCs w:val="32"/>
          <w:highlight w:val="none"/>
          <w:lang w:val="en-US" w:eastAsia="zh-CN"/>
        </w:rPr>
        <w:t>5</w:t>
      </w:r>
      <w:r>
        <w:rPr>
          <w:rStyle w:val="14"/>
          <w:rFonts w:hint="eastAsia" w:ascii="仿宋" w:hAnsi="仿宋" w:eastAsia="仿宋"/>
          <w:bCs/>
          <w:color w:val="auto"/>
          <w:sz w:val="32"/>
          <w:szCs w:val="32"/>
          <w:highlight w:val="none"/>
        </w:rPr>
        <w:t>.卫生健康（类）卫生健康管理事务（款）其他卫生健康管理事务支出（项）:支出决算为</w:t>
      </w:r>
      <w:r>
        <w:rPr>
          <w:rStyle w:val="14"/>
          <w:rFonts w:hint="eastAsia" w:ascii="仿宋" w:hAnsi="仿宋" w:eastAsia="仿宋"/>
          <w:bCs/>
          <w:color w:val="auto"/>
          <w:sz w:val="32"/>
          <w:szCs w:val="32"/>
          <w:highlight w:val="none"/>
          <w:lang w:val="en-US" w:eastAsia="zh-CN"/>
        </w:rPr>
        <w:t>3.00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hint="eastAsia" w:ascii="仿宋" w:hAnsi="仿宋" w:eastAsia="仿宋"/>
          <w:bCs/>
          <w:color w:val="auto"/>
          <w:sz w:val="32"/>
          <w:szCs w:val="32"/>
          <w:highlight w:val="none"/>
        </w:rPr>
        <w:t>.卫生健康（类）基层医疗卫生机构（款）乡镇卫生院（项）:支出决算为</w:t>
      </w:r>
      <w:r>
        <w:rPr>
          <w:rStyle w:val="14"/>
          <w:rFonts w:hint="eastAsia" w:ascii="仿宋" w:hAnsi="仿宋" w:eastAsia="仿宋"/>
          <w:bCs/>
          <w:color w:val="auto"/>
          <w:sz w:val="32"/>
          <w:szCs w:val="32"/>
          <w:highlight w:val="none"/>
          <w:lang w:val="en-US" w:eastAsia="zh-CN"/>
        </w:rPr>
        <w:t>172.05</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hint="eastAsia" w:ascii="仿宋" w:hAnsi="仿宋" w:eastAsia="仿宋"/>
          <w:bCs/>
          <w:color w:val="auto"/>
          <w:sz w:val="32"/>
          <w:szCs w:val="32"/>
          <w:highlight w:val="none"/>
        </w:rPr>
        <w:t>.卫生健康（类）基层医疗卫生机构（款）其他基层医疗卫生机构支出（项）:支出决算为</w:t>
      </w:r>
      <w:r>
        <w:rPr>
          <w:rStyle w:val="14"/>
          <w:rFonts w:hint="eastAsia" w:ascii="仿宋" w:hAnsi="仿宋" w:eastAsia="仿宋"/>
          <w:bCs/>
          <w:color w:val="auto"/>
          <w:sz w:val="32"/>
          <w:szCs w:val="32"/>
          <w:highlight w:val="none"/>
          <w:lang w:val="en-US" w:eastAsia="zh-CN"/>
        </w:rPr>
        <w:t>4.64</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8</w:t>
      </w:r>
      <w:r>
        <w:rPr>
          <w:rStyle w:val="14"/>
          <w:rFonts w:hint="eastAsia" w:ascii="仿宋" w:hAnsi="仿宋" w:eastAsia="仿宋"/>
          <w:bCs/>
          <w:color w:val="auto"/>
          <w:sz w:val="32"/>
          <w:szCs w:val="32"/>
          <w:highlight w:val="none"/>
        </w:rPr>
        <w:t>.卫生健康（类）行政事业单位医疗（款）事业单位医疗（项）:支出决算为</w:t>
      </w:r>
      <w:r>
        <w:rPr>
          <w:rStyle w:val="14"/>
          <w:rFonts w:hint="eastAsia" w:ascii="仿宋" w:hAnsi="仿宋" w:eastAsia="仿宋"/>
          <w:bCs/>
          <w:color w:val="auto"/>
          <w:sz w:val="32"/>
          <w:szCs w:val="32"/>
          <w:highlight w:val="none"/>
          <w:lang w:val="en-US" w:eastAsia="zh-CN"/>
        </w:rPr>
        <w:t>6.25</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8.卫生健康（类）行政事业单位医疗（款）公务员医疗补助（项）:支出决算为1.26万元，完成预算100%。</w:t>
      </w:r>
    </w:p>
    <w:p>
      <w:pPr>
        <w:spacing w:line="600" w:lineRule="exact"/>
        <w:ind w:firstLine="640" w:firstLineChars="200"/>
        <w:rPr>
          <w:rFonts w:ascii="仿宋" w:hAnsi="仿宋" w:eastAsia="仿宋"/>
          <w:color w:val="auto"/>
          <w:sz w:val="32"/>
          <w:szCs w:val="32"/>
          <w:highlight w:val="none"/>
        </w:rPr>
      </w:pPr>
      <w:r>
        <w:rPr>
          <w:rStyle w:val="14"/>
          <w:rFonts w:hint="eastAsia" w:ascii="仿宋" w:hAnsi="仿宋" w:eastAsia="仿宋"/>
          <w:bCs/>
          <w:color w:val="auto"/>
          <w:sz w:val="32"/>
          <w:szCs w:val="32"/>
          <w:highlight w:val="none"/>
        </w:rPr>
        <w:t>9.住房保障支出（类）住房改革支出（款）住房公积金（项）:支出决算为</w:t>
      </w:r>
      <w:r>
        <w:rPr>
          <w:rStyle w:val="14"/>
          <w:rFonts w:hint="eastAsia" w:ascii="仿宋" w:hAnsi="仿宋" w:eastAsia="仿宋"/>
          <w:bCs/>
          <w:color w:val="auto"/>
          <w:sz w:val="32"/>
          <w:szCs w:val="32"/>
          <w:highlight w:val="none"/>
          <w:lang w:val="en-US" w:eastAsia="zh-CN"/>
        </w:rPr>
        <w:t>18.01</w:t>
      </w:r>
      <w:r>
        <w:rPr>
          <w:rStyle w:val="14"/>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77214"/>
      <w:bookmarkStart w:id="49" w:name="_Toc24797"/>
      <w:bookmarkStart w:id="50"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年一般公共预算财政拨款基本支出231.77万元，其中：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222.20</w:t>
      </w:r>
      <w:r>
        <w:rPr>
          <w:rFonts w:hint="eastAsia" w:ascii="仿宋" w:hAnsi="仿宋" w:eastAsia="仿宋"/>
          <w:color w:val="auto"/>
          <w:sz w:val="32"/>
          <w:szCs w:val="32"/>
          <w:highlight w:val="none"/>
        </w:rPr>
        <w:t>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公用经费9.57万元，主要包括：工会经费、福利费、公务用车运行维护费等。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23112"/>
      <w:bookmarkStart w:id="52" w:name="_Toc15396609"/>
      <w:bookmarkStart w:id="53"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3.60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合理安排三公经费支出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3.60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1.50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71.43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卫生院合并，公务用车运维费较上年有较大增长</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其他车辆1辆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3.60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开展医疗业务工作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96610"/>
      <w:bookmarkStart w:id="57" w:name="_Toc15377218"/>
    </w:p>
    <w:p>
      <w:pPr>
        <w:spacing w:line="600" w:lineRule="exact"/>
        <w:ind w:firstLine="640"/>
        <w:outlineLvl w:val="1"/>
        <w:rPr>
          <w:rStyle w:val="25"/>
          <w:rFonts w:ascii="黑体" w:hAnsi="黑体" w:eastAsia="黑体"/>
          <w:color w:val="auto"/>
          <w:highlight w:val="none"/>
        </w:rPr>
      </w:pPr>
      <w:bookmarkStart w:id="58" w:name="_Toc20453"/>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5396611"/>
      <w:bookmarkStart w:id="60" w:name="_Toc6752"/>
      <w:bookmarkStart w:id="61" w:name="_Toc15377219"/>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5377221"/>
      <w:bookmarkStart w:id="63" w:name="_Toc1577"/>
      <w:bookmarkStart w:id="64" w:name="_Toc15396612"/>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年，峨边彝族自治县黑竹沟镇中心卫生院机关运行经费支出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年，峨边彝族自治县黑竹沟镇中心卫生院政府采购支出总额</w:t>
      </w:r>
      <w:r>
        <w:rPr>
          <w:rFonts w:hint="eastAsia" w:ascii="仿宋_GB2312" w:eastAsia="仿宋_GB2312"/>
          <w:color w:val="auto"/>
          <w:sz w:val="32"/>
          <w:szCs w:val="32"/>
          <w:highlight w:val="none"/>
          <w:lang w:val="en-US" w:eastAsia="zh-CN"/>
        </w:rPr>
        <w:t>3.53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3.53</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卫生院业务工作</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日，峨边彝族自治县黑竹沟镇中心卫生院共有车辆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开展医疗业务活动，</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autoSpaceDE w:val="0"/>
        <w:autoSpaceDN w:val="0"/>
        <w:adjustRightInd w:val="0"/>
        <w:spacing w:line="600" w:lineRule="exact"/>
        <w:ind w:firstLine="640" w:firstLineChars="200"/>
        <w:jc w:val="both"/>
        <w:rPr>
          <w:rFonts w:ascii="仿宋" w:hAnsi="仿宋" w:eastAsia="仿宋"/>
          <w:b/>
          <w:bCs w:val="0"/>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4733"/>
      <w:bookmarkStart w:id="69" w:name="_Toc15377225"/>
      <w:bookmarkStart w:id="7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b/>
          <w:color w:val="auto"/>
          <w:sz w:val="32"/>
          <w:szCs w:val="32"/>
          <w:highlight w:val="none"/>
        </w:rPr>
      </w:pP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5396614"/>
      <w:bookmarkStart w:id="73" w:name="_Toc29145"/>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4" w:name="_Toc28033"/>
      <w:r>
        <w:rPr>
          <w:rFonts w:hint="eastAsia" w:ascii="黑体" w:hAnsi="黑体" w:eastAsia="黑体" w:cs="黑体"/>
          <w:color w:val="auto"/>
          <w:sz w:val="32"/>
          <w:szCs w:val="32"/>
          <w:highlight w:val="none"/>
        </w:rPr>
        <w:t>附件</w:t>
      </w:r>
      <w:bookmarkEnd w:id="74"/>
    </w:p>
    <w:p>
      <w:pPr>
        <w:spacing w:line="600" w:lineRule="exact"/>
        <w:jc w:val="center"/>
        <w:outlineLvl w:val="9"/>
        <w:rPr>
          <w:rFonts w:hint="eastAsia" w:ascii="黑体" w:hAnsi="黑体" w:eastAsia="黑体"/>
          <w:color w:val="auto"/>
          <w:sz w:val="44"/>
          <w:szCs w:val="44"/>
          <w:highlight w:val="none"/>
          <w:lang w:val="en-US" w:eastAsia="zh-CN"/>
        </w:rPr>
      </w:pPr>
      <w:bookmarkStart w:id="75" w:name="_Toc15396618"/>
    </w:p>
    <w:p>
      <w:pPr>
        <w:pStyle w:val="2"/>
        <w:ind w:left="0" w:leftChars="0" w:firstLine="639" w:firstLineChars="213"/>
        <w:rPr>
          <w:rFonts w:hint="eastAsia"/>
          <w:lang w:val="en-US" w:eastAsia="zh-CN"/>
        </w:rPr>
      </w:pPr>
      <w:r>
        <w:rPr>
          <w:rFonts w:hint="eastAsia"/>
          <w:lang w:val="en-US" w:eastAsia="zh-CN"/>
        </w:rPr>
        <w:t>根据预算绩效管理要求，本单位在2021年度预算编制阶段，无项目支出预算，因此未开展项目绩效评价工作</w:t>
      </w: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30992"/>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22075"/>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3299"/>
      <w:bookmarkStart w:id="80"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21857"/>
      <w:bookmarkStart w:id="82"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5396622"/>
      <w:bookmarkStart w:id="84" w:name="_Toc29111"/>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15396623"/>
      <w:bookmarkStart w:id="86" w:name="_Toc18866"/>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20347"/>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15396625"/>
      <w:bookmarkStart w:id="90" w:name="_Toc5864"/>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5396626"/>
      <w:bookmarkStart w:id="92" w:name="_Toc28790"/>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15396627"/>
      <w:bookmarkStart w:id="94" w:name="_Toc26044"/>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3019"/>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9448"/>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8421"/>
      <w:bookmarkStart w:id="100"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15396631"/>
      <w:bookmarkStart w:id="102" w:name="_Toc23387"/>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21347"/>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F9302C"/>
    <w:rsid w:val="0A2032A3"/>
    <w:rsid w:val="0B160868"/>
    <w:rsid w:val="0B8A37D8"/>
    <w:rsid w:val="0BC57167"/>
    <w:rsid w:val="0F5C5172"/>
    <w:rsid w:val="10C055FF"/>
    <w:rsid w:val="10D12771"/>
    <w:rsid w:val="118107EC"/>
    <w:rsid w:val="11AD47F5"/>
    <w:rsid w:val="11DD6519"/>
    <w:rsid w:val="16347947"/>
    <w:rsid w:val="16BB723D"/>
    <w:rsid w:val="16FC296F"/>
    <w:rsid w:val="18015F3F"/>
    <w:rsid w:val="1B6C1DAC"/>
    <w:rsid w:val="1BE8440E"/>
    <w:rsid w:val="1C980A44"/>
    <w:rsid w:val="1D155CEE"/>
    <w:rsid w:val="20F57F95"/>
    <w:rsid w:val="240371BF"/>
    <w:rsid w:val="25C741E6"/>
    <w:rsid w:val="27842671"/>
    <w:rsid w:val="29FD04D3"/>
    <w:rsid w:val="2ABE7A3E"/>
    <w:rsid w:val="2EFA178C"/>
    <w:rsid w:val="30B46D73"/>
    <w:rsid w:val="319F7F4E"/>
    <w:rsid w:val="363D519C"/>
    <w:rsid w:val="39AE70AB"/>
    <w:rsid w:val="3C0C0783"/>
    <w:rsid w:val="3F9F3A96"/>
    <w:rsid w:val="44493289"/>
    <w:rsid w:val="493C27E9"/>
    <w:rsid w:val="496F39ED"/>
    <w:rsid w:val="49FF41D3"/>
    <w:rsid w:val="4BE068DB"/>
    <w:rsid w:val="4BF6002B"/>
    <w:rsid w:val="4ECE2238"/>
    <w:rsid w:val="4FCB40EA"/>
    <w:rsid w:val="51DB4B86"/>
    <w:rsid w:val="55333C3E"/>
    <w:rsid w:val="57817115"/>
    <w:rsid w:val="6389059D"/>
    <w:rsid w:val="64CA39A1"/>
    <w:rsid w:val="668E3BF4"/>
    <w:rsid w:val="6C4A05C8"/>
    <w:rsid w:val="72734D90"/>
    <w:rsid w:val="74B055E6"/>
    <w:rsid w:val="79E7B28D"/>
    <w:rsid w:val="7DA501D6"/>
    <w:rsid w:val="7EE5486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4925</Words>
  <Characters>5342</Characters>
  <Lines>61</Lines>
  <Paragraphs>17</Paragraphs>
  <TotalTime>5</TotalTime>
  <ScaleCrop>false</ScaleCrop>
  <LinksUpToDate>false</LinksUpToDate>
  <CharactersWithSpaces>5463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独活</cp:lastModifiedBy>
  <cp:lastPrinted>2022-08-06T02:23:00Z</cp:lastPrinted>
  <dcterms:modified xsi:type="dcterms:W3CDTF">2022-10-27T02:13:24Z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2C18D83179604C5195A00265FCCDB725</vt:lpwstr>
  </property>
</Properties>
</file>