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8DFB7D">
      <w:pPr>
        <w:ind w:left="0" w:leftChars="0" w:firstLine="0" w:firstLineChars="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rPr>
        <w:t>附件</w:t>
      </w:r>
      <w:r>
        <w:rPr>
          <w:rFonts w:hint="eastAsia" w:ascii="黑体" w:hAnsi="黑体" w:eastAsia="黑体" w:cs="黑体"/>
          <w:color w:val="auto"/>
          <w:sz w:val="32"/>
          <w:szCs w:val="32"/>
          <w:lang w:val="en-US" w:eastAsia="zh-CN"/>
        </w:rPr>
        <w:t>1</w:t>
      </w:r>
    </w:p>
    <w:p w14:paraId="70701ED1">
      <w:pPr>
        <w:pStyle w:val="2"/>
        <w:bidi w:val="0"/>
        <w:jc w:val="center"/>
        <w:rPr>
          <w:rFonts w:hint="eastAsia" w:ascii="方正小标宋简体" w:hAnsi="方正小标宋简体" w:eastAsia="方正小标宋简体" w:cs="方正小标宋简体"/>
          <w:b w:val="0"/>
          <w:bCs/>
          <w:color w:val="auto"/>
          <w:lang w:val="en-US" w:eastAsia="zh-CN"/>
        </w:rPr>
      </w:pPr>
      <w:r>
        <w:rPr>
          <w:rFonts w:hint="eastAsia" w:ascii="方正小标宋简体" w:hAnsi="方正小标宋简体" w:eastAsia="方正小标宋简体" w:cs="方正小标宋简体"/>
          <w:b w:val="0"/>
          <w:bCs/>
          <w:color w:val="auto"/>
          <w:lang w:val="en-US" w:eastAsia="zh-CN"/>
        </w:rPr>
        <w:t>峨边彝族自治县黑竹沟镇中心小学</w:t>
      </w:r>
    </w:p>
    <w:p w14:paraId="68F51067">
      <w:pPr>
        <w:pStyle w:val="3"/>
        <w:numPr>
          <w:ilvl w:val="1"/>
          <w:numId w:val="0"/>
        </w:numPr>
        <w:tabs>
          <w:tab w:val="clear" w:pos="1080"/>
          <w:tab w:val="clear" w:pos="2422"/>
        </w:tabs>
        <w:bidi w:val="0"/>
        <w:jc w:val="center"/>
        <w:rPr>
          <w:rFonts w:hint="eastAsia" w:ascii="方正小标宋简体" w:hAnsi="方正小标宋简体" w:eastAsia="方正小标宋简体" w:cs="方正小标宋简体"/>
          <w:b w:val="0"/>
          <w:bCs/>
          <w:color w:val="auto"/>
          <w:sz w:val="52"/>
          <w:szCs w:val="52"/>
          <w:lang w:val="en-US" w:eastAsia="zh-CN"/>
        </w:rPr>
      </w:pPr>
      <w:r>
        <w:rPr>
          <w:rFonts w:hint="eastAsia" w:ascii="方正小标宋简体" w:hAnsi="方正小标宋简体" w:eastAsia="方正小标宋简体" w:cs="方正小标宋简体"/>
          <w:b w:val="0"/>
          <w:bCs/>
          <w:color w:val="auto"/>
          <w:sz w:val="52"/>
          <w:szCs w:val="52"/>
          <w:lang w:val="en-US" w:eastAsia="zh-CN"/>
        </w:rPr>
        <w:t>2025年单位预算</w:t>
      </w:r>
    </w:p>
    <w:p w14:paraId="7DB2948C">
      <w:pPr>
        <w:jc w:val="center"/>
        <w:rPr>
          <w:rFonts w:hint="eastAsia" w:ascii="方正小标宋简体" w:hAnsi="方正小标宋简体" w:eastAsia="方正小标宋简体" w:cs="方正小标宋简体"/>
          <w:b w:val="0"/>
          <w:bCs/>
          <w:color w:val="auto"/>
          <w:sz w:val="52"/>
          <w:szCs w:val="52"/>
          <w:lang w:val="en-US" w:eastAsia="zh-CN"/>
        </w:rPr>
      </w:pPr>
    </w:p>
    <w:p w14:paraId="1CB07C95">
      <w:pPr>
        <w:jc w:val="both"/>
        <w:rPr>
          <w:rFonts w:hint="default"/>
          <w:b/>
          <w:bCs/>
          <w:color w:val="auto"/>
          <w:sz w:val="52"/>
          <w:szCs w:val="52"/>
          <w:lang w:val="en-US" w:eastAsia="zh-CN"/>
        </w:rPr>
      </w:pPr>
    </w:p>
    <w:p w14:paraId="28E53A47">
      <w:pPr>
        <w:jc w:val="both"/>
        <w:rPr>
          <w:rFonts w:hint="default"/>
          <w:b/>
          <w:bCs/>
          <w:color w:val="auto"/>
          <w:sz w:val="52"/>
          <w:szCs w:val="52"/>
          <w:lang w:val="en-US" w:eastAsia="zh-CN"/>
        </w:rPr>
      </w:pPr>
    </w:p>
    <w:p w14:paraId="4D3AEC33">
      <w:pPr>
        <w:jc w:val="both"/>
        <w:rPr>
          <w:rFonts w:hint="default"/>
          <w:b/>
          <w:bCs/>
          <w:color w:val="auto"/>
          <w:sz w:val="52"/>
          <w:szCs w:val="52"/>
          <w:lang w:val="en-US" w:eastAsia="zh-CN"/>
        </w:rPr>
      </w:pPr>
    </w:p>
    <w:p w14:paraId="07C834E9">
      <w:pPr>
        <w:jc w:val="center"/>
        <w:rPr>
          <w:rFonts w:hint="eastAsia" w:ascii="方正小标宋简体" w:hAnsi="方正小标宋简体" w:eastAsia="方正小标宋简体" w:cs="方正小标宋简体"/>
          <w:b w:val="0"/>
          <w:bCs w:val="0"/>
          <w:color w:val="auto"/>
          <w:sz w:val="32"/>
          <w:szCs w:val="32"/>
          <w:u w:val="single"/>
          <w:lang w:val="en-US" w:eastAsia="zh-CN"/>
        </w:rPr>
      </w:pPr>
      <w:r>
        <w:rPr>
          <w:rFonts w:hint="eastAsia" w:ascii="方正小标宋简体" w:hAnsi="方正小标宋简体" w:eastAsia="方正小标宋简体" w:cs="方正小标宋简体"/>
          <w:b w:val="0"/>
          <w:bCs w:val="0"/>
          <w:color w:val="auto"/>
          <w:sz w:val="32"/>
          <w:szCs w:val="32"/>
          <w:lang w:val="en-US" w:eastAsia="zh-CN"/>
        </w:rPr>
        <w:t>单位签章：</w:t>
      </w:r>
      <w:r>
        <w:rPr>
          <w:rFonts w:hint="eastAsia" w:ascii="方正小标宋简体" w:hAnsi="方正小标宋简体" w:eastAsia="方正小标宋简体" w:cs="方正小标宋简体"/>
          <w:b w:val="0"/>
          <w:bCs w:val="0"/>
          <w:color w:val="auto"/>
          <w:sz w:val="32"/>
          <w:szCs w:val="32"/>
          <w:u w:val="single"/>
          <w:lang w:val="en-US" w:eastAsia="zh-CN"/>
        </w:rPr>
        <w:t xml:space="preserve"> </w:t>
      </w:r>
      <w:r>
        <w:rPr>
          <w:rFonts w:hint="eastAsia" w:ascii="方正小标宋简体" w:hAnsi="方正小标宋简体" w:eastAsia="方正小标宋简体" w:cs="方正小标宋简体"/>
          <w:b/>
          <w:bCs/>
          <w:color w:val="auto"/>
          <w:sz w:val="32"/>
          <w:szCs w:val="32"/>
          <w:u w:val="single"/>
          <w:lang w:val="en-US" w:eastAsia="zh-CN"/>
        </w:rPr>
        <w:t>峨边彝族自治县黑竹沟镇中心小学</w:t>
      </w:r>
      <w:r>
        <w:rPr>
          <w:rFonts w:hint="eastAsia" w:ascii="方正小标宋简体" w:hAnsi="方正小标宋简体" w:eastAsia="方正小标宋简体" w:cs="方正小标宋简体"/>
          <w:b w:val="0"/>
          <w:bCs w:val="0"/>
          <w:color w:val="auto"/>
          <w:sz w:val="32"/>
          <w:szCs w:val="32"/>
          <w:u w:val="single"/>
          <w:lang w:val="en-US" w:eastAsia="zh-CN"/>
        </w:rPr>
        <w:t xml:space="preserve"> </w:t>
      </w:r>
    </w:p>
    <w:p w14:paraId="59CAEC91">
      <w:pPr>
        <w:ind w:left="0" w:leftChars="0" w:firstLine="0" w:firstLineChars="0"/>
        <w:jc w:val="both"/>
        <w:rPr>
          <w:rFonts w:hint="default"/>
          <w:b/>
          <w:bCs/>
          <w:color w:val="auto"/>
          <w:sz w:val="32"/>
          <w:szCs w:val="32"/>
          <w:lang w:val="en-US" w:eastAsia="zh-CN"/>
        </w:rPr>
      </w:pPr>
    </w:p>
    <w:p w14:paraId="23EB6986">
      <w:pPr>
        <w:jc w:val="center"/>
        <w:rPr>
          <w:rFonts w:hint="eastAsia" w:ascii="方正小标宋简体" w:hAnsi="方正小标宋简体" w:eastAsia="方正小标宋简体" w:cs="方正小标宋简体"/>
          <w:b w:val="0"/>
          <w:bCs w:val="0"/>
          <w:color w:val="auto"/>
          <w:sz w:val="32"/>
          <w:szCs w:val="32"/>
          <w:lang w:val="en-US" w:eastAsia="zh-CN"/>
        </w:rPr>
      </w:pPr>
      <w:r>
        <w:rPr>
          <w:rFonts w:hint="eastAsia" w:ascii="方正小标宋简体" w:hAnsi="方正小标宋简体" w:eastAsia="方正小标宋简体" w:cs="方正小标宋简体"/>
          <w:b w:val="0"/>
          <w:bCs w:val="0"/>
          <w:color w:val="auto"/>
          <w:sz w:val="32"/>
          <w:szCs w:val="32"/>
          <w:lang w:val="en-US" w:eastAsia="zh-CN"/>
        </w:rPr>
        <w:t>2025年 5 月 21 日</w:t>
      </w:r>
    </w:p>
    <w:p w14:paraId="666FF8C0">
      <w:pPr>
        <w:jc w:val="both"/>
        <w:rPr>
          <w:rFonts w:hint="eastAsia"/>
          <w:b/>
          <w:bCs/>
          <w:color w:val="auto"/>
          <w:sz w:val="32"/>
          <w:szCs w:val="32"/>
          <w:lang w:val="en-US" w:eastAsia="zh-CN"/>
        </w:rPr>
      </w:pPr>
    </w:p>
    <w:p w14:paraId="181A8BDD">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eastAsia" w:ascii="方正小标宋简体" w:hAnsi="方正小标宋简体" w:eastAsia="方正小标宋简体" w:cs="方正小标宋简体"/>
          <w:b w:val="0"/>
          <w:bCs w:val="0"/>
          <w:color w:val="auto"/>
          <w:sz w:val="36"/>
          <w:szCs w:val="36"/>
          <w:lang w:val="en-US" w:eastAsia="zh-CN"/>
        </w:rPr>
      </w:pPr>
      <w:r>
        <w:rPr>
          <w:rFonts w:hint="eastAsia" w:ascii="方正小标宋简体" w:hAnsi="方正小标宋简体" w:eastAsia="方正小标宋简体" w:cs="方正小标宋简体"/>
          <w:b w:val="0"/>
          <w:bCs w:val="0"/>
          <w:color w:val="auto"/>
          <w:sz w:val="36"/>
          <w:szCs w:val="36"/>
          <w:lang w:val="en-US" w:eastAsia="zh-CN"/>
        </w:rPr>
        <w:t>目录</w:t>
      </w:r>
    </w:p>
    <w:p w14:paraId="2985C73F">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第一部分 峨边彝族自治县黑竹沟镇中心小学概况</w:t>
      </w:r>
    </w:p>
    <w:p w14:paraId="4A0FE51F">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Times New Roman" w:hAnsi="Times New Roman" w:eastAsia="仿宋_GB2312" w:cs="仿宋_GB2312"/>
          <w:b w:val="0"/>
          <w:bCs w:val="0"/>
          <w:color w:val="auto"/>
          <w:sz w:val="32"/>
          <w:szCs w:val="32"/>
          <w:lang w:val="en-US" w:eastAsia="zh-CN"/>
        </w:rPr>
      </w:pPr>
      <w:r>
        <w:rPr>
          <w:rFonts w:hint="default" w:ascii="Times New Roman" w:hAnsi="Times New Roman" w:eastAsia="仿宋_GB2312" w:cs="仿宋_GB2312"/>
          <w:b w:val="0"/>
          <w:bCs w:val="0"/>
          <w:color w:val="auto"/>
          <w:sz w:val="32"/>
          <w:szCs w:val="32"/>
          <w:lang w:val="en-US" w:eastAsia="zh-CN"/>
        </w:rPr>
        <w:t>一、基本职能及主要工作</w:t>
      </w:r>
    </w:p>
    <w:p w14:paraId="38464BA4">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Times New Roman" w:hAnsi="Times New Roman" w:eastAsia="仿宋_GB2312" w:cs="仿宋_GB2312"/>
          <w:b w:val="0"/>
          <w:bCs w:val="0"/>
          <w:color w:val="auto"/>
          <w:sz w:val="32"/>
          <w:szCs w:val="32"/>
          <w:lang w:val="en-US" w:eastAsia="zh-CN"/>
        </w:rPr>
      </w:pPr>
      <w:r>
        <w:rPr>
          <w:rFonts w:hint="default" w:ascii="Times New Roman" w:hAnsi="Times New Roman" w:eastAsia="仿宋_GB2312" w:cs="仿宋_GB2312"/>
          <w:b w:val="0"/>
          <w:bCs w:val="0"/>
          <w:color w:val="auto"/>
          <w:sz w:val="32"/>
          <w:szCs w:val="32"/>
          <w:lang w:val="en-US" w:eastAsia="zh-CN"/>
        </w:rPr>
        <w:t>二、</w:t>
      </w:r>
      <w:r>
        <w:rPr>
          <w:rFonts w:hint="eastAsia" w:ascii="Times New Roman" w:hAnsi="Times New Roman" w:eastAsia="仿宋_GB2312" w:cs="仿宋_GB2312"/>
          <w:b w:val="0"/>
          <w:bCs w:val="0"/>
          <w:color w:val="auto"/>
          <w:sz w:val="32"/>
          <w:szCs w:val="32"/>
          <w:lang w:val="en-US" w:eastAsia="zh-CN"/>
        </w:rPr>
        <w:t>2025年重点工作任务介绍</w:t>
      </w:r>
    </w:p>
    <w:p w14:paraId="59E13CB0">
      <w:pPr>
        <w:keepNext w:val="0"/>
        <w:keepLines w:val="0"/>
        <w:pageBreakBefore w:val="0"/>
        <w:widowControl w:val="0"/>
        <w:numPr>
          <w:ilvl w:val="0"/>
          <w:numId w:val="2"/>
        </w:numPr>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pacing w:val="1"/>
          <w:w w:val="90"/>
          <w:kern w:val="0"/>
          <w:sz w:val="32"/>
          <w:szCs w:val="32"/>
          <w:fitText w:val="6800" w:id="330921975"/>
          <w:lang w:val="en-US" w:eastAsia="zh-CN"/>
        </w:rPr>
        <w:t>峨边彝族自治县黑竹沟镇中心小学2025年单位预算</w:t>
      </w:r>
      <w:r>
        <w:rPr>
          <w:rFonts w:hint="eastAsia" w:ascii="黑体" w:hAnsi="黑体" w:eastAsia="黑体" w:cs="黑体"/>
          <w:b w:val="0"/>
          <w:bCs w:val="0"/>
          <w:color w:val="auto"/>
          <w:spacing w:val="0"/>
          <w:w w:val="90"/>
          <w:kern w:val="0"/>
          <w:sz w:val="32"/>
          <w:szCs w:val="32"/>
          <w:fitText w:val="6800" w:id="330921975"/>
          <w:lang w:val="en-US" w:eastAsia="zh-CN"/>
        </w:rPr>
        <w:t>表</w:t>
      </w:r>
    </w:p>
    <w:p w14:paraId="0C8FE9F0">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一、单位收支总表</w:t>
      </w:r>
    </w:p>
    <w:p w14:paraId="228E2D9B">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二、单位收入总表</w:t>
      </w:r>
    </w:p>
    <w:p w14:paraId="7409A9D9">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三、单位支出总表</w:t>
      </w:r>
    </w:p>
    <w:p w14:paraId="6EB20302">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四、财政拨款收支预算总表</w:t>
      </w:r>
    </w:p>
    <w:p w14:paraId="7477B43D">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五、财政拨款支出预算表（单位经济分类科目）</w:t>
      </w:r>
    </w:p>
    <w:p w14:paraId="2A1E7CB4">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六、一般公共预算支出预算表</w:t>
      </w:r>
    </w:p>
    <w:p w14:paraId="63D05351">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七、一般公共预算基本支出预算表</w:t>
      </w:r>
    </w:p>
    <w:p w14:paraId="1CF46FAE">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八、一般公共预算项目支出预算表</w:t>
      </w:r>
    </w:p>
    <w:p w14:paraId="6F14A2CD">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九、一般公共预算“三公”经费支出预算表</w:t>
      </w:r>
    </w:p>
    <w:p w14:paraId="1A908081">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十、政府性基金预算支出表</w:t>
      </w:r>
    </w:p>
    <w:p w14:paraId="77C754A6">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十一、政府性基金预算“三公”经费支出预算表</w:t>
      </w:r>
    </w:p>
    <w:p w14:paraId="74C2E235">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十二、国有资本经营预算支出表</w:t>
      </w:r>
    </w:p>
    <w:p w14:paraId="0A45CB2B">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十三、单位预算项目支出绩效目标表</w:t>
      </w:r>
    </w:p>
    <w:p w14:paraId="7C70769E">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十四、单位整体支出绩效目标表</w:t>
      </w:r>
    </w:p>
    <w:p w14:paraId="7D658B7C">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十五、政府采购预算表</w:t>
      </w:r>
    </w:p>
    <w:p w14:paraId="0D84A7C2">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 xml:space="preserve">第三部分 </w:t>
      </w:r>
      <w:r>
        <w:rPr>
          <w:rFonts w:hint="eastAsia" w:ascii="黑体" w:hAnsi="黑体" w:eastAsia="黑体" w:cs="黑体"/>
          <w:b w:val="0"/>
          <w:bCs w:val="0"/>
          <w:color w:val="auto"/>
          <w:spacing w:val="1"/>
          <w:w w:val="76"/>
          <w:kern w:val="0"/>
          <w:sz w:val="32"/>
          <w:szCs w:val="32"/>
          <w:fitText w:val="6520" w:id="715154669"/>
          <w:lang w:val="en-US" w:eastAsia="zh-CN"/>
        </w:rPr>
        <w:t>峨边彝族自治县黑竹沟镇中心小学2025年单位预算情况说</w:t>
      </w:r>
      <w:r>
        <w:rPr>
          <w:rFonts w:hint="eastAsia" w:ascii="黑体" w:hAnsi="黑体" w:eastAsia="黑体" w:cs="黑体"/>
          <w:b w:val="0"/>
          <w:bCs w:val="0"/>
          <w:color w:val="auto"/>
          <w:spacing w:val="20"/>
          <w:w w:val="76"/>
          <w:kern w:val="0"/>
          <w:sz w:val="32"/>
          <w:szCs w:val="32"/>
          <w:fitText w:val="6520" w:id="715154669"/>
          <w:lang w:val="en-US" w:eastAsia="zh-CN"/>
        </w:rPr>
        <w:t>明</w:t>
      </w:r>
    </w:p>
    <w:p w14:paraId="073B7572">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第四部分 名词解释</w:t>
      </w:r>
    </w:p>
    <w:p w14:paraId="5EE59F9D">
      <w:pPr>
        <w:pStyle w:val="2"/>
        <w:numPr>
          <w:ilvl w:val="0"/>
          <w:numId w:val="0"/>
        </w:numPr>
        <w:bidi w:val="0"/>
        <w:jc w:val="both"/>
        <w:rPr>
          <w:rFonts w:hint="default"/>
          <w:color w:val="auto"/>
          <w:lang w:val="en-US" w:eastAsia="zh-CN"/>
        </w:rPr>
      </w:pPr>
    </w:p>
    <w:p w14:paraId="088B0544">
      <w:pPr>
        <w:rPr>
          <w:rFonts w:hint="default"/>
          <w:color w:val="auto"/>
          <w:lang w:val="en-US" w:eastAsia="zh-CN"/>
        </w:rPr>
      </w:pPr>
    </w:p>
    <w:p w14:paraId="72F4B8F8">
      <w:pPr>
        <w:rPr>
          <w:rFonts w:hint="default"/>
          <w:color w:val="auto"/>
          <w:lang w:val="en-US" w:eastAsia="zh-CN"/>
        </w:rPr>
      </w:pPr>
    </w:p>
    <w:p w14:paraId="662CCC77">
      <w:pPr>
        <w:rPr>
          <w:rFonts w:hint="default"/>
          <w:color w:val="auto"/>
          <w:lang w:val="en-US" w:eastAsia="zh-CN"/>
        </w:rPr>
      </w:pPr>
    </w:p>
    <w:p w14:paraId="4C739B74">
      <w:pPr>
        <w:rPr>
          <w:rFonts w:hint="default"/>
          <w:color w:val="auto"/>
          <w:lang w:val="en-US" w:eastAsia="zh-CN"/>
        </w:rPr>
      </w:pPr>
    </w:p>
    <w:p w14:paraId="4E20C457">
      <w:pPr>
        <w:pStyle w:val="2"/>
        <w:keepNext/>
        <w:keepLines/>
        <w:pageBreakBefore w:val="0"/>
        <w:widowControl w:val="0"/>
        <w:numPr>
          <w:ilvl w:val="0"/>
          <w:numId w:val="0"/>
        </w:numPr>
        <w:kinsoku/>
        <w:wordWrap/>
        <w:overflowPunct/>
        <w:topLinePunct w:val="0"/>
        <w:autoSpaceDE/>
        <w:autoSpaceDN/>
        <w:bidi w:val="0"/>
        <w:adjustRightInd/>
        <w:snapToGrid/>
        <w:spacing w:before="0" w:beforeLines="0"/>
        <w:jc w:val="center"/>
        <w:textAlignment w:val="auto"/>
        <w:rPr>
          <w:rFonts w:hint="default" w:ascii="方正小标宋简体" w:hAnsi="方正小标宋简体" w:eastAsia="方正小标宋简体" w:cs="方正小标宋简体"/>
          <w:b w:val="0"/>
          <w:bCs/>
          <w:color w:val="auto"/>
          <w:lang w:val="en-US" w:eastAsia="zh-CN"/>
        </w:rPr>
      </w:pPr>
      <w:r>
        <w:rPr>
          <w:rFonts w:hint="eastAsia" w:ascii="方正小标宋简体" w:hAnsi="方正小标宋简体" w:eastAsia="方正小标宋简体" w:cs="方正小标宋简体"/>
          <w:b w:val="0"/>
          <w:bCs/>
          <w:color w:val="auto"/>
          <w:lang w:val="en-US" w:eastAsia="zh-CN"/>
        </w:rPr>
        <w:t>第一部分</w:t>
      </w:r>
    </w:p>
    <w:p w14:paraId="279958EA">
      <w:pPr>
        <w:pStyle w:val="2"/>
        <w:keepNext/>
        <w:keepLines/>
        <w:pageBreakBefore w:val="0"/>
        <w:widowControl w:val="0"/>
        <w:numPr>
          <w:ilvl w:val="0"/>
          <w:numId w:val="0"/>
        </w:numPr>
        <w:kinsoku/>
        <w:wordWrap/>
        <w:overflowPunct/>
        <w:topLinePunct w:val="0"/>
        <w:autoSpaceDE/>
        <w:autoSpaceDN/>
        <w:bidi w:val="0"/>
        <w:adjustRightInd/>
        <w:snapToGrid/>
        <w:spacing w:before="0" w:beforeLines="0"/>
        <w:jc w:val="center"/>
        <w:textAlignment w:val="auto"/>
        <w:rPr>
          <w:rFonts w:hint="default" w:ascii="方正小标宋简体" w:hAnsi="方正小标宋简体" w:eastAsia="方正小标宋简体" w:cs="方正小标宋简体"/>
          <w:b w:val="0"/>
          <w:bCs/>
          <w:color w:val="auto"/>
          <w:lang w:val="en-US" w:eastAsia="zh-CN"/>
        </w:rPr>
      </w:pPr>
      <w:r>
        <w:rPr>
          <w:rFonts w:hint="eastAsia" w:ascii="方正小标宋简体" w:hAnsi="方正小标宋简体" w:eastAsia="方正小标宋简体" w:cs="方正小标宋简体"/>
          <w:b w:val="0"/>
          <w:bCs/>
          <w:color w:val="auto"/>
          <w:spacing w:val="1"/>
          <w:w w:val="83"/>
          <w:kern w:val="0"/>
          <w:fitText w:val="6500" w:id="2064586868"/>
          <w:lang w:val="en-US" w:eastAsia="zh-CN"/>
        </w:rPr>
        <w:t>峨边彝族自治县黑竹沟镇中心小</w:t>
      </w:r>
      <w:r>
        <w:rPr>
          <w:rFonts w:hint="eastAsia" w:ascii="方正小标宋简体" w:hAnsi="方正小标宋简体" w:eastAsia="方正小标宋简体" w:cs="方正小标宋简体"/>
          <w:b w:val="0"/>
          <w:bCs/>
          <w:color w:val="auto"/>
          <w:spacing w:val="6"/>
          <w:w w:val="83"/>
          <w:kern w:val="0"/>
          <w:fitText w:val="6500" w:id="2064586868"/>
          <w:lang w:val="en-US" w:eastAsia="zh-CN"/>
        </w:rPr>
        <w:t>学</w:t>
      </w:r>
    </w:p>
    <w:p w14:paraId="5E89557C">
      <w:pPr>
        <w:pStyle w:val="2"/>
        <w:keepNext/>
        <w:keepLines/>
        <w:pageBreakBefore w:val="0"/>
        <w:widowControl w:val="0"/>
        <w:numPr>
          <w:ilvl w:val="0"/>
          <w:numId w:val="0"/>
        </w:numPr>
        <w:kinsoku/>
        <w:wordWrap/>
        <w:overflowPunct/>
        <w:topLinePunct w:val="0"/>
        <w:autoSpaceDE/>
        <w:autoSpaceDN/>
        <w:bidi w:val="0"/>
        <w:adjustRightInd/>
        <w:snapToGrid/>
        <w:spacing w:before="0" w:beforeLines="0"/>
        <w:jc w:val="center"/>
        <w:textAlignment w:val="auto"/>
        <w:rPr>
          <w:rFonts w:hint="default" w:ascii="方正小标宋简体" w:hAnsi="方正小标宋简体" w:eastAsia="方正小标宋简体" w:cs="方正小标宋简体"/>
          <w:b w:val="0"/>
          <w:bCs/>
          <w:color w:val="auto"/>
          <w:lang w:val="en-US" w:eastAsia="zh-CN"/>
        </w:rPr>
      </w:pPr>
      <w:r>
        <w:rPr>
          <w:rFonts w:hint="eastAsia" w:ascii="方正小标宋简体" w:hAnsi="方正小标宋简体" w:eastAsia="方正小标宋简体" w:cs="方正小标宋简体"/>
          <w:b w:val="0"/>
          <w:bCs/>
          <w:color w:val="auto"/>
          <w:lang w:val="en-US" w:eastAsia="zh-CN"/>
        </w:rPr>
        <w:t>概况</w:t>
      </w:r>
    </w:p>
    <w:p w14:paraId="5BC6556B">
      <w:pPr>
        <w:widowControl w:val="0"/>
        <w:numPr>
          <w:ilvl w:val="0"/>
          <w:numId w:val="0"/>
        </w:numPr>
        <w:jc w:val="both"/>
        <w:rPr>
          <w:rFonts w:hint="default"/>
          <w:b/>
          <w:bCs/>
          <w:color w:val="auto"/>
          <w:sz w:val="52"/>
          <w:szCs w:val="52"/>
          <w:lang w:val="en-US" w:eastAsia="zh-CN"/>
        </w:rPr>
      </w:pPr>
    </w:p>
    <w:p w14:paraId="3FDF0ACC">
      <w:pPr>
        <w:widowControl w:val="0"/>
        <w:numPr>
          <w:ilvl w:val="0"/>
          <w:numId w:val="0"/>
        </w:numPr>
        <w:jc w:val="both"/>
        <w:rPr>
          <w:rFonts w:hint="default"/>
          <w:b/>
          <w:bCs/>
          <w:color w:val="auto"/>
          <w:sz w:val="52"/>
          <w:szCs w:val="52"/>
          <w:lang w:val="en-US" w:eastAsia="zh-CN"/>
        </w:rPr>
      </w:pPr>
    </w:p>
    <w:p w14:paraId="4BA703BA">
      <w:pPr>
        <w:widowControl w:val="0"/>
        <w:numPr>
          <w:ilvl w:val="0"/>
          <w:numId w:val="0"/>
        </w:numPr>
        <w:jc w:val="both"/>
        <w:rPr>
          <w:rFonts w:hint="default"/>
          <w:b/>
          <w:bCs/>
          <w:color w:val="auto"/>
          <w:sz w:val="52"/>
          <w:szCs w:val="52"/>
          <w:lang w:val="en-US" w:eastAsia="zh-CN"/>
        </w:rPr>
      </w:pPr>
    </w:p>
    <w:p w14:paraId="5AE72762">
      <w:pPr>
        <w:widowControl w:val="0"/>
        <w:numPr>
          <w:ilvl w:val="0"/>
          <w:numId w:val="0"/>
        </w:numPr>
        <w:jc w:val="both"/>
        <w:rPr>
          <w:rFonts w:hint="default"/>
          <w:b/>
          <w:bCs/>
          <w:color w:val="auto"/>
          <w:sz w:val="52"/>
          <w:szCs w:val="52"/>
          <w:lang w:val="en-US" w:eastAsia="zh-CN"/>
        </w:rPr>
      </w:pPr>
    </w:p>
    <w:p w14:paraId="30918007">
      <w:pPr>
        <w:widowControl w:val="0"/>
        <w:numPr>
          <w:ilvl w:val="0"/>
          <w:numId w:val="0"/>
        </w:numPr>
        <w:jc w:val="both"/>
        <w:rPr>
          <w:rFonts w:hint="default"/>
          <w:b/>
          <w:bCs/>
          <w:color w:val="auto"/>
          <w:sz w:val="52"/>
          <w:szCs w:val="52"/>
          <w:lang w:val="en-US" w:eastAsia="zh-CN"/>
        </w:rPr>
      </w:pPr>
    </w:p>
    <w:p w14:paraId="1014EDB3">
      <w:pPr>
        <w:widowControl w:val="0"/>
        <w:numPr>
          <w:ilvl w:val="0"/>
          <w:numId w:val="0"/>
        </w:numPr>
        <w:jc w:val="both"/>
        <w:rPr>
          <w:rFonts w:hint="default"/>
          <w:b/>
          <w:bCs/>
          <w:color w:val="auto"/>
          <w:sz w:val="52"/>
          <w:szCs w:val="52"/>
          <w:lang w:val="en-US" w:eastAsia="zh-CN"/>
        </w:rPr>
      </w:pPr>
    </w:p>
    <w:p w14:paraId="1FC335B3">
      <w:pPr>
        <w:widowControl w:val="0"/>
        <w:numPr>
          <w:ilvl w:val="0"/>
          <w:numId w:val="0"/>
        </w:numPr>
        <w:jc w:val="both"/>
        <w:rPr>
          <w:rFonts w:hint="default"/>
          <w:b/>
          <w:bCs/>
          <w:color w:val="auto"/>
          <w:sz w:val="52"/>
          <w:szCs w:val="52"/>
          <w:lang w:val="en-US" w:eastAsia="zh-CN"/>
        </w:rPr>
      </w:pPr>
    </w:p>
    <w:p w14:paraId="7E6E99E7">
      <w:pPr>
        <w:bidi w:val="0"/>
        <w:rPr>
          <w:rFonts w:hint="eastAsia" w:ascii="黑体" w:hAnsi="黑体" w:eastAsia="黑体" w:cs="黑体"/>
          <w:color w:val="auto"/>
          <w:lang w:val="en-US" w:eastAsia="zh-CN"/>
        </w:rPr>
      </w:pPr>
      <w:r>
        <w:rPr>
          <w:rFonts w:hint="eastAsia" w:ascii="黑体" w:hAnsi="黑体" w:eastAsia="黑体" w:cs="黑体"/>
          <w:color w:val="auto"/>
          <w:lang w:val="en-US" w:eastAsia="zh-CN"/>
        </w:rPr>
        <w:t>一、基本职能及主要工作</w:t>
      </w:r>
    </w:p>
    <w:p w14:paraId="1E4DC5D7">
      <w:pPr>
        <w:bidi w:val="0"/>
        <w:rPr>
          <w:rFonts w:hint="eastAsia" w:ascii="楷体" w:hAnsi="楷体" w:eastAsia="楷体" w:cs="楷体"/>
          <w:color w:val="auto"/>
          <w:sz w:val="32"/>
          <w:szCs w:val="32"/>
        </w:rPr>
      </w:pPr>
      <w:r>
        <w:rPr>
          <w:rFonts w:hint="eastAsia" w:ascii="楷体" w:hAnsi="楷体" w:eastAsia="楷体" w:cs="楷体"/>
          <w:color w:val="auto"/>
          <w:sz w:val="32"/>
          <w:szCs w:val="32"/>
        </w:rPr>
        <w:t>（一）职能简介：</w:t>
      </w:r>
    </w:p>
    <w:p w14:paraId="3BE24737">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360" w:lineRule="auto"/>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贯彻教育方针与法规执行：深入研究并制定全校教育发展战略，严格落实党和国家教育方针、政策及法规，保障学校教育教学方向正确，与国家教育方针一致，为培育全面发展的社会主义建设者和接班人筑牢根基。</w:t>
      </w:r>
    </w:p>
    <w:p w14:paraId="43010924">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360" w:lineRule="auto"/>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规划制定与体制改革推进：负责拟定学校长远发展规划与年度计划，积极推动教育和办学体制改革。结合学校实际、当地教育需求及发展趋势，制定兼具前瞻性与可操作性的规划方案。</w:t>
      </w:r>
    </w:p>
    <w:p w14:paraId="48733766">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360" w:lineRule="auto"/>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教育经费管理：严格把控学校教育经费，严格执行财务管理制度。科学编制年度经费预算，合理安排资金，加强财务监督，确保经费使用透明合规，提高资金使用效率。</w:t>
      </w:r>
    </w:p>
    <w:p w14:paraId="2A8DDCD3">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360" w:lineRule="auto"/>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师生综合管理与校园安全维护：负责并指导教职工思想政治工作，统筹规划品德、体育卫生、艺术和国防教育。通过组织培训学习，提升教职工思想觉悟与职业道德水平。</w:t>
      </w:r>
    </w:p>
    <w:p w14:paraId="54831874">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360" w:lineRule="auto"/>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办学条件改善与学校发展提升：积极寻求各方支持，大力改善办学条件，推动学校发展。升级教学设施，优化校园环境与布局，加强校园文化建设，提升教育教学环境与品质。</w:t>
      </w:r>
    </w:p>
    <w:p w14:paraId="15D734A4">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360" w:lineRule="auto"/>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党群工团组织作用发挥：充分发挥学校党群工团组织作用。党组织发挥领导核心作用，工会维护教职工权益，共青团、少先队助力学生成长成才。</w:t>
      </w:r>
    </w:p>
    <w:p w14:paraId="2BE56ACD">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360" w:lineRule="auto"/>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后勤保障服务：扎实做好后勤保障工作，为师生提供优质服务，保障校园水电供应、设施设备运行、餐饮安全及宿舍管理，为教育教学工作提供有力支撑。</w:t>
      </w:r>
    </w:p>
    <w:p w14:paraId="584C07AE">
      <w:pPr>
        <w:bidi w:val="0"/>
        <w:rPr>
          <w:rFonts w:hint="eastAsia" w:ascii="楷体" w:hAnsi="楷体" w:eastAsia="楷体" w:cs="楷体"/>
          <w:color w:val="auto"/>
          <w:sz w:val="32"/>
          <w:szCs w:val="32"/>
        </w:rPr>
      </w:pPr>
      <w:r>
        <w:rPr>
          <w:rFonts w:hint="eastAsia" w:ascii="楷体" w:hAnsi="楷体" w:eastAsia="楷体" w:cs="楷体"/>
          <w:color w:val="auto"/>
          <w:sz w:val="32"/>
          <w:szCs w:val="32"/>
        </w:rPr>
        <w:t>（二）202</w:t>
      </w:r>
      <w:r>
        <w:rPr>
          <w:rFonts w:hint="eastAsia" w:ascii="楷体" w:hAnsi="楷体" w:eastAsia="楷体" w:cs="楷体"/>
          <w:color w:val="auto"/>
          <w:sz w:val="32"/>
          <w:szCs w:val="32"/>
          <w:lang w:val="en-US" w:eastAsia="zh-CN"/>
        </w:rPr>
        <w:t>5</w:t>
      </w:r>
      <w:r>
        <w:rPr>
          <w:rFonts w:hint="eastAsia" w:ascii="楷体" w:hAnsi="楷体" w:eastAsia="楷体" w:cs="楷体"/>
          <w:color w:val="auto"/>
          <w:sz w:val="32"/>
          <w:szCs w:val="32"/>
        </w:rPr>
        <w:t>年重点工作任务介绍：</w:t>
      </w:r>
    </w:p>
    <w:p w14:paraId="0EE98C27">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360" w:lineRule="auto"/>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1.深化教育综合改革，优化办学模式：全面践行 “合作化、特色化” 办学理念，通过与周边及对口支援学校开展教师交流、联合教研、课程共建等合作，引入先进教育理念与方法，立足黑竹沟镇特色探索办学路径，提升整体教育教学水平。</w:t>
      </w:r>
    </w:p>
    <w:p w14:paraId="263CB6A9">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360" w:lineRule="auto"/>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优化教育资源供给，合理布局学校：依据峨边彝族自治县以人口聚居点统筹学校布局的政策，科学规划学校发展规模与设施配备，根据周边人口变化调整班级和师资配置。积极争取项目资金，升级教学楼、更新设备等基础设施，保障教育资源高效利用。</w:t>
      </w:r>
    </w:p>
    <w:p w14:paraId="6888123C">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360" w:lineRule="auto"/>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3.加强师资队伍建设，提升教师素质：借助 “汇智峨边・四季引才” 行动引进优秀教师，充实师资力量。为现有教师制定个性化培训计划，鼓励其参与学习交流活动，同时完善绩效考核与激励机制，调动教师积极性，提升专业素养和教学能力。</w:t>
      </w:r>
    </w:p>
    <w:p w14:paraId="49B8FDDE">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360" w:lineRule="auto"/>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强化学生综合素质培养，促进全面发展：在保障基础教育课程教学的同时，重视品德、体育卫生、艺术和国防教育。通过丰富校园文化活动、开设社团与实践活动，为学生搭建展示平台。配备专业心理教师，开展心理健康教育，助力学生全面成长。</w:t>
      </w:r>
    </w:p>
    <w:p w14:paraId="681549D0">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360" w:lineRule="auto"/>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5.巩固控辍保学成果，保障教育公平：严格落实 “一人一案” 制度，动态管理学生入学情况，加强家校沟通，宣传教育法规。对困难学生给予助学金、结对帮扶等关怀，防止因贫辍学，每月至少两次为特殊儿童送教上门，确保适龄儿童公平受教育。</w:t>
      </w:r>
    </w:p>
    <w:p w14:paraId="6D2D05E9">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360" w:lineRule="auto"/>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推进教育信息化建设，提升教学效率：紧跟数字赋能教育趋势，超前布局信息化基础设施，实现校园无线网络全覆盖。引入先进教学软件平台，丰富教学手段，开展教师信息技术培训，推动信息技术与教育教学深度融合，提高教学效率。</w:t>
      </w:r>
    </w:p>
    <w:p w14:paraId="6074AD7B">
      <w:pPr>
        <w:keepNext w:val="0"/>
        <w:keepLines w:val="0"/>
        <w:pageBreakBefore w:val="0"/>
        <w:kinsoku/>
        <w:wordWrap/>
        <w:overflowPunct/>
        <w:topLinePunct w:val="0"/>
        <w:autoSpaceDE/>
        <w:autoSpaceDN/>
        <w:bidi w:val="0"/>
        <w:adjustRightInd/>
        <w:snapToGrid/>
        <w:spacing w:beforeAutospacing="0" w:afterAutospacing="0" w:line="360" w:lineRule="auto"/>
        <w:ind w:left="0" w:firstLine="640" w:firstLineChars="200"/>
        <w:textAlignment w:val="auto"/>
        <w:rPr>
          <w:rFonts w:hint="eastAsia" w:ascii="仿宋" w:hAnsi="仿宋" w:eastAsia="仿宋" w:cs="仿宋"/>
          <w:color w:val="auto"/>
          <w:sz w:val="32"/>
          <w:szCs w:val="32"/>
        </w:rPr>
      </w:pPr>
    </w:p>
    <w:p w14:paraId="7012A01F">
      <w:pPr>
        <w:bidi w:val="0"/>
        <w:rPr>
          <w:rFonts w:hint="eastAsia" w:ascii="仿宋" w:hAnsi="仿宋" w:eastAsia="仿宋"/>
          <w:color w:val="auto"/>
          <w:sz w:val="32"/>
          <w:szCs w:val="32"/>
        </w:rPr>
      </w:pPr>
    </w:p>
    <w:p w14:paraId="5BEA09DE">
      <w:pPr>
        <w:bidi w:val="0"/>
        <w:rPr>
          <w:rFonts w:hint="eastAsia" w:ascii="仿宋" w:hAnsi="仿宋" w:eastAsia="仿宋"/>
          <w:color w:val="auto"/>
          <w:sz w:val="32"/>
          <w:szCs w:val="32"/>
        </w:rPr>
      </w:pPr>
    </w:p>
    <w:p w14:paraId="0AE7DEA9">
      <w:pPr>
        <w:bidi w:val="0"/>
        <w:rPr>
          <w:rFonts w:hint="eastAsia" w:ascii="仿宋" w:hAnsi="仿宋" w:eastAsia="仿宋"/>
          <w:color w:val="auto"/>
          <w:sz w:val="32"/>
          <w:szCs w:val="32"/>
        </w:rPr>
      </w:pPr>
    </w:p>
    <w:p w14:paraId="1DDBC2AC">
      <w:pPr>
        <w:bidi w:val="0"/>
        <w:rPr>
          <w:rFonts w:hint="eastAsia" w:ascii="仿宋" w:hAnsi="仿宋" w:eastAsia="仿宋"/>
          <w:color w:val="auto"/>
          <w:sz w:val="32"/>
          <w:szCs w:val="32"/>
        </w:rPr>
      </w:pPr>
    </w:p>
    <w:p w14:paraId="618C4792">
      <w:pPr>
        <w:bidi w:val="0"/>
        <w:rPr>
          <w:rFonts w:hint="eastAsia" w:ascii="仿宋" w:hAnsi="仿宋" w:eastAsia="仿宋"/>
          <w:color w:val="auto"/>
          <w:sz w:val="32"/>
          <w:szCs w:val="32"/>
        </w:rPr>
      </w:pPr>
    </w:p>
    <w:p w14:paraId="67860917">
      <w:pPr>
        <w:bidi w:val="0"/>
        <w:rPr>
          <w:rFonts w:hint="eastAsia" w:ascii="仿宋" w:hAnsi="仿宋" w:eastAsia="仿宋"/>
          <w:color w:val="auto"/>
          <w:sz w:val="32"/>
          <w:szCs w:val="32"/>
        </w:rPr>
      </w:pPr>
    </w:p>
    <w:p w14:paraId="10C61DB3">
      <w:pPr>
        <w:bidi w:val="0"/>
        <w:rPr>
          <w:rFonts w:hint="eastAsia" w:ascii="仿宋" w:hAnsi="仿宋" w:eastAsia="仿宋"/>
          <w:color w:val="auto"/>
          <w:sz w:val="32"/>
          <w:szCs w:val="32"/>
        </w:rPr>
      </w:pPr>
    </w:p>
    <w:p w14:paraId="1F9A1700">
      <w:pPr>
        <w:bidi w:val="0"/>
        <w:rPr>
          <w:rFonts w:hint="eastAsia" w:ascii="仿宋" w:hAnsi="仿宋" w:eastAsia="仿宋"/>
          <w:color w:val="auto"/>
          <w:sz w:val="32"/>
          <w:szCs w:val="32"/>
        </w:rPr>
      </w:pPr>
    </w:p>
    <w:p w14:paraId="399120A2">
      <w:pPr>
        <w:bidi w:val="0"/>
        <w:rPr>
          <w:rFonts w:hint="eastAsia" w:ascii="仿宋" w:hAnsi="仿宋" w:eastAsia="仿宋"/>
          <w:color w:val="auto"/>
          <w:sz w:val="32"/>
          <w:szCs w:val="32"/>
        </w:rPr>
      </w:pPr>
    </w:p>
    <w:p w14:paraId="07DF8B79">
      <w:pPr>
        <w:bidi w:val="0"/>
        <w:rPr>
          <w:rFonts w:hint="eastAsia" w:ascii="仿宋" w:hAnsi="仿宋" w:eastAsia="仿宋"/>
          <w:color w:val="auto"/>
          <w:sz w:val="32"/>
          <w:szCs w:val="32"/>
        </w:rPr>
      </w:pPr>
    </w:p>
    <w:p w14:paraId="3C5A4AEF">
      <w:pPr>
        <w:bidi w:val="0"/>
        <w:rPr>
          <w:rFonts w:hint="eastAsia" w:ascii="仿宋" w:hAnsi="仿宋" w:eastAsia="仿宋"/>
          <w:color w:val="auto"/>
          <w:sz w:val="32"/>
          <w:szCs w:val="32"/>
        </w:rPr>
      </w:pPr>
    </w:p>
    <w:p w14:paraId="74DC33B7">
      <w:pPr>
        <w:bidi w:val="0"/>
        <w:rPr>
          <w:rFonts w:hint="eastAsia" w:ascii="仿宋_GB2312" w:hAnsi="仿宋_GB2312" w:eastAsia="仿宋_GB2312" w:cs="仿宋_GB2312"/>
          <w:color w:val="auto"/>
          <w:sz w:val="32"/>
          <w:szCs w:val="32"/>
        </w:rPr>
      </w:pPr>
    </w:p>
    <w:p w14:paraId="4028EF6D">
      <w:pPr>
        <w:bidi w:val="0"/>
        <w:rPr>
          <w:rFonts w:hint="default" w:ascii="黑体" w:hAnsi="黑体" w:eastAsia="黑体" w:cs="黑体"/>
          <w:color w:val="auto"/>
          <w:lang w:val="en-US" w:eastAsia="zh-CN"/>
        </w:rPr>
      </w:pPr>
      <w:r>
        <w:rPr>
          <w:rFonts w:hint="default" w:ascii="黑体" w:hAnsi="黑体" w:eastAsia="黑体" w:cs="黑体"/>
          <w:color w:val="auto"/>
          <w:lang w:val="en-US" w:eastAsia="zh-CN"/>
        </w:rPr>
        <w:t>二、</w:t>
      </w:r>
      <w:r>
        <w:rPr>
          <w:rFonts w:hint="eastAsia" w:ascii="黑体" w:hAnsi="黑体" w:eastAsia="黑体" w:cs="黑体"/>
          <w:color w:val="auto"/>
          <w:lang w:val="en-US" w:eastAsia="zh-CN"/>
        </w:rPr>
        <w:t>单位</w:t>
      </w:r>
      <w:r>
        <w:rPr>
          <w:rFonts w:hint="default" w:ascii="黑体" w:hAnsi="黑体" w:eastAsia="黑体" w:cs="黑体"/>
          <w:color w:val="auto"/>
          <w:lang w:val="en-US" w:eastAsia="zh-CN"/>
        </w:rPr>
        <w:t>预算单位构成</w:t>
      </w:r>
    </w:p>
    <w:p w14:paraId="415CACBE">
      <w:pPr>
        <w:bidi w:val="0"/>
        <w:rPr>
          <w:rFonts w:hint="eastAsia" w:ascii="仿宋" w:hAnsi="仿宋" w:eastAsia="仿宋"/>
          <w:color w:val="auto"/>
          <w:sz w:val="32"/>
          <w:szCs w:val="32"/>
        </w:rPr>
      </w:pPr>
      <w:r>
        <w:rPr>
          <w:rFonts w:hint="eastAsia" w:ascii="仿宋" w:hAnsi="仿宋" w:eastAsia="仿宋"/>
          <w:color w:val="auto"/>
          <w:sz w:val="32"/>
          <w:szCs w:val="32"/>
          <w:lang w:val="en-US" w:eastAsia="zh-CN"/>
        </w:rPr>
        <w:t>黑竹沟镇中心小学</w:t>
      </w:r>
      <w:r>
        <w:rPr>
          <w:rFonts w:hint="eastAsia" w:ascii="仿宋" w:hAnsi="仿宋" w:eastAsia="仿宋"/>
          <w:color w:val="auto"/>
          <w:sz w:val="32"/>
          <w:szCs w:val="32"/>
        </w:rPr>
        <w:t>预算单位</w:t>
      </w:r>
      <w:r>
        <w:rPr>
          <w:rFonts w:hint="eastAsia" w:ascii="仿宋" w:hAnsi="仿宋"/>
          <w:color w:val="auto"/>
          <w:sz w:val="32"/>
          <w:szCs w:val="32"/>
          <w:lang w:val="en-US" w:eastAsia="zh-CN"/>
        </w:rPr>
        <w:t>1</w:t>
      </w:r>
      <w:r>
        <w:rPr>
          <w:rFonts w:hint="eastAsia" w:ascii="仿宋" w:hAnsi="仿宋" w:eastAsia="仿宋"/>
          <w:color w:val="auto"/>
          <w:sz w:val="32"/>
          <w:szCs w:val="32"/>
        </w:rPr>
        <w:t>个，其中：行政单位</w:t>
      </w:r>
      <w:r>
        <w:rPr>
          <w:rFonts w:hint="eastAsia" w:ascii="仿宋" w:hAnsi="仿宋"/>
          <w:color w:val="auto"/>
          <w:sz w:val="32"/>
          <w:szCs w:val="32"/>
          <w:lang w:val="en-US" w:eastAsia="zh-CN"/>
        </w:rPr>
        <w:t>0</w:t>
      </w:r>
      <w:r>
        <w:rPr>
          <w:rFonts w:hint="eastAsia" w:ascii="仿宋" w:hAnsi="仿宋" w:eastAsia="仿宋"/>
          <w:color w:val="auto"/>
          <w:sz w:val="32"/>
          <w:szCs w:val="32"/>
        </w:rPr>
        <w:t>个，事业单位</w:t>
      </w:r>
      <w:r>
        <w:rPr>
          <w:rFonts w:hint="eastAsia" w:ascii="仿宋" w:hAnsi="仿宋"/>
          <w:color w:val="auto"/>
          <w:sz w:val="32"/>
          <w:szCs w:val="32"/>
          <w:lang w:val="en-US" w:eastAsia="zh-CN"/>
        </w:rPr>
        <w:t>1</w:t>
      </w:r>
      <w:r>
        <w:rPr>
          <w:rFonts w:hint="eastAsia" w:ascii="仿宋" w:hAnsi="仿宋" w:eastAsia="仿宋"/>
          <w:color w:val="auto"/>
          <w:sz w:val="32"/>
          <w:szCs w:val="32"/>
        </w:rPr>
        <w:t>个。</w:t>
      </w:r>
    </w:p>
    <w:p w14:paraId="5692F495">
      <w:pPr>
        <w:bidi w:val="0"/>
        <w:rPr>
          <w:rFonts w:hint="eastAsia" w:ascii="仿宋" w:hAnsi="仿宋" w:eastAsia="仿宋"/>
          <w:color w:val="auto"/>
          <w:sz w:val="32"/>
          <w:szCs w:val="32"/>
        </w:rPr>
      </w:pPr>
      <w:r>
        <w:rPr>
          <w:rFonts w:hint="eastAsia" w:ascii="仿宋" w:hAnsi="仿宋" w:eastAsia="仿宋"/>
          <w:color w:val="auto"/>
          <w:sz w:val="32"/>
          <w:szCs w:val="32"/>
          <w:lang w:val="en-US" w:eastAsia="zh-CN"/>
        </w:rPr>
        <w:t>黑竹沟镇中心小学</w:t>
      </w:r>
      <w:r>
        <w:rPr>
          <w:rFonts w:hint="eastAsia" w:ascii="仿宋" w:hAnsi="仿宋" w:eastAsia="仿宋"/>
          <w:color w:val="auto"/>
          <w:sz w:val="32"/>
          <w:szCs w:val="32"/>
        </w:rPr>
        <w:t>总编制</w:t>
      </w:r>
      <w:r>
        <w:rPr>
          <w:rFonts w:hint="eastAsia" w:ascii="仿宋" w:hAnsi="仿宋" w:eastAsia="仿宋"/>
          <w:color w:val="auto"/>
          <w:sz w:val="32"/>
          <w:szCs w:val="32"/>
          <w:lang w:val="en-US" w:eastAsia="zh-CN"/>
        </w:rPr>
        <w:t>24</w:t>
      </w:r>
      <w:r>
        <w:rPr>
          <w:rFonts w:hint="eastAsia" w:ascii="仿宋" w:hAnsi="仿宋" w:eastAsia="仿宋"/>
          <w:color w:val="auto"/>
          <w:sz w:val="32"/>
          <w:szCs w:val="32"/>
        </w:rPr>
        <w:t>名，其中：行政编制</w:t>
      </w:r>
      <w:r>
        <w:rPr>
          <w:rFonts w:hint="eastAsia" w:ascii="仿宋" w:hAnsi="仿宋" w:eastAsia="仿宋"/>
          <w:color w:val="auto"/>
          <w:sz w:val="32"/>
          <w:szCs w:val="32"/>
          <w:lang w:val="en-US" w:eastAsia="zh-CN"/>
        </w:rPr>
        <w:t>0</w:t>
      </w:r>
      <w:r>
        <w:rPr>
          <w:rFonts w:hint="eastAsia" w:ascii="仿宋" w:hAnsi="仿宋" w:eastAsia="仿宋"/>
          <w:color w:val="auto"/>
          <w:sz w:val="32"/>
          <w:szCs w:val="32"/>
        </w:rPr>
        <w:t>名，工勤编制</w:t>
      </w:r>
      <w:r>
        <w:rPr>
          <w:rFonts w:hint="eastAsia" w:ascii="仿宋" w:hAnsi="仿宋" w:eastAsia="仿宋"/>
          <w:color w:val="auto"/>
          <w:sz w:val="32"/>
          <w:szCs w:val="32"/>
          <w:lang w:val="en-US" w:eastAsia="zh-CN"/>
        </w:rPr>
        <w:t>0</w:t>
      </w:r>
      <w:r>
        <w:rPr>
          <w:rFonts w:hint="eastAsia" w:ascii="仿宋" w:hAnsi="仿宋" w:eastAsia="仿宋"/>
          <w:color w:val="auto"/>
          <w:sz w:val="32"/>
          <w:szCs w:val="32"/>
        </w:rPr>
        <w:t>名，事业编制</w:t>
      </w:r>
      <w:r>
        <w:rPr>
          <w:rFonts w:hint="eastAsia" w:ascii="仿宋" w:hAnsi="仿宋" w:eastAsia="仿宋"/>
          <w:color w:val="auto"/>
          <w:sz w:val="32"/>
          <w:szCs w:val="32"/>
          <w:lang w:val="en-US" w:eastAsia="zh-CN"/>
        </w:rPr>
        <w:t>24</w:t>
      </w:r>
      <w:r>
        <w:rPr>
          <w:rFonts w:hint="eastAsia" w:ascii="仿宋" w:hAnsi="仿宋" w:eastAsia="仿宋"/>
          <w:color w:val="auto"/>
          <w:sz w:val="32"/>
          <w:szCs w:val="32"/>
        </w:rPr>
        <w:t>名。在职人员总数</w:t>
      </w:r>
      <w:r>
        <w:rPr>
          <w:rFonts w:hint="eastAsia" w:ascii="仿宋" w:hAnsi="仿宋" w:eastAsia="仿宋"/>
          <w:color w:val="auto"/>
          <w:sz w:val="32"/>
          <w:szCs w:val="32"/>
          <w:lang w:val="en-US" w:eastAsia="zh-CN"/>
        </w:rPr>
        <w:t>24</w:t>
      </w:r>
      <w:r>
        <w:rPr>
          <w:rFonts w:hint="eastAsia" w:ascii="仿宋" w:hAnsi="仿宋" w:eastAsia="仿宋"/>
          <w:color w:val="auto"/>
          <w:sz w:val="32"/>
          <w:szCs w:val="32"/>
        </w:rPr>
        <w:t>名，其中：行政</w:t>
      </w:r>
      <w:r>
        <w:rPr>
          <w:rFonts w:hint="eastAsia" w:ascii="仿宋" w:hAnsi="仿宋" w:eastAsia="仿宋"/>
          <w:color w:val="auto"/>
          <w:sz w:val="32"/>
          <w:szCs w:val="32"/>
          <w:lang w:val="en-US" w:eastAsia="zh-CN"/>
        </w:rPr>
        <w:t>0</w:t>
      </w:r>
      <w:r>
        <w:rPr>
          <w:rFonts w:hint="eastAsia" w:ascii="仿宋" w:hAnsi="仿宋" w:eastAsia="仿宋"/>
          <w:color w:val="auto"/>
          <w:sz w:val="32"/>
          <w:szCs w:val="32"/>
        </w:rPr>
        <w:t>名，工勤</w:t>
      </w:r>
      <w:r>
        <w:rPr>
          <w:rFonts w:hint="eastAsia" w:ascii="仿宋" w:hAnsi="仿宋" w:eastAsia="仿宋"/>
          <w:color w:val="auto"/>
          <w:sz w:val="32"/>
          <w:szCs w:val="32"/>
          <w:lang w:val="en-US" w:eastAsia="zh-CN"/>
        </w:rPr>
        <w:t>0</w:t>
      </w:r>
      <w:r>
        <w:rPr>
          <w:rFonts w:hint="eastAsia" w:ascii="仿宋" w:hAnsi="仿宋" w:eastAsia="仿宋"/>
          <w:color w:val="auto"/>
          <w:sz w:val="32"/>
          <w:szCs w:val="32"/>
        </w:rPr>
        <w:t>名，事业</w:t>
      </w:r>
      <w:r>
        <w:rPr>
          <w:rFonts w:hint="eastAsia" w:ascii="仿宋" w:hAnsi="仿宋" w:eastAsia="仿宋"/>
          <w:color w:val="auto"/>
          <w:sz w:val="32"/>
          <w:szCs w:val="32"/>
          <w:lang w:val="en-US" w:eastAsia="zh-CN"/>
        </w:rPr>
        <w:t>24</w:t>
      </w:r>
      <w:r>
        <w:rPr>
          <w:rFonts w:hint="eastAsia" w:ascii="仿宋" w:hAnsi="仿宋" w:eastAsia="仿宋"/>
          <w:color w:val="auto"/>
          <w:sz w:val="32"/>
          <w:szCs w:val="32"/>
        </w:rPr>
        <w:t>名。离休</w:t>
      </w:r>
      <w:r>
        <w:rPr>
          <w:rFonts w:hint="eastAsia" w:ascii="仿宋" w:hAnsi="仿宋" w:eastAsia="仿宋"/>
          <w:color w:val="auto"/>
          <w:sz w:val="32"/>
          <w:szCs w:val="32"/>
          <w:lang w:val="en-US" w:eastAsia="zh-CN"/>
        </w:rPr>
        <w:t>0</w:t>
      </w:r>
      <w:r>
        <w:rPr>
          <w:rFonts w:hint="eastAsia" w:ascii="仿宋" w:hAnsi="仿宋" w:eastAsia="仿宋"/>
          <w:color w:val="auto"/>
          <w:sz w:val="32"/>
          <w:szCs w:val="32"/>
        </w:rPr>
        <w:t>名。</w:t>
      </w:r>
    </w:p>
    <w:p w14:paraId="5785652C">
      <w:pPr>
        <w:spacing w:line="600" w:lineRule="exact"/>
        <w:ind w:firstLine="640" w:firstLineChars="200"/>
        <w:rPr>
          <w:rFonts w:hint="eastAsia" w:ascii="仿宋" w:hAnsi="仿宋" w:eastAsia="仿宋"/>
          <w:color w:val="auto"/>
          <w:sz w:val="32"/>
          <w:szCs w:val="32"/>
        </w:rPr>
      </w:pPr>
    </w:p>
    <w:p w14:paraId="5DD15719">
      <w:pPr>
        <w:spacing w:line="600" w:lineRule="exact"/>
        <w:ind w:firstLine="640" w:firstLineChars="200"/>
        <w:rPr>
          <w:rFonts w:hint="eastAsia" w:ascii="仿宋" w:hAnsi="仿宋" w:eastAsia="仿宋"/>
          <w:color w:val="auto"/>
          <w:sz w:val="32"/>
          <w:szCs w:val="32"/>
        </w:rPr>
      </w:pPr>
    </w:p>
    <w:p w14:paraId="436BF109">
      <w:pPr>
        <w:spacing w:line="600" w:lineRule="exact"/>
        <w:ind w:firstLine="640" w:firstLineChars="200"/>
        <w:rPr>
          <w:rFonts w:hint="eastAsia" w:ascii="仿宋" w:hAnsi="仿宋" w:eastAsia="仿宋"/>
          <w:color w:val="auto"/>
          <w:sz w:val="32"/>
          <w:szCs w:val="32"/>
        </w:rPr>
      </w:pPr>
    </w:p>
    <w:p w14:paraId="7DCC0021">
      <w:pPr>
        <w:spacing w:line="600" w:lineRule="exact"/>
        <w:ind w:firstLine="640" w:firstLineChars="200"/>
        <w:rPr>
          <w:rFonts w:hint="eastAsia" w:ascii="仿宋" w:hAnsi="仿宋" w:eastAsia="仿宋"/>
          <w:color w:val="auto"/>
          <w:sz w:val="32"/>
          <w:szCs w:val="32"/>
        </w:rPr>
      </w:pPr>
    </w:p>
    <w:p w14:paraId="12BF186A">
      <w:pPr>
        <w:spacing w:line="600" w:lineRule="exact"/>
        <w:ind w:firstLine="640" w:firstLineChars="200"/>
        <w:rPr>
          <w:rFonts w:hint="eastAsia" w:ascii="仿宋" w:hAnsi="仿宋" w:eastAsia="仿宋"/>
          <w:color w:val="auto"/>
          <w:sz w:val="32"/>
          <w:szCs w:val="32"/>
        </w:rPr>
      </w:pPr>
    </w:p>
    <w:p w14:paraId="0ABF2893">
      <w:pPr>
        <w:spacing w:line="600" w:lineRule="exact"/>
        <w:ind w:firstLine="640" w:firstLineChars="200"/>
        <w:rPr>
          <w:rFonts w:hint="eastAsia" w:ascii="仿宋" w:hAnsi="仿宋" w:eastAsia="仿宋"/>
          <w:color w:val="auto"/>
          <w:sz w:val="32"/>
          <w:szCs w:val="32"/>
        </w:rPr>
      </w:pPr>
    </w:p>
    <w:p w14:paraId="022519B4">
      <w:pPr>
        <w:spacing w:line="600" w:lineRule="exact"/>
        <w:ind w:firstLine="640" w:firstLineChars="200"/>
        <w:rPr>
          <w:rFonts w:hint="eastAsia" w:ascii="仿宋" w:hAnsi="仿宋" w:eastAsia="仿宋"/>
          <w:color w:val="auto"/>
          <w:sz w:val="32"/>
          <w:szCs w:val="32"/>
        </w:rPr>
      </w:pPr>
    </w:p>
    <w:p w14:paraId="6C7F9F1B">
      <w:pPr>
        <w:spacing w:line="600" w:lineRule="exact"/>
        <w:ind w:firstLine="640" w:firstLineChars="200"/>
        <w:rPr>
          <w:rFonts w:hint="eastAsia" w:ascii="仿宋" w:hAnsi="仿宋" w:eastAsia="仿宋"/>
          <w:color w:val="auto"/>
          <w:sz w:val="32"/>
          <w:szCs w:val="32"/>
        </w:rPr>
      </w:pPr>
    </w:p>
    <w:p w14:paraId="2E935E6C">
      <w:pPr>
        <w:spacing w:line="600" w:lineRule="exact"/>
        <w:ind w:firstLine="640" w:firstLineChars="200"/>
        <w:rPr>
          <w:rFonts w:hint="eastAsia" w:ascii="仿宋" w:hAnsi="仿宋" w:eastAsia="仿宋"/>
          <w:color w:val="auto"/>
          <w:sz w:val="32"/>
          <w:szCs w:val="32"/>
        </w:rPr>
      </w:pPr>
    </w:p>
    <w:p w14:paraId="78D7515A">
      <w:pPr>
        <w:spacing w:line="600" w:lineRule="exact"/>
        <w:ind w:firstLine="640" w:firstLineChars="200"/>
        <w:rPr>
          <w:rFonts w:hint="eastAsia" w:ascii="仿宋" w:hAnsi="仿宋" w:eastAsia="仿宋"/>
          <w:color w:val="auto"/>
          <w:sz w:val="32"/>
          <w:szCs w:val="32"/>
        </w:rPr>
      </w:pPr>
    </w:p>
    <w:p w14:paraId="54E1B5A7">
      <w:pPr>
        <w:pStyle w:val="2"/>
        <w:numPr>
          <w:ilvl w:val="0"/>
          <w:numId w:val="0"/>
        </w:numPr>
        <w:bidi w:val="0"/>
        <w:jc w:val="both"/>
        <w:rPr>
          <w:rFonts w:hint="eastAsia"/>
          <w:color w:val="auto"/>
          <w:lang w:val="en-US" w:eastAsia="zh-CN"/>
        </w:rPr>
      </w:pPr>
    </w:p>
    <w:p w14:paraId="52C06DF5">
      <w:pPr>
        <w:pStyle w:val="2"/>
        <w:pageBreakBefore w:val="0"/>
        <w:widowControl w:val="0"/>
        <w:numPr>
          <w:ilvl w:val="0"/>
          <w:numId w:val="0"/>
        </w:numPr>
        <w:kinsoku/>
        <w:wordWrap/>
        <w:overflowPunct/>
        <w:topLinePunct w:val="0"/>
        <w:autoSpaceDE/>
        <w:autoSpaceDN/>
        <w:bidi w:val="0"/>
        <w:adjustRightInd/>
        <w:snapToGrid/>
        <w:spacing w:before="0" w:beforeLines="0" w:afterLines="0" w:line="360" w:lineRule="auto"/>
        <w:ind w:firstLine="0" w:firstLineChars="0"/>
        <w:jc w:val="center"/>
        <w:textAlignment w:val="auto"/>
        <w:rPr>
          <w:rFonts w:hint="eastAsia" w:ascii="方正小标宋简体" w:hAnsi="方正小标宋简体" w:eastAsia="方正小标宋简体" w:cs="方正小标宋简体"/>
          <w:b w:val="0"/>
          <w:bCs/>
          <w:color w:val="auto"/>
          <w:lang w:val="en-US" w:eastAsia="zh-CN"/>
        </w:rPr>
      </w:pPr>
    </w:p>
    <w:p w14:paraId="01F8021D">
      <w:pPr>
        <w:pStyle w:val="2"/>
        <w:pageBreakBefore w:val="0"/>
        <w:widowControl w:val="0"/>
        <w:numPr>
          <w:ilvl w:val="0"/>
          <w:numId w:val="0"/>
        </w:numPr>
        <w:kinsoku/>
        <w:wordWrap/>
        <w:overflowPunct/>
        <w:topLinePunct w:val="0"/>
        <w:autoSpaceDE/>
        <w:autoSpaceDN/>
        <w:bidi w:val="0"/>
        <w:adjustRightInd/>
        <w:snapToGrid/>
        <w:spacing w:before="0" w:beforeLines="0" w:afterLines="0" w:line="360" w:lineRule="auto"/>
        <w:ind w:firstLine="0" w:firstLineChars="0"/>
        <w:jc w:val="center"/>
        <w:textAlignment w:val="auto"/>
        <w:rPr>
          <w:rFonts w:hint="eastAsia" w:ascii="方正小标宋简体" w:hAnsi="方正小标宋简体" w:eastAsia="方正小标宋简体" w:cs="方正小标宋简体"/>
          <w:b w:val="0"/>
          <w:bCs/>
          <w:color w:val="auto"/>
          <w:lang w:val="en-US" w:eastAsia="zh-CN"/>
        </w:rPr>
      </w:pPr>
    </w:p>
    <w:p w14:paraId="056E9402">
      <w:pPr>
        <w:pStyle w:val="2"/>
        <w:pageBreakBefore w:val="0"/>
        <w:widowControl w:val="0"/>
        <w:numPr>
          <w:ilvl w:val="0"/>
          <w:numId w:val="0"/>
        </w:numPr>
        <w:kinsoku/>
        <w:wordWrap/>
        <w:overflowPunct/>
        <w:topLinePunct w:val="0"/>
        <w:autoSpaceDE/>
        <w:autoSpaceDN/>
        <w:bidi w:val="0"/>
        <w:adjustRightInd/>
        <w:snapToGrid/>
        <w:spacing w:before="0" w:beforeLines="0" w:afterLines="0" w:line="360" w:lineRule="auto"/>
        <w:ind w:firstLine="0" w:firstLineChars="0"/>
        <w:jc w:val="center"/>
        <w:textAlignment w:val="auto"/>
        <w:rPr>
          <w:rFonts w:hint="eastAsia" w:ascii="方正小标宋简体" w:hAnsi="方正小标宋简体" w:eastAsia="方正小标宋简体" w:cs="方正小标宋简体"/>
          <w:b w:val="0"/>
          <w:bCs/>
          <w:color w:val="auto"/>
          <w:lang w:val="en-US" w:eastAsia="zh-CN"/>
        </w:rPr>
      </w:pPr>
    </w:p>
    <w:p w14:paraId="5E25964C">
      <w:pPr>
        <w:pStyle w:val="2"/>
        <w:pageBreakBefore w:val="0"/>
        <w:widowControl w:val="0"/>
        <w:numPr>
          <w:ilvl w:val="0"/>
          <w:numId w:val="0"/>
        </w:numPr>
        <w:kinsoku/>
        <w:wordWrap/>
        <w:overflowPunct/>
        <w:topLinePunct w:val="0"/>
        <w:autoSpaceDE/>
        <w:autoSpaceDN/>
        <w:bidi w:val="0"/>
        <w:adjustRightInd/>
        <w:snapToGrid/>
        <w:spacing w:before="0" w:beforeLines="0" w:afterLines="0" w:line="360" w:lineRule="auto"/>
        <w:ind w:firstLine="0" w:firstLineChars="0"/>
        <w:jc w:val="center"/>
        <w:textAlignment w:val="auto"/>
        <w:rPr>
          <w:rFonts w:hint="eastAsia" w:ascii="方正小标宋简体" w:hAnsi="方正小标宋简体" w:eastAsia="方正小标宋简体" w:cs="方正小标宋简体"/>
          <w:b w:val="0"/>
          <w:bCs/>
          <w:color w:val="auto"/>
          <w:lang w:val="en-US" w:eastAsia="zh-CN"/>
        </w:rPr>
      </w:pPr>
    </w:p>
    <w:p w14:paraId="41C559EE">
      <w:pPr>
        <w:pStyle w:val="2"/>
        <w:pageBreakBefore w:val="0"/>
        <w:widowControl w:val="0"/>
        <w:numPr>
          <w:ilvl w:val="0"/>
          <w:numId w:val="0"/>
        </w:numPr>
        <w:kinsoku/>
        <w:wordWrap/>
        <w:overflowPunct/>
        <w:topLinePunct w:val="0"/>
        <w:autoSpaceDE/>
        <w:autoSpaceDN/>
        <w:bidi w:val="0"/>
        <w:adjustRightInd/>
        <w:snapToGrid/>
        <w:spacing w:before="0" w:beforeLines="0" w:afterLines="0" w:line="360" w:lineRule="auto"/>
        <w:ind w:firstLine="0" w:firstLineChars="0"/>
        <w:jc w:val="center"/>
        <w:textAlignment w:val="auto"/>
        <w:rPr>
          <w:rFonts w:hint="eastAsia" w:ascii="方正小标宋简体" w:hAnsi="方正小标宋简体" w:eastAsia="方正小标宋简体" w:cs="方正小标宋简体"/>
          <w:b w:val="0"/>
          <w:bCs/>
          <w:color w:val="auto"/>
          <w:lang w:val="en-US" w:eastAsia="zh-CN"/>
        </w:rPr>
      </w:pPr>
      <w:r>
        <w:rPr>
          <w:rFonts w:hint="eastAsia" w:ascii="方正小标宋简体" w:hAnsi="方正小标宋简体" w:eastAsia="方正小标宋简体" w:cs="方正小标宋简体"/>
          <w:b w:val="0"/>
          <w:bCs/>
          <w:color w:val="auto"/>
          <w:lang w:val="en-US" w:eastAsia="zh-CN"/>
        </w:rPr>
        <w:t>第二部分</w:t>
      </w:r>
    </w:p>
    <w:p w14:paraId="15CCB91B">
      <w:pPr>
        <w:pStyle w:val="2"/>
        <w:pageBreakBefore w:val="0"/>
        <w:widowControl w:val="0"/>
        <w:numPr>
          <w:ilvl w:val="0"/>
          <w:numId w:val="0"/>
        </w:numPr>
        <w:kinsoku/>
        <w:wordWrap/>
        <w:overflowPunct/>
        <w:topLinePunct w:val="0"/>
        <w:autoSpaceDE/>
        <w:autoSpaceDN/>
        <w:bidi w:val="0"/>
        <w:adjustRightInd/>
        <w:snapToGrid/>
        <w:spacing w:before="0" w:beforeLines="0" w:afterLines="0" w:line="360" w:lineRule="auto"/>
        <w:ind w:firstLine="0" w:firstLineChars="0"/>
        <w:jc w:val="center"/>
        <w:textAlignment w:val="auto"/>
        <w:rPr>
          <w:rFonts w:hint="eastAsia" w:ascii="方正小标宋简体" w:hAnsi="方正小标宋简体" w:eastAsia="方正小标宋简体" w:cs="方正小标宋简体"/>
          <w:b w:val="0"/>
          <w:bCs/>
          <w:color w:val="auto"/>
          <w:lang w:val="en-US" w:eastAsia="zh-CN"/>
        </w:rPr>
      </w:pPr>
      <w:r>
        <w:rPr>
          <w:rFonts w:hint="eastAsia" w:ascii="方正小标宋简体" w:hAnsi="方正小标宋简体" w:eastAsia="方正小标宋简体" w:cs="方正小标宋简体"/>
          <w:b w:val="0"/>
          <w:bCs/>
          <w:color w:val="auto"/>
          <w:lang w:val="en-US" w:eastAsia="zh-CN"/>
        </w:rPr>
        <w:t xml:space="preserve"> </w:t>
      </w:r>
      <w:r>
        <w:rPr>
          <w:rFonts w:hint="eastAsia" w:ascii="方正小标宋简体" w:hAnsi="方正小标宋简体" w:eastAsia="方正小标宋简体" w:cs="方正小标宋简体"/>
          <w:b w:val="0"/>
          <w:bCs/>
          <w:color w:val="auto"/>
          <w:spacing w:val="1"/>
          <w:w w:val="83"/>
          <w:kern w:val="0"/>
          <w:fitText w:val="6500" w:id="2064586868"/>
          <w:lang w:val="en-US" w:eastAsia="zh-CN"/>
        </w:rPr>
        <w:t>峨边彝族自治县黑竹沟镇中心小</w:t>
      </w:r>
      <w:r>
        <w:rPr>
          <w:rFonts w:hint="eastAsia" w:ascii="方正小标宋简体" w:hAnsi="方正小标宋简体" w:eastAsia="方正小标宋简体" w:cs="方正小标宋简体"/>
          <w:b w:val="0"/>
          <w:bCs/>
          <w:color w:val="auto"/>
          <w:spacing w:val="6"/>
          <w:w w:val="83"/>
          <w:kern w:val="0"/>
          <w:fitText w:val="6500" w:id="2064586868"/>
          <w:lang w:val="en-US" w:eastAsia="zh-CN"/>
        </w:rPr>
        <w:t>学</w:t>
      </w:r>
    </w:p>
    <w:p w14:paraId="3D2C1F88">
      <w:pPr>
        <w:pStyle w:val="3"/>
        <w:pageBreakBefore w:val="0"/>
        <w:widowControl w:val="0"/>
        <w:numPr>
          <w:ilvl w:val="1"/>
          <w:numId w:val="0"/>
        </w:numPr>
        <w:tabs>
          <w:tab w:val="clear" w:pos="1080"/>
          <w:tab w:val="clear" w:pos="2422"/>
        </w:tabs>
        <w:kinsoku/>
        <w:wordWrap/>
        <w:overflowPunct/>
        <w:topLinePunct w:val="0"/>
        <w:autoSpaceDE/>
        <w:autoSpaceDN/>
        <w:bidi w:val="0"/>
        <w:adjustRightInd/>
        <w:snapToGrid/>
        <w:spacing w:before="0" w:after="0" w:line="360" w:lineRule="auto"/>
        <w:ind w:firstLine="0" w:firstLineChars="0"/>
        <w:jc w:val="center"/>
        <w:textAlignment w:val="auto"/>
        <w:rPr>
          <w:rFonts w:hint="eastAsia" w:ascii="方正小标宋简体" w:hAnsi="方正小标宋简体" w:eastAsia="方正小标宋简体" w:cs="方正小标宋简体"/>
          <w:b w:val="0"/>
          <w:bCs/>
          <w:color w:val="auto"/>
          <w:sz w:val="52"/>
          <w:szCs w:val="52"/>
          <w:lang w:val="en-US" w:eastAsia="zh-CN"/>
        </w:rPr>
      </w:pPr>
      <w:r>
        <w:rPr>
          <w:rFonts w:hint="eastAsia" w:ascii="方正小标宋简体" w:hAnsi="方正小标宋简体" w:eastAsia="方正小标宋简体" w:cs="方正小标宋简体"/>
          <w:b w:val="0"/>
          <w:bCs/>
          <w:color w:val="auto"/>
          <w:sz w:val="52"/>
          <w:szCs w:val="52"/>
          <w:lang w:val="en-US" w:eastAsia="zh-CN"/>
        </w:rPr>
        <w:t>2025年单位预算表</w:t>
      </w:r>
    </w:p>
    <w:p w14:paraId="1CF3BD3F">
      <w:pPr>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仿宋" w:hAnsi="仿宋" w:eastAsia="仿宋" w:cs="Times New Roman"/>
          <w:color w:val="auto"/>
          <w:sz w:val="32"/>
          <w:szCs w:val="32"/>
          <w:lang w:val="en-US" w:eastAsia="zh-CN"/>
        </w:rPr>
      </w:pPr>
    </w:p>
    <w:p w14:paraId="4247DAB8">
      <w:pPr>
        <w:spacing w:line="600" w:lineRule="exact"/>
        <w:ind w:left="0" w:leftChars="0" w:firstLine="0" w:firstLineChars="0"/>
        <w:rPr>
          <w:rFonts w:hint="default" w:ascii="仿宋" w:hAnsi="仿宋" w:eastAsia="仿宋" w:cs="Times New Roman"/>
          <w:color w:val="auto"/>
          <w:sz w:val="32"/>
          <w:szCs w:val="32"/>
          <w:lang w:val="en-US" w:eastAsia="zh-CN"/>
        </w:rPr>
      </w:pPr>
    </w:p>
    <w:p w14:paraId="2252960F">
      <w:pPr>
        <w:spacing w:line="600" w:lineRule="exact"/>
        <w:rPr>
          <w:rFonts w:hint="default" w:ascii="仿宋" w:hAnsi="仿宋" w:eastAsia="仿宋" w:cs="Times New Roman"/>
          <w:color w:val="auto"/>
          <w:sz w:val="32"/>
          <w:szCs w:val="32"/>
          <w:lang w:val="en-US" w:eastAsia="zh-CN"/>
        </w:rPr>
      </w:pPr>
    </w:p>
    <w:p w14:paraId="20FF08DE">
      <w:pPr>
        <w:spacing w:line="600" w:lineRule="exact"/>
        <w:rPr>
          <w:rFonts w:hint="default" w:ascii="仿宋" w:hAnsi="仿宋" w:eastAsia="仿宋" w:cs="Times New Roman"/>
          <w:color w:val="auto"/>
          <w:sz w:val="32"/>
          <w:szCs w:val="32"/>
          <w:lang w:val="en-US" w:eastAsia="zh-CN"/>
        </w:rPr>
      </w:pPr>
    </w:p>
    <w:p w14:paraId="1067A2DA">
      <w:pPr>
        <w:spacing w:line="600" w:lineRule="exact"/>
        <w:ind w:left="0" w:leftChars="0" w:firstLine="0" w:firstLineChars="0"/>
        <w:rPr>
          <w:rFonts w:hint="eastAsia" w:ascii="仿宋_GB2312" w:hAnsi="仿宋_GB2312" w:eastAsia="仿宋_GB2312" w:cs="仿宋_GB2312"/>
          <w:color w:val="auto"/>
          <w:sz w:val="32"/>
          <w:szCs w:val="32"/>
          <w:lang w:val="en-US" w:eastAsia="zh-CN"/>
        </w:rPr>
      </w:pPr>
    </w:p>
    <w:p w14:paraId="56D58993">
      <w:pPr>
        <w:spacing w:line="600" w:lineRule="exact"/>
        <w:ind w:left="0" w:leftChars="0" w:firstLine="0" w:firstLineChars="0"/>
        <w:rPr>
          <w:rFonts w:hint="eastAsia" w:ascii="仿宋_GB2312" w:hAnsi="仿宋_GB2312" w:eastAsia="仿宋_GB2312" w:cs="仿宋_GB2312"/>
          <w:color w:val="auto"/>
          <w:w w:val="80"/>
          <w:sz w:val="32"/>
          <w:szCs w:val="32"/>
          <w:lang w:val="en-US" w:eastAsia="zh-CN"/>
        </w:rPr>
      </w:pPr>
      <w:r>
        <w:rPr>
          <w:rFonts w:hint="eastAsia" w:ascii="仿宋_GB2312" w:hAnsi="仿宋_GB2312" w:eastAsia="仿宋_GB2312" w:cs="仿宋_GB2312"/>
          <w:color w:val="auto"/>
          <w:sz w:val="32"/>
          <w:szCs w:val="32"/>
          <w:lang w:val="en-US" w:eastAsia="zh-CN"/>
        </w:rPr>
        <w:t>详见附件2：</w:t>
      </w:r>
      <w:r>
        <w:rPr>
          <w:rFonts w:hint="eastAsia" w:ascii="仿宋_GB2312" w:hAnsi="仿宋_GB2312" w:eastAsia="仿宋_GB2312" w:cs="仿宋_GB2312"/>
          <w:color w:val="auto"/>
          <w:w w:val="80"/>
          <w:sz w:val="32"/>
          <w:szCs w:val="32"/>
          <w:lang w:val="en-US" w:eastAsia="zh-CN"/>
        </w:rPr>
        <w:t xml:space="preserve">峨边彝族自治县黑竹沟镇中心小学2025年预算公开报表  </w:t>
      </w:r>
    </w:p>
    <w:p w14:paraId="100378CC">
      <w:pPr>
        <w:spacing w:line="600" w:lineRule="exact"/>
        <w:ind w:left="0" w:leftChars="0" w:firstLine="0" w:firstLineChars="0"/>
        <w:rPr>
          <w:rFonts w:hint="eastAsia" w:ascii="仿宋_GB2312" w:hAnsi="仿宋_GB2312" w:eastAsia="仿宋_GB2312" w:cs="仿宋_GB2312"/>
          <w:color w:val="auto"/>
          <w:sz w:val="32"/>
          <w:szCs w:val="32"/>
          <w:lang w:val="en-US" w:eastAsia="zh-CN"/>
        </w:rPr>
      </w:pPr>
    </w:p>
    <w:p w14:paraId="5D874A81">
      <w:pPr>
        <w:spacing w:line="600" w:lineRule="exact"/>
        <w:ind w:left="0" w:leftChars="0" w:firstLine="0" w:firstLineChars="0"/>
        <w:rPr>
          <w:rFonts w:hint="eastAsia" w:ascii="仿宋_GB2312" w:hAnsi="仿宋_GB2312" w:eastAsia="仿宋_GB2312" w:cs="仿宋_GB2312"/>
          <w:color w:val="auto"/>
          <w:sz w:val="32"/>
          <w:szCs w:val="32"/>
          <w:lang w:val="en-US" w:eastAsia="zh-CN"/>
        </w:rPr>
      </w:pPr>
    </w:p>
    <w:p w14:paraId="19842A83">
      <w:pPr>
        <w:spacing w:line="600" w:lineRule="exact"/>
        <w:ind w:left="0" w:leftChars="0" w:firstLine="0" w:firstLineChars="0"/>
        <w:rPr>
          <w:rFonts w:hint="eastAsia" w:ascii="仿宋_GB2312" w:hAnsi="仿宋_GB2312" w:eastAsia="仿宋_GB2312" w:cs="仿宋_GB2312"/>
          <w:color w:val="auto"/>
          <w:sz w:val="32"/>
          <w:szCs w:val="32"/>
          <w:lang w:val="en-US" w:eastAsia="zh-CN"/>
        </w:rPr>
      </w:pPr>
    </w:p>
    <w:p w14:paraId="51FC0A9F">
      <w:pPr>
        <w:spacing w:line="600" w:lineRule="exact"/>
        <w:ind w:left="0" w:leftChars="0" w:firstLine="0" w:firstLineChars="0"/>
        <w:rPr>
          <w:rFonts w:hint="eastAsia" w:ascii="仿宋_GB2312" w:hAnsi="仿宋_GB2312" w:eastAsia="仿宋_GB2312" w:cs="仿宋_GB2312"/>
          <w:color w:val="auto"/>
          <w:sz w:val="32"/>
          <w:szCs w:val="32"/>
          <w:lang w:val="en-US" w:eastAsia="zh-CN"/>
        </w:rPr>
      </w:pPr>
    </w:p>
    <w:p w14:paraId="75EDEE5D">
      <w:pPr>
        <w:numPr>
          <w:ilvl w:val="0"/>
          <w:numId w:val="0"/>
        </w:numPr>
        <w:spacing w:line="600" w:lineRule="exact"/>
        <w:rPr>
          <w:rFonts w:hint="eastAsia" w:ascii="仿宋" w:hAnsi="仿宋" w:eastAsia="仿宋" w:cs="Times New Roman"/>
          <w:color w:val="auto"/>
          <w:sz w:val="32"/>
          <w:szCs w:val="32"/>
          <w:lang w:val="en-US" w:eastAsia="zh-CN"/>
        </w:rPr>
      </w:pPr>
    </w:p>
    <w:p w14:paraId="48CE66C3">
      <w:pPr>
        <w:numPr>
          <w:ilvl w:val="0"/>
          <w:numId w:val="0"/>
        </w:numPr>
        <w:spacing w:line="600" w:lineRule="exact"/>
        <w:rPr>
          <w:rFonts w:hint="eastAsia" w:ascii="仿宋" w:hAnsi="仿宋" w:eastAsia="仿宋" w:cs="Times New Roman"/>
          <w:color w:val="auto"/>
          <w:sz w:val="32"/>
          <w:szCs w:val="32"/>
          <w:lang w:val="en-US" w:eastAsia="zh-CN"/>
        </w:rPr>
      </w:pPr>
    </w:p>
    <w:p w14:paraId="1E418BC2">
      <w:pPr>
        <w:numPr>
          <w:ilvl w:val="0"/>
          <w:numId w:val="0"/>
        </w:numPr>
        <w:ind w:leftChars="0"/>
        <w:jc w:val="both"/>
        <w:rPr>
          <w:rFonts w:hint="eastAsia"/>
          <w:b/>
          <w:bCs/>
          <w:color w:val="auto"/>
          <w:sz w:val="52"/>
          <w:szCs w:val="52"/>
          <w:lang w:val="en-US" w:eastAsia="zh-CN"/>
        </w:rPr>
      </w:pPr>
    </w:p>
    <w:p w14:paraId="19D15229">
      <w:pPr>
        <w:pStyle w:val="2"/>
        <w:keepNext/>
        <w:keepLines/>
        <w:pageBreakBefore w:val="0"/>
        <w:widowControl w:val="0"/>
        <w:numPr>
          <w:ilvl w:val="0"/>
          <w:numId w:val="0"/>
        </w:numPr>
        <w:kinsoku/>
        <w:wordWrap/>
        <w:overflowPunct/>
        <w:topLinePunct w:val="0"/>
        <w:autoSpaceDE/>
        <w:autoSpaceDN/>
        <w:bidi w:val="0"/>
        <w:adjustRightInd/>
        <w:snapToGrid/>
        <w:spacing w:before="0" w:beforeLines="0" w:afterLines="0" w:line="360" w:lineRule="auto"/>
        <w:jc w:val="center"/>
        <w:textAlignment w:val="auto"/>
        <w:rPr>
          <w:rFonts w:hint="eastAsia" w:ascii="方正小标宋简体" w:hAnsi="方正小标宋简体" w:eastAsia="方正小标宋简体" w:cs="方正小标宋简体"/>
          <w:b w:val="0"/>
          <w:bCs/>
          <w:color w:val="auto"/>
          <w:lang w:val="en-US" w:eastAsia="zh-CN"/>
        </w:rPr>
      </w:pPr>
      <w:r>
        <w:rPr>
          <w:rFonts w:hint="eastAsia" w:ascii="方正小标宋简体" w:hAnsi="方正小标宋简体" w:eastAsia="方正小标宋简体" w:cs="方正小标宋简体"/>
          <w:b w:val="0"/>
          <w:bCs/>
          <w:color w:val="auto"/>
          <w:lang w:val="en-US" w:eastAsia="zh-CN"/>
        </w:rPr>
        <w:t>第三部分</w:t>
      </w:r>
    </w:p>
    <w:p w14:paraId="7477922A">
      <w:pPr>
        <w:pStyle w:val="2"/>
        <w:keepNext/>
        <w:keepLines/>
        <w:pageBreakBefore w:val="0"/>
        <w:widowControl w:val="0"/>
        <w:numPr>
          <w:ilvl w:val="0"/>
          <w:numId w:val="0"/>
        </w:numPr>
        <w:kinsoku/>
        <w:wordWrap/>
        <w:overflowPunct/>
        <w:topLinePunct w:val="0"/>
        <w:autoSpaceDE/>
        <w:autoSpaceDN/>
        <w:bidi w:val="0"/>
        <w:adjustRightInd/>
        <w:snapToGrid/>
        <w:spacing w:before="0" w:beforeLines="0" w:afterLines="0" w:line="360" w:lineRule="auto"/>
        <w:jc w:val="center"/>
        <w:textAlignment w:val="auto"/>
        <w:rPr>
          <w:rFonts w:hint="eastAsia" w:ascii="方正小标宋简体" w:hAnsi="方正小标宋简体" w:eastAsia="方正小标宋简体" w:cs="方正小标宋简体"/>
          <w:b w:val="0"/>
          <w:bCs/>
          <w:color w:val="auto"/>
          <w:lang w:val="en-US" w:eastAsia="zh-CN"/>
        </w:rPr>
      </w:pPr>
      <w:r>
        <w:rPr>
          <w:rFonts w:hint="eastAsia" w:ascii="方正小标宋简体" w:hAnsi="方正小标宋简体" w:eastAsia="方正小标宋简体" w:cs="方正小标宋简体"/>
          <w:b w:val="0"/>
          <w:bCs/>
          <w:color w:val="auto"/>
          <w:lang w:val="en-US" w:eastAsia="zh-CN"/>
        </w:rPr>
        <w:t xml:space="preserve"> </w:t>
      </w:r>
      <w:r>
        <w:rPr>
          <w:rFonts w:hint="eastAsia" w:ascii="方正小标宋简体" w:hAnsi="方正小标宋简体" w:eastAsia="方正小标宋简体" w:cs="方正小标宋简体"/>
          <w:b w:val="0"/>
          <w:bCs/>
          <w:color w:val="auto"/>
          <w:spacing w:val="1"/>
          <w:w w:val="83"/>
          <w:kern w:val="0"/>
          <w:fitText w:val="6500" w:id="1355295811"/>
          <w:lang w:val="en-US" w:eastAsia="zh-CN"/>
        </w:rPr>
        <w:t>峨边彝族自治县黑竹沟镇中心小</w:t>
      </w:r>
      <w:r>
        <w:rPr>
          <w:rFonts w:hint="eastAsia" w:ascii="方正小标宋简体" w:hAnsi="方正小标宋简体" w:eastAsia="方正小标宋简体" w:cs="方正小标宋简体"/>
          <w:b w:val="0"/>
          <w:bCs/>
          <w:color w:val="auto"/>
          <w:spacing w:val="6"/>
          <w:w w:val="83"/>
          <w:kern w:val="0"/>
          <w:fitText w:val="6500" w:id="1355295811"/>
          <w:lang w:val="en-US" w:eastAsia="zh-CN"/>
        </w:rPr>
        <w:t>学</w:t>
      </w:r>
    </w:p>
    <w:p w14:paraId="3CDCB980">
      <w:pPr>
        <w:pStyle w:val="3"/>
        <w:keepNext/>
        <w:keepLines/>
        <w:pageBreakBefore w:val="0"/>
        <w:widowControl w:val="0"/>
        <w:numPr>
          <w:ilvl w:val="1"/>
          <w:numId w:val="0"/>
        </w:numPr>
        <w:tabs>
          <w:tab w:val="clear" w:pos="1080"/>
          <w:tab w:val="clear" w:pos="2422"/>
        </w:tabs>
        <w:kinsoku/>
        <w:wordWrap/>
        <w:overflowPunct/>
        <w:topLinePunct w:val="0"/>
        <w:autoSpaceDE/>
        <w:autoSpaceDN/>
        <w:bidi w:val="0"/>
        <w:adjustRightInd/>
        <w:snapToGrid/>
        <w:spacing w:before="0" w:after="0" w:line="360" w:lineRule="auto"/>
        <w:jc w:val="center"/>
        <w:textAlignment w:val="auto"/>
        <w:rPr>
          <w:rFonts w:hint="eastAsia" w:ascii="方正小标宋简体" w:hAnsi="方正小标宋简体" w:eastAsia="方正小标宋简体" w:cs="方正小标宋简体"/>
          <w:b w:val="0"/>
          <w:bCs/>
          <w:color w:val="auto"/>
          <w:sz w:val="52"/>
          <w:szCs w:val="52"/>
          <w:lang w:val="en-US" w:eastAsia="zh-CN"/>
        </w:rPr>
      </w:pPr>
      <w:r>
        <w:rPr>
          <w:rFonts w:hint="eastAsia" w:ascii="方正小标宋简体" w:hAnsi="方正小标宋简体" w:eastAsia="方正小标宋简体" w:cs="方正小标宋简体"/>
          <w:b w:val="0"/>
          <w:bCs/>
          <w:color w:val="auto"/>
          <w:sz w:val="52"/>
          <w:szCs w:val="52"/>
          <w:lang w:val="en-US" w:eastAsia="zh-CN"/>
        </w:rPr>
        <w:t>2025年单位预算情况说明</w:t>
      </w:r>
    </w:p>
    <w:p w14:paraId="7D3D9141">
      <w:pPr>
        <w:numPr>
          <w:ilvl w:val="0"/>
          <w:numId w:val="0"/>
        </w:numPr>
        <w:jc w:val="center"/>
        <w:rPr>
          <w:rFonts w:hint="default"/>
          <w:b/>
          <w:bCs/>
          <w:color w:val="auto"/>
          <w:sz w:val="52"/>
          <w:szCs w:val="52"/>
          <w:lang w:val="en-US" w:eastAsia="zh-CN"/>
        </w:rPr>
      </w:pPr>
    </w:p>
    <w:p w14:paraId="4738210B">
      <w:pPr>
        <w:numPr>
          <w:ilvl w:val="0"/>
          <w:numId w:val="0"/>
        </w:numPr>
        <w:jc w:val="center"/>
        <w:rPr>
          <w:rFonts w:hint="default"/>
          <w:b/>
          <w:bCs/>
          <w:color w:val="auto"/>
          <w:sz w:val="52"/>
          <w:szCs w:val="52"/>
          <w:lang w:val="en-US" w:eastAsia="zh-CN"/>
        </w:rPr>
      </w:pPr>
    </w:p>
    <w:p w14:paraId="4EC7B2A0">
      <w:pPr>
        <w:numPr>
          <w:ilvl w:val="0"/>
          <w:numId w:val="0"/>
        </w:numPr>
        <w:jc w:val="center"/>
        <w:rPr>
          <w:rFonts w:hint="default"/>
          <w:b/>
          <w:bCs/>
          <w:color w:val="auto"/>
          <w:sz w:val="52"/>
          <w:szCs w:val="52"/>
          <w:lang w:val="en-US" w:eastAsia="zh-CN"/>
        </w:rPr>
      </w:pPr>
    </w:p>
    <w:p w14:paraId="56141D0E">
      <w:pPr>
        <w:numPr>
          <w:ilvl w:val="0"/>
          <w:numId w:val="0"/>
        </w:numPr>
        <w:jc w:val="center"/>
        <w:rPr>
          <w:rFonts w:hint="default"/>
          <w:b/>
          <w:bCs/>
          <w:color w:val="auto"/>
          <w:sz w:val="52"/>
          <w:szCs w:val="52"/>
          <w:lang w:val="en-US" w:eastAsia="zh-CN"/>
        </w:rPr>
      </w:pPr>
    </w:p>
    <w:p w14:paraId="47DE054E">
      <w:pPr>
        <w:numPr>
          <w:ilvl w:val="0"/>
          <w:numId w:val="0"/>
        </w:numPr>
        <w:jc w:val="center"/>
        <w:rPr>
          <w:rFonts w:hint="default"/>
          <w:b/>
          <w:bCs/>
          <w:color w:val="auto"/>
          <w:sz w:val="52"/>
          <w:szCs w:val="52"/>
          <w:lang w:val="en-US" w:eastAsia="zh-CN"/>
        </w:rPr>
      </w:pPr>
    </w:p>
    <w:p w14:paraId="51F9E907">
      <w:pPr>
        <w:numPr>
          <w:ilvl w:val="0"/>
          <w:numId w:val="0"/>
        </w:numPr>
        <w:jc w:val="center"/>
        <w:rPr>
          <w:rFonts w:hint="default"/>
          <w:b/>
          <w:bCs/>
          <w:color w:val="auto"/>
          <w:sz w:val="52"/>
          <w:szCs w:val="52"/>
          <w:lang w:val="en-US" w:eastAsia="zh-CN"/>
        </w:rPr>
      </w:pPr>
    </w:p>
    <w:p w14:paraId="2732D08B">
      <w:pPr>
        <w:numPr>
          <w:ilvl w:val="0"/>
          <w:numId w:val="0"/>
        </w:numPr>
        <w:jc w:val="center"/>
        <w:rPr>
          <w:rFonts w:hint="default"/>
          <w:b/>
          <w:bCs/>
          <w:color w:val="auto"/>
          <w:sz w:val="52"/>
          <w:szCs w:val="52"/>
          <w:lang w:val="en-US" w:eastAsia="zh-CN"/>
        </w:rPr>
      </w:pPr>
    </w:p>
    <w:p w14:paraId="69DF4D67">
      <w:pPr>
        <w:pStyle w:val="4"/>
        <w:bidi w:val="0"/>
        <w:rPr>
          <w:rFonts w:hint="eastAsia" w:ascii="黑体" w:hAnsi="黑体" w:eastAsia="黑体" w:cs="黑体"/>
          <w:b w:val="0"/>
          <w:bCs/>
          <w:color w:val="auto"/>
          <w:lang w:val="en-US" w:eastAsia="zh-CN"/>
        </w:rPr>
      </w:pPr>
      <w:r>
        <w:rPr>
          <w:rFonts w:hint="eastAsia" w:ascii="黑体" w:hAnsi="黑体" w:eastAsia="黑体" w:cs="黑体"/>
          <w:b w:val="0"/>
          <w:bCs/>
          <w:color w:val="auto"/>
          <w:lang w:val="en-US" w:eastAsia="zh-CN"/>
        </w:rPr>
        <w:t>一、收支预算情况说明</w:t>
      </w:r>
    </w:p>
    <w:p w14:paraId="0B7BDD6F">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按照综合预算的原则，</w:t>
      </w:r>
      <w:r>
        <w:rPr>
          <w:rFonts w:hint="eastAsia" w:ascii="Times New Roman" w:hAnsi="Times New Roman" w:eastAsia="仿宋_GB2312" w:cs="仿宋_GB2312"/>
          <w:color w:val="auto"/>
          <w:sz w:val="32"/>
          <w:szCs w:val="32"/>
          <w:lang w:eastAsia="zh-CN"/>
        </w:rPr>
        <w:t>黑竹沟镇中心小学</w:t>
      </w:r>
      <w:r>
        <w:rPr>
          <w:rFonts w:hint="eastAsia" w:ascii="Times New Roman" w:hAnsi="Times New Roman" w:eastAsia="仿宋_GB2312" w:cs="仿宋_GB2312"/>
          <w:color w:val="auto"/>
          <w:sz w:val="32"/>
          <w:szCs w:val="32"/>
          <w:lang w:val="en-US" w:eastAsia="zh-CN"/>
        </w:rPr>
        <w:t>所有收入和支出均纳入单位预算管理。收入包括：一般公共预算拨款收入；支出包括：教育支出、社会保障和就业支出、卫生健康支出、住房保障支出。</w:t>
      </w:r>
    </w:p>
    <w:p w14:paraId="0110CC5A">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sz w:val="32"/>
          <w:szCs w:val="32"/>
          <w:lang w:eastAsia="zh-CN"/>
        </w:rPr>
        <w:t>黑竹沟镇中心小学</w:t>
      </w:r>
      <w:r>
        <w:rPr>
          <w:rFonts w:hint="eastAsia" w:ascii="Times New Roman" w:hAnsi="Times New Roman" w:eastAsia="仿宋_GB2312" w:cs="仿宋_GB2312"/>
          <w:color w:val="auto"/>
          <w:kern w:val="0"/>
          <w:sz w:val="32"/>
          <w:szCs w:val="32"/>
        </w:rPr>
        <w:t>202</w:t>
      </w:r>
      <w:r>
        <w:rPr>
          <w:rFonts w:hint="eastAsia" w:ascii="Times New Roman" w:hAnsi="Times New Roman" w:eastAsia="仿宋_GB2312" w:cs="仿宋_GB2312"/>
          <w:color w:val="auto"/>
          <w:kern w:val="0"/>
          <w:sz w:val="32"/>
          <w:szCs w:val="32"/>
          <w:lang w:val="en-US" w:eastAsia="zh-CN"/>
        </w:rPr>
        <w:t>5</w:t>
      </w:r>
      <w:r>
        <w:rPr>
          <w:rFonts w:hint="eastAsia" w:ascii="Times New Roman" w:hAnsi="Times New Roman" w:eastAsia="仿宋_GB2312" w:cs="仿宋_GB2312"/>
          <w:color w:val="auto"/>
          <w:kern w:val="0"/>
          <w:sz w:val="32"/>
          <w:szCs w:val="32"/>
        </w:rPr>
        <w:t>年收支总预算</w:t>
      </w:r>
      <w:r>
        <w:rPr>
          <w:rFonts w:hint="eastAsia" w:ascii="Times New Roman" w:hAnsi="Times New Roman" w:eastAsia="仿宋_GB2312" w:cs="仿宋_GB2312"/>
          <w:color w:val="auto"/>
          <w:kern w:val="0"/>
          <w:sz w:val="32"/>
          <w:szCs w:val="32"/>
          <w:lang w:eastAsia="zh-CN"/>
        </w:rPr>
        <w:t>376.08</w:t>
      </w:r>
      <w:r>
        <w:rPr>
          <w:rFonts w:hint="eastAsia" w:ascii="Times New Roman" w:hAnsi="Times New Roman" w:eastAsia="仿宋_GB2312" w:cs="仿宋_GB2312"/>
          <w:color w:val="auto"/>
          <w:kern w:val="0"/>
          <w:sz w:val="32"/>
          <w:szCs w:val="32"/>
        </w:rPr>
        <w:t>万元，比</w:t>
      </w:r>
      <w:r>
        <w:rPr>
          <w:rFonts w:hint="eastAsia" w:ascii="Times New Roman" w:hAnsi="Times New Roman" w:eastAsia="仿宋_GB2312" w:cs="仿宋_GB2312"/>
          <w:color w:val="auto"/>
          <w:kern w:val="0"/>
          <w:sz w:val="32"/>
          <w:szCs w:val="32"/>
          <w:lang w:eastAsia="zh-CN"/>
        </w:rPr>
        <w:t>2024</w:t>
      </w:r>
      <w:r>
        <w:rPr>
          <w:rFonts w:hint="eastAsia" w:ascii="Times New Roman" w:hAnsi="Times New Roman" w:eastAsia="仿宋_GB2312" w:cs="仿宋_GB2312"/>
          <w:color w:val="auto"/>
          <w:kern w:val="0"/>
          <w:sz w:val="32"/>
          <w:szCs w:val="32"/>
        </w:rPr>
        <w:t>年收支预算总数减少</w:t>
      </w:r>
      <w:r>
        <w:rPr>
          <w:rFonts w:hint="eastAsia" w:ascii="Times New Roman" w:hAnsi="Times New Roman" w:eastAsia="仿宋_GB2312" w:cs="仿宋_GB2312"/>
          <w:color w:val="auto"/>
          <w:kern w:val="0"/>
          <w:sz w:val="32"/>
          <w:szCs w:val="32"/>
          <w:lang w:val="en-US" w:eastAsia="zh-CN"/>
        </w:rPr>
        <w:t>52.82</w:t>
      </w:r>
      <w:r>
        <w:rPr>
          <w:rFonts w:hint="eastAsia" w:ascii="Times New Roman" w:hAnsi="Times New Roman" w:eastAsia="仿宋_GB2312" w:cs="仿宋_GB2312"/>
          <w:color w:val="auto"/>
          <w:kern w:val="0"/>
          <w:sz w:val="32"/>
          <w:szCs w:val="32"/>
        </w:rPr>
        <w:t>万元，主要</w:t>
      </w:r>
      <w:r>
        <w:rPr>
          <w:rFonts w:hint="eastAsia" w:ascii="Times New Roman" w:hAnsi="Times New Roman" w:eastAsia="仿宋_GB2312" w:cs="仿宋_GB2312"/>
          <w:color w:val="auto"/>
          <w:kern w:val="0"/>
          <w:sz w:val="32"/>
          <w:szCs w:val="32"/>
          <w:lang w:eastAsia="zh-CN"/>
        </w:rPr>
        <w:t>原因是：</w:t>
      </w:r>
      <w:r>
        <w:rPr>
          <w:rFonts w:hint="eastAsia" w:ascii="仿宋" w:hAnsi="仿宋" w:eastAsia="仿宋" w:cs="宋体"/>
          <w:color w:val="auto"/>
          <w:kern w:val="0"/>
          <w:sz w:val="32"/>
          <w:szCs w:val="32"/>
        </w:rPr>
        <w:t>人员经费预算</w:t>
      </w:r>
      <w:r>
        <w:rPr>
          <w:rFonts w:hint="eastAsia" w:ascii="仿宋" w:hAnsi="仿宋" w:cs="宋体"/>
          <w:color w:val="auto"/>
          <w:kern w:val="0"/>
          <w:sz w:val="32"/>
          <w:szCs w:val="32"/>
          <w:lang w:val="en-US" w:eastAsia="zh-CN"/>
        </w:rPr>
        <w:t>减少</w:t>
      </w:r>
      <w:r>
        <w:rPr>
          <w:rFonts w:hint="eastAsia" w:ascii="Times New Roman" w:hAnsi="Times New Roman" w:eastAsia="仿宋_GB2312" w:cs="仿宋_GB2312"/>
          <w:color w:val="auto"/>
          <w:kern w:val="0"/>
          <w:sz w:val="32"/>
          <w:szCs w:val="32"/>
        </w:rPr>
        <w:t>。</w:t>
      </w:r>
    </w:p>
    <w:p w14:paraId="65A0F0F6">
      <w:pPr>
        <w:suppressAutoHyphens/>
        <w:spacing w:line="580" w:lineRule="exact"/>
        <w:ind w:firstLine="640" w:firstLineChars="200"/>
        <w:jc w:val="both"/>
        <w:outlineLvl w:val="2"/>
        <w:rPr>
          <w:rFonts w:hint="eastAsia" w:ascii="Times New Roman" w:hAnsi="Times New Roman" w:eastAsia="楷体_GB2312" w:cs="Times New Roman"/>
          <w:b w:val="0"/>
          <w:bCs/>
          <w:color w:val="auto"/>
          <w:sz w:val="32"/>
          <w:szCs w:val="32"/>
        </w:rPr>
      </w:pPr>
      <w:r>
        <w:rPr>
          <w:rFonts w:hint="eastAsia" w:ascii="Times New Roman" w:hAnsi="Times New Roman" w:eastAsia="楷体_GB2312" w:cs="Times New Roman"/>
          <w:b w:val="0"/>
          <w:bCs/>
          <w:color w:val="auto"/>
          <w:sz w:val="32"/>
          <w:szCs w:val="32"/>
        </w:rPr>
        <w:t>（一）收入预算情况</w:t>
      </w:r>
    </w:p>
    <w:p w14:paraId="613BB53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lang w:eastAsia="zh-CN"/>
        </w:rPr>
        <w:t>黑竹沟镇中心小学2025</w:t>
      </w:r>
      <w:r>
        <w:rPr>
          <w:rFonts w:hint="eastAsia" w:ascii="Times New Roman" w:hAnsi="Times New Roman" w:eastAsia="仿宋_GB2312" w:cs="仿宋_GB2312"/>
          <w:color w:val="auto"/>
          <w:kern w:val="0"/>
          <w:sz w:val="32"/>
          <w:szCs w:val="32"/>
        </w:rPr>
        <w:t>年收入预算</w:t>
      </w:r>
      <w:r>
        <w:rPr>
          <w:rFonts w:hint="eastAsia" w:ascii="Times New Roman" w:hAnsi="Times New Roman" w:eastAsia="仿宋_GB2312" w:cs="仿宋_GB2312"/>
          <w:color w:val="auto"/>
          <w:kern w:val="0"/>
          <w:sz w:val="32"/>
          <w:szCs w:val="32"/>
          <w:lang w:eastAsia="zh-CN"/>
        </w:rPr>
        <w:t>376.08</w:t>
      </w:r>
      <w:r>
        <w:rPr>
          <w:rFonts w:hint="eastAsia" w:ascii="Times New Roman" w:hAnsi="Times New Roman" w:eastAsia="仿宋_GB2312" w:cs="仿宋_GB2312"/>
          <w:color w:val="auto"/>
          <w:kern w:val="0"/>
          <w:sz w:val="32"/>
          <w:szCs w:val="32"/>
        </w:rPr>
        <w:t>万元，其中：上年结转</w:t>
      </w:r>
      <w:r>
        <w:rPr>
          <w:rFonts w:hint="eastAsia" w:ascii="Times New Roman" w:hAnsi="Times New Roman" w:eastAsia="仿宋_GB2312" w:cs="仿宋_GB2312"/>
          <w:color w:val="auto"/>
          <w:kern w:val="0"/>
          <w:sz w:val="32"/>
          <w:szCs w:val="32"/>
          <w:lang w:val="en-US" w:eastAsia="zh-CN"/>
        </w:rPr>
        <w:t>2.11</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0.56</w:t>
      </w:r>
      <w:r>
        <w:rPr>
          <w:rFonts w:hint="eastAsia" w:ascii="Times New Roman" w:hAnsi="Times New Roman" w:eastAsia="仿宋_GB2312" w:cs="仿宋_GB2312"/>
          <w:color w:val="auto"/>
          <w:kern w:val="0"/>
          <w:sz w:val="32"/>
          <w:szCs w:val="32"/>
        </w:rPr>
        <w:t>%；一般公共预算拨款收入</w:t>
      </w:r>
      <w:r>
        <w:rPr>
          <w:rFonts w:hint="eastAsia" w:ascii="Times New Roman" w:hAnsi="Times New Roman" w:eastAsia="仿宋_GB2312" w:cs="仿宋_GB2312"/>
          <w:color w:val="auto"/>
          <w:kern w:val="0"/>
          <w:sz w:val="32"/>
          <w:szCs w:val="32"/>
          <w:lang w:eastAsia="zh-CN"/>
        </w:rPr>
        <w:t>373.97</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99.44</w:t>
      </w:r>
      <w:r>
        <w:rPr>
          <w:rFonts w:hint="eastAsia" w:ascii="Times New Roman" w:hAnsi="Times New Roman" w:eastAsia="仿宋_GB2312" w:cs="仿宋_GB2312"/>
          <w:color w:val="auto"/>
          <w:kern w:val="0"/>
          <w:sz w:val="32"/>
          <w:szCs w:val="32"/>
        </w:rPr>
        <w:t>%；政府性基金预算拨款收入</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%；事业收入</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w:t>
      </w:r>
    </w:p>
    <w:p w14:paraId="4671320B">
      <w:pPr>
        <w:suppressAutoHyphens/>
        <w:spacing w:line="580" w:lineRule="exact"/>
        <w:ind w:firstLine="640" w:firstLineChars="200"/>
        <w:jc w:val="both"/>
        <w:outlineLvl w:val="2"/>
        <w:rPr>
          <w:rFonts w:hint="default" w:ascii="Times New Roman" w:hAnsi="Times New Roman" w:eastAsia="楷体_GB2312" w:cs="Times New Roman"/>
          <w:b w:val="0"/>
          <w:bCs/>
          <w:color w:val="auto"/>
          <w:sz w:val="32"/>
          <w:szCs w:val="32"/>
          <w:u w:val="none"/>
          <w:lang w:val="en-US" w:eastAsia="zh-CN"/>
        </w:rPr>
      </w:pPr>
      <w:r>
        <w:rPr>
          <w:rFonts w:hint="eastAsia" w:ascii="Times New Roman" w:hAnsi="Times New Roman" w:eastAsia="楷体_GB2312" w:cs="Times New Roman"/>
          <w:b w:val="0"/>
          <w:bCs/>
          <w:color w:val="auto"/>
          <w:sz w:val="32"/>
          <w:szCs w:val="32"/>
        </w:rPr>
        <w:t>（二）支出预算情况</w:t>
      </w:r>
    </w:p>
    <w:p w14:paraId="21301A9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color w:val="auto"/>
          <w:kern w:val="0"/>
          <w:sz w:val="32"/>
          <w:szCs w:val="32"/>
          <w:u w:val="none"/>
        </w:rPr>
      </w:pPr>
      <w:r>
        <w:rPr>
          <w:rFonts w:hint="eastAsia" w:ascii="Times New Roman" w:hAnsi="Times New Roman" w:eastAsia="仿宋_GB2312" w:cs="仿宋_GB2312"/>
          <w:color w:val="auto"/>
          <w:kern w:val="0"/>
          <w:sz w:val="32"/>
          <w:szCs w:val="32"/>
          <w:u w:val="none"/>
          <w:lang w:eastAsia="zh-CN"/>
        </w:rPr>
        <w:t>黑竹沟镇中心小学2025</w:t>
      </w:r>
      <w:r>
        <w:rPr>
          <w:rFonts w:hint="eastAsia" w:ascii="Times New Roman" w:hAnsi="Times New Roman" w:eastAsia="仿宋_GB2312" w:cs="仿宋_GB2312"/>
          <w:color w:val="auto"/>
          <w:kern w:val="0"/>
          <w:sz w:val="32"/>
          <w:szCs w:val="32"/>
          <w:u w:val="none"/>
        </w:rPr>
        <w:t>年支出预算</w:t>
      </w:r>
      <w:r>
        <w:rPr>
          <w:rFonts w:hint="eastAsia" w:ascii="Times New Roman" w:hAnsi="Times New Roman" w:eastAsia="仿宋_GB2312" w:cs="仿宋_GB2312"/>
          <w:color w:val="auto"/>
          <w:kern w:val="0"/>
          <w:sz w:val="32"/>
          <w:szCs w:val="32"/>
          <w:u w:val="none"/>
          <w:lang w:eastAsia="zh-CN"/>
        </w:rPr>
        <w:t>376.08</w:t>
      </w:r>
      <w:r>
        <w:rPr>
          <w:rFonts w:hint="eastAsia" w:ascii="Times New Roman" w:hAnsi="Times New Roman" w:eastAsia="仿宋_GB2312" w:cs="仿宋_GB2312"/>
          <w:color w:val="auto"/>
          <w:kern w:val="0"/>
          <w:sz w:val="32"/>
          <w:szCs w:val="32"/>
          <w:u w:val="none"/>
        </w:rPr>
        <w:t>万元，其中：基本支出</w:t>
      </w:r>
      <w:r>
        <w:rPr>
          <w:rFonts w:hint="eastAsia" w:ascii="Times New Roman" w:hAnsi="Times New Roman" w:eastAsia="仿宋_GB2312" w:cs="仿宋_GB2312"/>
          <w:color w:val="auto"/>
          <w:kern w:val="0"/>
          <w:sz w:val="32"/>
          <w:szCs w:val="32"/>
          <w:u w:val="none"/>
          <w:lang w:eastAsia="zh-CN"/>
        </w:rPr>
        <w:t>373.97</w:t>
      </w:r>
      <w:r>
        <w:rPr>
          <w:rFonts w:hint="eastAsia" w:ascii="Times New Roman" w:hAnsi="Times New Roman" w:eastAsia="仿宋_GB2312" w:cs="仿宋_GB2312"/>
          <w:color w:val="auto"/>
          <w:kern w:val="0"/>
          <w:sz w:val="32"/>
          <w:szCs w:val="32"/>
          <w:u w:val="none"/>
        </w:rPr>
        <w:t>，占</w:t>
      </w:r>
      <w:r>
        <w:rPr>
          <w:rFonts w:hint="eastAsia" w:ascii="Times New Roman" w:hAnsi="Times New Roman" w:eastAsia="仿宋_GB2312" w:cs="仿宋_GB2312"/>
          <w:color w:val="auto"/>
          <w:kern w:val="0"/>
          <w:sz w:val="32"/>
          <w:szCs w:val="32"/>
          <w:u w:val="none"/>
          <w:lang w:val="en-US" w:eastAsia="zh-CN"/>
        </w:rPr>
        <w:t>99.44</w:t>
      </w:r>
      <w:r>
        <w:rPr>
          <w:rFonts w:hint="eastAsia" w:ascii="Times New Roman" w:hAnsi="Times New Roman" w:eastAsia="仿宋_GB2312" w:cs="仿宋_GB2312"/>
          <w:color w:val="auto"/>
          <w:kern w:val="0"/>
          <w:sz w:val="32"/>
          <w:szCs w:val="32"/>
          <w:u w:val="none"/>
        </w:rPr>
        <w:t>%；项目支出</w:t>
      </w:r>
      <w:r>
        <w:rPr>
          <w:rFonts w:hint="eastAsia" w:ascii="Times New Roman" w:hAnsi="Times New Roman" w:eastAsia="仿宋_GB2312" w:cs="仿宋_GB2312"/>
          <w:color w:val="auto"/>
          <w:kern w:val="0"/>
          <w:sz w:val="32"/>
          <w:szCs w:val="32"/>
          <w:u w:val="none"/>
          <w:lang w:val="en-US" w:eastAsia="zh-CN"/>
        </w:rPr>
        <w:t>2.11</w:t>
      </w:r>
      <w:r>
        <w:rPr>
          <w:rFonts w:hint="eastAsia" w:ascii="Times New Roman" w:hAnsi="Times New Roman" w:eastAsia="仿宋_GB2312" w:cs="仿宋_GB2312"/>
          <w:color w:val="auto"/>
          <w:kern w:val="0"/>
          <w:sz w:val="32"/>
          <w:szCs w:val="32"/>
          <w:u w:val="none"/>
        </w:rPr>
        <w:t>万元，占</w:t>
      </w:r>
      <w:r>
        <w:rPr>
          <w:rFonts w:hint="eastAsia" w:ascii="Times New Roman" w:hAnsi="Times New Roman" w:eastAsia="仿宋_GB2312" w:cs="仿宋_GB2312"/>
          <w:color w:val="auto"/>
          <w:kern w:val="0"/>
          <w:sz w:val="32"/>
          <w:szCs w:val="32"/>
          <w:u w:val="none"/>
          <w:lang w:val="en-US" w:eastAsia="zh-CN"/>
        </w:rPr>
        <w:t>0.56</w:t>
      </w:r>
      <w:r>
        <w:rPr>
          <w:rFonts w:hint="eastAsia" w:ascii="Times New Roman" w:hAnsi="Times New Roman" w:eastAsia="仿宋_GB2312" w:cs="仿宋_GB2312"/>
          <w:color w:val="auto"/>
          <w:kern w:val="0"/>
          <w:sz w:val="32"/>
          <w:szCs w:val="32"/>
          <w:u w:val="none"/>
        </w:rPr>
        <w:t>%。</w:t>
      </w:r>
    </w:p>
    <w:p w14:paraId="17A4B175">
      <w:pPr>
        <w:pStyle w:val="4"/>
        <w:bidi w:val="0"/>
        <w:rPr>
          <w:rFonts w:hint="eastAsia" w:ascii="黑体" w:hAnsi="黑体" w:eastAsia="黑体" w:cs="黑体"/>
          <w:b w:val="0"/>
          <w:bCs/>
          <w:color w:val="auto"/>
          <w:u w:val="none"/>
          <w:lang w:val="en-US" w:eastAsia="zh-CN"/>
        </w:rPr>
      </w:pPr>
      <w:r>
        <w:rPr>
          <w:rFonts w:hint="eastAsia" w:ascii="黑体" w:hAnsi="黑体" w:eastAsia="黑体" w:cs="黑体"/>
          <w:b w:val="0"/>
          <w:bCs/>
          <w:color w:val="auto"/>
          <w:u w:val="none"/>
          <w:lang w:val="en-US" w:eastAsia="zh-CN"/>
        </w:rPr>
        <w:t>二、财政拨款收支预算情况说明</w:t>
      </w:r>
    </w:p>
    <w:p w14:paraId="7D73ABB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auto"/>
          <w:kern w:val="0"/>
          <w:sz w:val="32"/>
          <w:szCs w:val="32"/>
          <w:u w:val="none"/>
        </w:rPr>
      </w:pPr>
      <w:r>
        <w:rPr>
          <w:rFonts w:hint="eastAsia" w:ascii="仿宋_GB2312" w:hAnsi="仿宋_GB2312" w:eastAsia="仿宋_GB2312" w:cs="仿宋_GB2312"/>
          <w:color w:val="auto"/>
          <w:kern w:val="0"/>
          <w:sz w:val="32"/>
          <w:szCs w:val="32"/>
          <w:u w:val="none"/>
          <w:lang w:eastAsia="zh-CN"/>
        </w:rPr>
        <w:t>黑竹沟镇中心小学2025</w:t>
      </w:r>
      <w:r>
        <w:rPr>
          <w:rFonts w:hint="eastAsia" w:ascii="仿宋_GB2312" w:hAnsi="仿宋_GB2312" w:eastAsia="仿宋_GB2312" w:cs="仿宋_GB2312"/>
          <w:color w:val="auto"/>
          <w:kern w:val="0"/>
          <w:sz w:val="32"/>
          <w:szCs w:val="32"/>
          <w:u w:val="none"/>
        </w:rPr>
        <w:t>年财政拨款收支预算总数</w:t>
      </w:r>
      <w:r>
        <w:rPr>
          <w:rFonts w:hint="eastAsia" w:ascii="仿宋_GB2312" w:hAnsi="仿宋_GB2312" w:eastAsia="仿宋_GB2312" w:cs="仿宋_GB2312"/>
          <w:color w:val="auto"/>
          <w:kern w:val="0"/>
          <w:sz w:val="32"/>
          <w:szCs w:val="32"/>
          <w:u w:val="none"/>
          <w:lang w:eastAsia="zh-CN"/>
        </w:rPr>
        <w:t>376.08</w:t>
      </w:r>
      <w:r>
        <w:rPr>
          <w:rFonts w:hint="eastAsia" w:ascii="仿宋_GB2312" w:hAnsi="仿宋_GB2312" w:eastAsia="仿宋_GB2312" w:cs="仿宋_GB2312"/>
          <w:color w:val="auto"/>
          <w:kern w:val="0"/>
          <w:sz w:val="32"/>
          <w:szCs w:val="32"/>
          <w:u w:val="none"/>
        </w:rPr>
        <w:t>万元</w:t>
      </w:r>
      <w:r>
        <w:rPr>
          <w:rFonts w:hint="eastAsia" w:ascii="仿宋_GB2312" w:hAnsi="仿宋_GB2312" w:eastAsia="仿宋_GB2312" w:cs="仿宋_GB2312"/>
          <w:color w:val="auto"/>
          <w:kern w:val="0"/>
          <w:sz w:val="32"/>
          <w:szCs w:val="32"/>
          <w:u w:val="none"/>
          <w:lang w:eastAsia="zh-CN"/>
        </w:rPr>
        <w:t>，</w:t>
      </w:r>
      <w:r>
        <w:rPr>
          <w:rFonts w:hint="eastAsia" w:ascii="仿宋_GB2312" w:hAnsi="仿宋_GB2312" w:eastAsia="仿宋_GB2312" w:cs="仿宋_GB2312"/>
          <w:color w:val="auto"/>
          <w:kern w:val="0"/>
          <w:sz w:val="32"/>
          <w:szCs w:val="32"/>
          <w:u w:val="none"/>
        </w:rPr>
        <w:t>比</w:t>
      </w:r>
      <w:r>
        <w:rPr>
          <w:rFonts w:hint="eastAsia" w:ascii="仿宋_GB2312" w:hAnsi="仿宋_GB2312" w:eastAsia="仿宋_GB2312" w:cs="仿宋_GB2312"/>
          <w:color w:val="auto"/>
          <w:kern w:val="0"/>
          <w:sz w:val="32"/>
          <w:szCs w:val="32"/>
          <w:u w:val="none"/>
          <w:lang w:eastAsia="zh-CN"/>
        </w:rPr>
        <w:t>2024</w:t>
      </w:r>
      <w:r>
        <w:rPr>
          <w:rFonts w:hint="eastAsia" w:ascii="仿宋_GB2312" w:hAnsi="仿宋_GB2312" w:eastAsia="仿宋_GB2312" w:cs="仿宋_GB2312"/>
          <w:color w:val="auto"/>
          <w:kern w:val="0"/>
          <w:sz w:val="32"/>
          <w:szCs w:val="32"/>
          <w:u w:val="none"/>
        </w:rPr>
        <w:t>年财政拨款收支预算总数</w:t>
      </w:r>
      <w:r>
        <w:rPr>
          <w:rFonts w:hint="eastAsia" w:ascii="仿宋_GB2312" w:hAnsi="仿宋_GB2312" w:eastAsia="仿宋_GB2312" w:cs="仿宋_GB2312"/>
          <w:color w:val="auto"/>
          <w:kern w:val="0"/>
          <w:sz w:val="32"/>
          <w:szCs w:val="32"/>
          <w:u w:val="none"/>
          <w:lang w:val="en-US" w:eastAsia="zh-CN"/>
        </w:rPr>
        <w:t>428.90</w:t>
      </w:r>
      <w:r>
        <w:rPr>
          <w:rFonts w:hint="eastAsia" w:ascii="仿宋_GB2312" w:hAnsi="仿宋_GB2312" w:eastAsia="仿宋_GB2312" w:cs="仿宋_GB2312"/>
          <w:color w:val="auto"/>
          <w:kern w:val="0"/>
          <w:sz w:val="32"/>
          <w:szCs w:val="32"/>
          <w:u w:val="none"/>
        </w:rPr>
        <w:t>万元减少</w:t>
      </w:r>
      <w:r>
        <w:rPr>
          <w:rFonts w:hint="eastAsia" w:ascii="仿宋_GB2312" w:hAnsi="仿宋_GB2312" w:eastAsia="仿宋_GB2312" w:cs="仿宋_GB2312"/>
          <w:color w:val="auto"/>
          <w:kern w:val="0"/>
          <w:sz w:val="32"/>
          <w:szCs w:val="32"/>
          <w:u w:val="none"/>
          <w:lang w:val="en-US" w:eastAsia="zh-CN"/>
        </w:rPr>
        <w:t>52.82</w:t>
      </w:r>
      <w:r>
        <w:rPr>
          <w:rFonts w:hint="eastAsia" w:ascii="仿宋_GB2312" w:hAnsi="仿宋_GB2312" w:eastAsia="仿宋_GB2312" w:cs="仿宋_GB2312"/>
          <w:color w:val="auto"/>
          <w:kern w:val="0"/>
          <w:sz w:val="32"/>
          <w:szCs w:val="32"/>
          <w:u w:val="none"/>
        </w:rPr>
        <w:t>万元，主要原因是</w:t>
      </w:r>
      <w:r>
        <w:rPr>
          <w:rFonts w:hint="eastAsia" w:ascii="仿宋_GB2312" w:hAnsi="仿宋_GB2312" w:eastAsia="仿宋_GB2312" w:cs="仿宋_GB2312"/>
          <w:color w:val="auto"/>
          <w:kern w:val="0"/>
          <w:sz w:val="32"/>
          <w:szCs w:val="32"/>
          <w:u w:val="none"/>
          <w:lang w:eastAsia="zh-CN"/>
        </w:rPr>
        <w:t>：</w:t>
      </w:r>
      <w:r>
        <w:rPr>
          <w:rFonts w:hint="eastAsia" w:ascii="仿宋_GB2312" w:hAnsi="仿宋_GB2312" w:eastAsia="仿宋_GB2312" w:cs="仿宋_GB2312"/>
          <w:color w:val="auto"/>
          <w:kern w:val="0"/>
          <w:sz w:val="32"/>
          <w:szCs w:val="32"/>
          <w:u w:val="none"/>
        </w:rPr>
        <w:t>人员经费预算</w:t>
      </w:r>
      <w:r>
        <w:rPr>
          <w:rFonts w:hint="eastAsia" w:ascii="仿宋_GB2312" w:hAnsi="仿宋_GB2312" w:eastAsia="仿宋_GB2312" w:cs="仿宋_GB2312"/>
          <w:color w:val="auto"/>
          <w:kern w:val="0"/>
          <w:sz w:val="32"/>
          <w:szCs w:val="32"/>
          <w:u w:val="none"/>
          <w:lang w:val="en-US" w:eastAsia="zh-CN"/>
        </w:rPr>
        <w:t>减少</w:t>
      </w:r>
      <w:r>
        <w:rPr>
          <w:rFonts w:hint="eastAsia" w:ascii="仿宋_GB2312" w:hAnsi="仿宋_GB2312" w:eastAsia="仿宋_GB2312" w:cs="仿宋_GB2312"/>
          <w:color w:val="auto"/>
          <w:kern w:val="0"/>
          <w:sz w:val="32"/>
          <w:szCs w:val="32"/>
          <w:u w:val="none"/>
        </w:rPr>
        <w:t>。</w:t>
      </w:r>
    </w:p>
    <w:p w14:paraId="3924F17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color w:val="auto"/>
          <w:kern w:val="0"/>
          <w:sz w:val="32"/>
          <w:szCs w:val="32"/>
          <w:u w:val="none"/>
        </w:rPr>
      </w:pPr>
      <w:r>
        <w:rPr>
          <w:rFonts w:hint="eastAsia" w:ascii="Times New Roman" w:hAnsi="Times New Roman" w:eastAsia="仿宋_GB2312" w:cs="仿宋_GB2312"/>
          <w:color w:val="auto"/>
          <w:kern w:val="0"/>
          <w:sz w:val="32"/>
          <w:szCs w:val="32"/>
          <w:u w:val="none"/>
        </w:rPr>
        <w:t>收入包括：本年一般公共预算拨款收入</w:t>
      </w:r>
      <w:r>
        <w:rPr>
          <w:rFonts w:hint="eastAsia" w:ascii="Times New Roman" w:hAnsi="Times New Roman" w:eastAsia="仿宋_GB2312" w:cs="仿宋_GB2312"/>
          <w:color w:val="auto"/>
          <w:kern w:val="0"/>
          <w:sz w:val="32"/>
          <w:szCs w:val="32"/>
          <w:u w:val="none"/>
          <w:lang w:eastAsia="zh-CN"/>
        </w:rPr>
        <w:t>373.97</w:t>
      </w:r>
      <w:r>
        <w:rPr>
          <w:rFonts w:hint="eastAsia" w:ascii="Times New Roman" w:hAnsi="Times New Roman" w:eastAsia="仿宋_GB2312" w:cs="仿宋_GB2312"/>
          <w:color w:val="auto"/>
          <w:kern w:val="0"/>
          <w:sz w:val="32"/>
          <w:szCs w:val="32"/>
          <w:u w:val="none"/>
        </w:rPr>
        <w:t>万元、本年政府性基金预算拨款收入</w:t>
      </w:r>
      <w:r>
        <w:rPr>
          <w:rFonts w:hint="eastAsia" w:ascii="Times New Roman" w:hAnsi="Times New Roman" w:eastAsia="仿宋_GB2312" w:cs="仿宋_GB2312"/>
          <w:color w:val="auto"/>
          <w:kern w:val="0"/>
          <w:sz w:val="32"/>
          <w:szCs w:val="32"/>
          <w:u w:val="none"/>
          <w:lang w:val="en-US" w:eastAsia="zh-CN"/>
        </w:rPr>
        <w:t>0</w:t>
      </w:r>
      <w:r>
        <w:rPr>
          <w:rFonts w:hint="eastAsia" w:ascii="Times New Roman" w:hAnsi="Times New Roman" w:eastAsia="仿宋_GB2312" w:cs="仿宋_GB2312"/>
          <w:color w:val="auto"/>
          <w:kern w:val="0"/>
          <w:sz w:val="32"/>
          <w:szCs w:val="32"/>
          <w:u w:val="none"/>
        </w:rPr>
        <w:t>万元；支出包括：</w:t>
      </w:r>
      <w:r>
        <w:rPr>
          <w:rFonts w:hint="eastAsia" w:ascii="Times New Roman" w:hAnsi="Times New Roman" w:eastAsia="仿宋_GB2312" w:cs="仿宋_GB2312"/>
          <w:color w:val="auto"/>
          <w:kern w:val="0"/>
          <w:sz w:val="32"/>
          <w:szCs w:val="32"/>
          <w:u w:val="none"/>
          <w:lang w:val="en-US" w:eastAsia="zh-CN"/>
        </w:rPr>
        <w:t>教育</w:t>
      </w:r>
      <w:r>
        <w:rPr>
          <w:rFonts w:hint="eastAsia" w:ascii="Times New Roman" w:hAnsi="Times New Roman" w:eastAsia="仿宋_GB2312" w:cs="仿宋_GB2312"/>
          <w:color w:val="auto"/>
          <w:kern w:val="0"/>
          <w:sz w:val="32"/>
          <w:szCs w:val="32"/>
          <w:u w:val="none"/>
        </w:rPr>
        <w:t>支出273.22万元、社会保障和就业支出53.19万元、卫生健康支出13.33万元，住</w:t>
      </w:r>
      <w:r>
        <w:rPr>
          <w:rFonts w:hint="eastAsia" w:ascii="Times New Roman" w:hAnsi="Times New Roman" w:eastAsia="仿宋_GB2312" w:cs="仿宋_GB2312"/>
          <w:color w:val="auto"/>
          <w:kern w:val="0"/>
          <w:sz w:val="32"/>
          <w:szCs w:val="32"/>
          <w:u w:val="none"/>
          <w:lang w:eastAsia="zh-CN"/>
        </w:rPr>
        <w:t>房</w:t>
      </w:r>
      <w:r>
        <w:rPr>
          <w:rFonts w:hint="eastAsia" w:ascii="Times New Roman" w:hAnsi="Times New Roman" w:eastAsia="仿宋_GB2312" w:cs="仿宋_GB2312"/>
          <w:color w:val="auto"/>
          <w:kern w:val="0"/>
          <w:sz w:val="32"/>
          <w:szCs w:val="32"/>
          <w:u w:val="none"/>
        </w:rPr>
        <w:t>保障支出36.34万元</w:t>
      </w:r>
      <w:r>
        <w:rPr>
          <w:rFonts w:hint="eastAsia" w:ascii="Times New Roman" w:hAnsi="Times New Roman" w:eastAsia="仿宋_GB2312" w:cs="仿宋_GB2312"/>
          <w:color w:val="auto"/>
          <w:kern w:val="0"/>
          <w:sz w:val="32"/>
          <w:szCs w:val="32"/>
          <w:u w:val="none"/>
          <w:lang w:eastAsia="zh-CN"/>
        </w:rPr>
        <w:t>。</w:t>
      </w:r>
    </w:p>
    <w:p w14:paraId="16261D39">
      <w:pPr>
        <w:numPr>
          <w:ilvl w:val="0"/>
          <w:numId w:val="0"/>
        </w:numPr>
        <w:spacing w:line="600" w:lineRule="exact"/>
        <w:ind w:firstLine="640" w:firstLineChars="200"/>
        <w:rPr>
          <w:rStyle w:val="23"/>
          <w:rFonts w:hint="eastAsia" w:ascii="黑体" w:hAnsi="黑体" w:eastAsia="黑体" w:cs="黑体"/>
          <w:b w:val="0"/>
          <w:bCs/>
          <w:color w:val="auto"/>
          <w:u w:val="none"/>
          <w:lang w:eastAsia="zh-CN"/>
        </w:rPr>
      </w:pPr>
      <w:r>
        <w:rPr>
          <w:rStyle w:val="23"/>
          <w:rFonts w:hint="eastAsia" w:ascii="黑体" w:hAnsi="黑体" w:eastAsia="黑体" w:cs="黑体"/>
          <w:b w:val="0"/>
          <w:bCs/>
          <w:color w:val="auto"/>
          <w:u w:val="none"/>
        </w:rPr>
        <w:t>三、一般公共预算当年拨款情况说明</w:t>
      </w:r>
    </w:p>
    <w:p w14:paraId="19A5B6E5">
      <w:pPr>
        <w:suppressAutoHyphens/>
        <w:spacing w:line="580" w:lineRule="exact"/>
        <w:ind w:firstLine="640" w:firstLineChars="200"/>
        <w:jc w:val="both"/>
        <w:outlineLvl w:val="2"/>
        <w:rPr>
          <w:rFonts w:hint="eastAsia" w:ascii="Times New Roman" w:hAnsi="Times New Roman" w:eastAsia="楷体_GB2312" w:cs="Times New Roman"/>
          <w:b w:val="0"/>
          <w:bCs/>
          <w:color w:val="auto"/>
          <w:sz w:val="32"/>
          <w:szCs w:val="32"/>
          <w:lang w:eastAsia="zh-CN"/>
        </w:rPr>
      </w:pPr>
      <w:r>
        <w:rPr>
          <w:rFonts w:hint="eastAsia" w:ascii="Times New Roman" w:hAnsi="Times New Roman" w:eastAsia="楷体_GB2312" w:cs="Times New Roman"/>
          <w:b w:val="0"/>
          <w:bCs/>
          <w:color w:val="auto"/>
          <w:sz w:val="32"/>
          <w:szCs w:val="32"/>
        </w:rPr>
        <w:t>（一）一般公共预算当年拨款规模及变化情况。</w:t>
      </w:r>
    </w:p>
    <w:p w14:paraId="77DD7B3A">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sz w:val="32"/>
          <w:szCs w:val="32"/>
          <w:lang w:eastAsia="zh-CN"/>
        </w:rPr>
        <w:t>黑竹沟镇中心小学</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年一般公共预算当年拨款</w:t>
      </w:r>
      <w:r>
        <w:rPr>
          <w:rFonts w:hint="eastAsia" w:ascii="Times New Roman" w:hAnsi="Times New Roman" w:eastAsia="仿宋_GB2312" w:cs="仿宋_GB2312"/>
          <w:color w:val="auto"/>
          <w:kern w:val="0"/>
          <w:sz w:val="32"/>
          <w:szCs w:val="32"/>
          <w:lang w:eastAsia="zh-CN"/>
        </w:rPr>
        <w:t>373.97</w:t>
      </w:r>
      <w:r>
        <w:rPr>
          <w:rFonts w:hint="eastAsia" w:ascii="Times New Roman" w:hAnsi="Times New Roman" w:eastAsia="仿宋_GB2312" w:cs="仿宋_GB2312"/>
          <w:color w:val="auto"/>
          <w:kern w:val="0"/>
          <w:sz w:val="32"/>
          <w:szCs w:val="32"/>
        </w:rPr>
        <w:t>万元，较上年预算数</w:t>
      </w:r>
      <w:r>
        <w:rPr>
          <w:rFonts w:hint="eastAsia" w:ascii="Times New Roman" w:hAnsi="Times New Roman" w:eastAsia="仿宋_GB2312" w:cs="仿宋_GB2312"/>
          <w:color w:val="auto"/>
          <w:kern w:val="0"/>
          <w:sz w:val="32"/>
          <w:szCs w:val="32"/>
          <w:lang w:val="en-US" w:eastAsia="zh-CN"/>
        </w:rPr>
        <w:t>减少54.86</w:t>
      </w:r>
      <w:r>
        <w:rPr>
          <w:rFonts w:hint="eastAsia" w:ascii="Times New Roman" w:hAnsi="Times New Roman" w:eastAsia="仿宋_GB2312" w:cs="仿宋_GB2312"/>
          <w:color w:val="auto"/>
          <w:kern w:val="0"/>
          <w:sz w:val="32"/>
          <w:szCs w:val="32"/>
        </w:rPr>
        <w:t>万元。主要</w:t>
      </w:r>
      <w:r>
        <w:rPr>
          <w:rFonts w:hint="eastAsia" w:ascii="Times New Roman" w:hAnsi="Times New Roman" w:eastAsia="仿宋_GB2312" w:cs="仿宋_GB2312"/>
          <w:color w:val="auto"/>
          <w:kern w:val="0"/>
          <w:sz w:val="32"/>
          <w:szCs w:val="32"/>
          <w:lang w:eastAsia="zh-CN"/>
        </w:rPr>
        <w:t>原因</w:t>
      </w:r>
      <w:r>
        <w:rPr>
          <w:rFonts w:hint="eastAsia" w:ascii="仿宋" w:hAnsi="仿宋" w:eastAsia="仿宋" w:cs="宋体"/>
          <w:color w:val="auto"/>
          <w:kern w:val="0"/>
          <w:sz w:val="32"/>
          <w:szCs w:val="32"/>
        </w:rPr>
        <w:t>是人员经费预算</w:t>
      </w:r>
      <w:r>
        <w:rPr>
          <w:rFonts w:hint="eastAsia" w:ascii="仿宋" w:hAnsi="仿宋" w:cs="宋体"/>
          <w:color w:val="auto"/>
          <w:kern w:val="0"/>
          <w:sz w:val="32"/>
          <w:szCs w:val="32"/>
          <w:lang w:val="en-US" w:eastAsia="zh-CN"/>
        </w:rPr>
        <w:t>减少</w:t>
      </w:r>
      <w:r>
        <w:rPr>
          <w:rFonts w:hint="eastAsia" w:ascii="Times New Roman" w:hAnsi="Times New Roman" w:eastAsia="仿宋_GB2312" w:cs="仿宋_GB2312"/>
          <w:color w:val="auto"/>
          <w:kern w:val="0"/>
          <w:sz w:val="32"/>
          <w:szCs w:val="32"/>
        </w:rPr>
        <w:t>。</w:t>
      </w:r>
    </w:p>
    <w:p w14:paraId="14067703">
      <w:pPr>
        <w:numPr>
          <w:ilvl w:val="0"/>
          <w:numId w:val="0"/>
        </w:numPr>
        <w:spacing w:line="600" w:lineRule="exact"/>
        <w:ind w:firstLine="640" w:firstLineChars="200"/>
        <w:rPr>
          <w:rFonts w:hint="eastAsia" w:ascii="仿宋" w:hAnsi="仿宋" w:eastAsia="仿宋" w:cs="宋体"/>
          <w:color w:val="auto"/>
          <w:kern w:val="0"/>
          <w:sz w:val="32"/>
          <w:szCs w:val="32"/>
          <w:lang w:eastAsia="zh-CN"/>
        </w:rPr>
      </w:pPr>
      <w:r>
        <w:rPr>
          <w:rFonts w:hint="eastAsia" w:ascii="Times New Roman" w:hAnsi="Times New Roman" w:eastAsia="楷体_GB2312" w:cs="Times New Roman"/>
          <w:b w:val="0"/>
          <w:bCs/>
          <w:color w:val="auto"/>
          <w:sz w:val="32"/>
          <w:szCs w:val="32"/>
        </w:rPr>
        <w:t>（二）一般公共预算当年拨款结构情况</w:t>
      </w:r>
      <w:r>
        <w:rPr>
          <w:rFonts w:hint="eastAsia" w:ascii="仿宋" w:hAnsi="仿宋" w:eastAsia="仿宋" w:cs="宋体"/>
          <w:color w:val="auto"/>
          <w:kern w:val="0"/>
          <w:sz w:val="32"/>
          <w:szCs w:val="32"/>
        </w:rPr>
        <w:t>。</w:t>
      </w:r>
    </w:p>
    <w:p w14:paraId="1B8C29C1">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val="en-US" w:eastAsia="zh-CN"/>
        </w:rPr>
        <w:t>教育</w:t>
      </w:r>
      <w:r>
        <w:rPr>
          <w:rFonts w:hint="eastAsia" w:ascii="Times New Roman" w:hAnsi="Times New Roman" w:eastAsia="仿宋_GB2312" w:cs="仿宋_GB2312"/>
          <w:color w:val="auto"/>
          <w:kern w:val="0"/>
          <w:sz w:val="32"/>
          <w:szCs w:val="32"/>
        </w:rPr>
        <w:t>支出27</w:t>
      </w:r>
      <w:r>
        <w:rPr>
          <w:rFonts w:hint="eastAsia" w:ascii="Times New Roman" w:hAnsi="Times New Roman" w:eastAsia="仿宋_GB2312" w:cs="仿宋_GB2312"/>
          <w:color w:val="auto"/>
          <w:kern w:val="0"/>
          <w:sz w:val="32"/>
          <w:szCs w:val="32"/>
          <w:lang w:val="en-US" w:eastAsia="zh-CN"/>
        </w:rPr>
        <w:t>1.12</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72.50</w:t>
      </w:r>
      <w:r>
        <w:rPr>
          <w:rFonts w:hint="eastAsia" w:ascii="Times New Roman" w:hAnsi="Times New Roman" w:eastAsia="仿宋_GB2312" w:cs="仿宋_GB2312"/>
          <w:color w:val="auto"/>
          <w:kern w:val="0"/>
          <w:sz w:val="32"/>
          <w:szCs w:val="32"/>
        </w:rPr>
        <w:t>%；社会保障和就业支出53.1</w:t>
      </w:r>
      <w:r>
        <w:rPr>
          <w:rFonts w:hint="eastAsia" w:ascii="Times New Roman" w:hAnsi="Times New Roman" w:eastAsia="仿宋_GB2312" w:cs="仿宋_GB2312"/>
          <w:color w:val="auto"/>
          <w:kern w:val="0"/>
          <w:sz w:val="32"/>
          <w:szCs w:val="32"/>
          <w:lang w:val="en-US" w:eastAsia="zh-CN"/>
        </w:rPr>
        <w:t>8</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14.22</w:t>
      </w:r>
      <w:r>
        <w:rPr>
          <w:rFonts w:hint="eastAsia" w:ascii="Times New Roman" w:hAnsi="Times New Roman" w:eastAsia="仿宋_GB2312" w:cs="仿宋_GB2312"/>
          <w:color w:val="auto"/>
          <w:kern w:val="0"/>
          <w:sz w:val="32"/>
          <w:szCs w:val="32"/>
        </w:rPr>
        <w:t>%；</w:t>
      </w:r>
      <w:r>
        <w:rPr>
          <w:rFonts w:hint="eastAsia" w:ascii="仿宋" w:hAnsi="仿宋" w:eastAsia="仿宋" w:cs="宋体"/>
          <w:color w:val="auto"/>
          <w:kern w:val="0"/>
          <w:sz w:val="32"/>
          <w:szCs w:val="32"/>
        </w:rPr>
        <w:t>卫生健康支出</w:t>
      </w:r>
      <w:r>
        <w:rPr>
          <w:rFonts w:hint="eastAsia" w:ascii="Times New Roman" w:hAnsi="Times New Roman" w:eastAsia="仿宋_GB2312" w:cs="仿宋_GB2312"/>
          <w:color w:val="auto"/>
          <w:kern w:val="0"/>
          <w:sz w:val="32"/>
          <w:szCs w:val="32"/>
        </w:rPr>
        <w:t>13.33万元，占</w:t>
      </w:r>
      <w:r>
        <w:rPr>
          <w:rFonts w:hint="eastAsia" w:ascii="Times New Roman" w:hAnsi="Times New Roman" w:eastAsia="仿宋_GB2312" w:cs="仿宋_GB2312"/>
          <w:color w:val="auto"/>
          <w:kern w:val="0"/>
          <w:sz w:val="32"/>
          <w:szCs w:val="32"/>
          <w:lang w:val="en-US" w:eastAsia="zh-CN"/>
        </w:rPr>
        <w:t>3.56</w:t>
      </w:r>
      <w:r>
        <w:rPr>
          <w:rFonts w:hint="eastAsia" w:ascii="Times New Roman" w:hAnsi="Times New Roman" w:eastAsia="仿宋_GB2312" w:cs="仿宋_GB2312"/>
          <w:color w:val="auto"/>
          <w:kern w:val="0"/>
          <w:sz w:val="32"/>
          <w:szCs w:val="32"/>
        </w:rPr>
        <w:t>%；住房保障支出36.34万元，占</w:t>
      </w:r>
      <w:r>
        <w:rPr>
          <w:rFonts w:hint="eastAsia" w:ascii="Times New Roman" w:hAnsi="Times New Roman" w:eastAsia="仿宋_GB2312" w:cs="仿宋_GB2312"/>
          <w:color w:val="auto"/>
          <w:kern w:val="0"/>
          <w:sz w:val="32"/>
          <w:szCs w:val="32"/>
          <w:lang w:val="en-US" w:eastAsia="zh-CN"/>
        </w:rPr>
        <w:t>9.72</w:t>
      </w:r>
      <w:r>
        <w:rPr>
          <w:rFonts w:hint="eastAsia" w:ascii="Times New Roman" w:hAnsi="Times New Roman" w:eastAsia="仿宋_GB2312" w:cs="仿宋_GB2312"/>
          <w:color w:val="auto"/>
          <w:kern w:val="0"/>
          <w:sz w:val="32"/>
          <w:szCs w:val="32"/>
        </w:rPr>
        <w:t>%。</w:t>
      </w:r>
    </w:p>
    <w:p w14:paraId="30905E7B">
      <w:pPr>
        <w:numPr>
          <w:ilvl w:val="0"/>
          <w:numId w:val="0"/>
        </w:numPr>
        <w:spacing w:line="600" w:lineRule="exact"/>
        <w:ind w:firstLine="640" w:firstLineChars="200"/>
        <w:rPr>
          <w:rFonts w:hint="eastAsia" w:ascii="仿宋" w:hAnsi="仿宋" w:eastAsia="仿宋" w:cs="宋体"/>
          <w:color w:val="auto"/>
          <w:kern w:val="0"/>
          <w:sz w:val="32"/>
          <w:szCs w:val="32"/>
          <w:lang w:eastAsia="zh-CN"/>
        </w:rPr>
      </w:pPr>
      <w:r>
        <w:rPr>
          <w:rFonts w:hint="eastAsia" w:ascii="Times New Roman" w:hAnsi="Times New Roman" w:eastAsia="楷体_GB2312" w:cs="Times New Roman"/>
          <w:b w:val="0"/>
          <w:bCs/>
          <w:color w:val="auto"/>
          <w:sz w:val="32"/>
          <w:szCs w:val="32"/>
        </w:rPr>
        <w:t>（三）一般公共预算当年拨款具体使用情况</w:t>
      </w:r>
    </w:p>
    <w:p w14:paraId="7F0AB8ED">
      <w:pPr>
        <w:numPr>
          <w:ilvl w:val="0"/>
          <w:numId w:val="0"/>
        </w:numPr>
        <w:ind w:left="0" w:leftChars="0"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val="en-US" w:eastAsia="zh-CN"/>
        </w:rPr>
        <w:t>1.教育支出（类）普通教育（款）小学教育（项）：</w:t>
      </w:r>
      <w:r>
        <w:rPr>
          <w:rFonts w:hint="eastAsia" w:ascii="仿宋_GB2312" w:hAnsi="仿宋_GB2312" w:eastAsia="仿宋_GB2312" w:cs="仿宋_GB2312"/>
          <w:color w:val="auto"/>
          <w:kern w:val="0"/>
          <w:sz w:val="32"/>
          <w:szCs w:val="32"/>
        </w:rPr>
        <w:t>202</w:t>
      </w:r>
      <w:r>
        <w:rPr>
          <w:rFonts w:hint="eastAsia" w:ascii="仿宋_GB2312" w:hAnsi="仿宋_GB2312" w:eastAsia="仿宋_GB2312" w:cs="仿宋_GB2312"/>
          <w:color w:val="auto"/>
          <w:kern w:val="0"/>
          <w:sz w:val="32"/>
          <w:szCs w:val="32"/>
          <w:lang w:val="en-US" w:eastAsia="zh-CN"/>
        </w:rPr>
        <w:t>5</w:t>
      </w:r>
      <w:r>
        <w:rPr>
          <w:rFonts w:hint="eastAsia" w:ascii="仿宋_GB2312" w:hAnsi="仿宋_GB2312" w:eastAsia="仿宋_GB2312" w:cs="仿宋_GB2312"/>
          <w:color w:val="auto"/>
          <w:kern w:val="0"/>
          <w:sz w:val="32"/>
          <w:szCs w:val="32"/>
        </w:rPr>
        <w:t>年预算数为271.1</w:t>
      </w:r>
      <w:r>
        <w:rPr>
          <w:rFonts w:hint="eastAsia" w:ascii="仿宋_GB2312" w:hAnsi="仿宋_GB2312" w:eastAsia="仿宋_GB2312" w:cs="仿宋_GB2312"/>
          <w:color w:val="auto"/>
          <w:kern w:val="0"/>
          <w:sz w:val="32"/>
          <w:szCs w:val="32"/>
          <w:lang w:val="en-US" w:eastAsia="zh-CN"/>
        </w:rPr>
        <w:t>2</w:t>
      </w:r>
      <w:r>
        <w:rPr>
          <w:rFonts w:hint="eastAsia" w:ascii="仿宋_GB2312" w:hAnsi="仿宋_GB2312" w:eastAsia="仿宋_GB2312" w:cs="仿宋_GB2312"/>
          <w:color w:val="auto"/>
          <w:kern w:val="0"/>
          <w:sz w:val="32"/>
          <w:szCs w:val="32"/>
        </w:rPr>
        <w:t>万元，主要用于：事业单位正常运转的基本支出，包括基本工资、津贴补贴等人员经费以及办公费、印刷费、水电费等日常公用经费。</w:t>
      </w:r>
    </w:p>
    <w:p w14:paraId="79D8DA8D">
      <w:pPr>
        <w:numPr>
          <w:ilvl w:val="0"/>
          <w:numId w:val="0"/>
        </w:numPr>
        <w:ind w:left="0" w:leftChars="0"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val="en-US" w:eastAsia="zh-CN"/>
        </w:rPr>
        <w:t>2</w:t>
      </w:r>
      <w:r>
        <w:rPr>
          <w:rFonts w:hint="eastAsia" w:ascii="仿宋_GB2312" w:hAnsi="仿宋_GB2312" w:eastAsia="仿宋_GB2312" w:cs="仿宋_GB2312"/>
          <w:color w:val="auto"/>
          <w:kern w:val="0"/>
          <w:sz w:val="32"/>
          <w:szCs w:val="32"/>
        </w:rPr>
        <w:t>.社会保障和就业（类）</w:t>
      </w:r>
      <w:r>
        <w:rPr>
          <w:rFonts w:hint="eastAsia" w:ascii="仿宋_GB2312" w:hAnsi="仿宋_GB2312" w:eastAsia="仿宋_GB2312" w:cs="仿宋_GB2312"/>
          <w:color w:val="auto"/>
          <w:kern w:val="0"/>
          <w:sz w:val="32"/>
          <w:szCs w:val="32"/>
          <w:lang w:val="en-US" w:eastAsia="zh-CN"/>
        </w:rPr>
        <w:t>行政事业单位离退休</w:t>
      </w:r>
      <w:r>
        <w:rPr>
          <w:rFonts w:hint="eastAsia" w:ascii="仿宋_GB2312" w:hAnsi="仿宋_GB2312" w:eastAsia="仿宋_GB2312" w:cs="仿宋_GB2312"/>
          <w:color w:val="auto"/>
          <w:kern w:val="0"/>
          <w:sz w:val="32"/>
          <w:szCs w:val="32"/>
        </w:rPr>
        <w:t>（款）</w:t>
      </w:r>
      <w:r>
        <w:rPr>
          <w:rFonts w:hint="eastAsia" w:ascii="仿宋_GB2312" w:hAnsi="仿宋_GB2312" w:eastAsia="仿宋_GB2312" w:cs="仿宋_GB2312"/>
          <w:color w:val="auto"/>
          <w:kern w:val="0"/>
          <w:sz w:val="32"/>
          <w:szCs w:val="32"/>
          <w:lang w:val="en-US" w:eastAsia="zh-CN"/>
        </w:rPr>
        <w:t>机关事业单位</w:t>
      </w:r>
      <w:r>
        <w:rPr>
          <w:rFonts w:hint="eastAsia" w:ascii="仿宋_GB2312" w:hAnsi="仿宋_GB2312" w:eastAsia="仿宋_GB2312" w:cs="仿宋_GB2312"/>
          <w:color w:val="auto"/>
          <w:kern w:val="0"/>
          <w:sz w:val="32"/>
          <w:szCs w:val="32"/>
        </w:rPr>
        <w:t>基本养老保险</w:t>
      </w:r>
      <w:r>
        <w:rPr>
          <w:rFonts w:hint="eastAsia" w:ascii="仿宋_GB2312" w:hAnsi="仿宋_GB2312" w:eastAsia="仿宋_GB2312" w:cs="仿宋_GB2312"/>
          <w:color w:val="auto"/>
          <w:kern w:val="0"/>
          <w:sz w:val="32"/>
          <w:szCs w:val="32"/>
          <w:lang w:val="en-US" w:eastAsia="zh-CN"/>
        </w:rPr>
        <w:t>缴</w:t>
      </w:r>
      <w:r>
        <w:rPr>
          <w:rFonts w:hint="eastAsia" w:ascii="仿宋_GB2312" w:hAnsi="仿宋_GB2312" w:eastAsia="仿宋_GB2312" w:cs="仿宋_GB2312"/>
          <w:color w:val="auto"/>
          <w:kern w:val="0"/>
          <w:sz w:val="32"/>
          <w:szCs w:val="32"/>
        </w:rPr>
        <w:t>费</w:t>
      </w:r>
      <w:r>
        <w:rPr>
          <w:rFonts w:hint="eastAsia" w:ascii="仿宋_GB2312" w:hAnsi="仿宋_GB2312" w:eastAsia="仿宋_GB2312" w:cs="仿宋_GB2312"/>
          <w:color w:val="auto"/>
          <w:kern w:val="0"/>
          <w:sz w:val="32"/>
          <w:szCs w:val="32"/>
          <w:lang w:val="en-US" w:eastAsia="zh-CN"/>
        </w:rPr>
        <w:t>支出</w:t>
      </w:r>
      <w:r>
        <w:rPr>
          <w:rFonts w:hint="eastAsia" w:ascii="仿宋_GB2312" w:hAnsi="仿宋_GB2312" w:eastAsia="仿宋_GB2312" w:cs="仿宋_GB2312"/>
          <w:color w:val="auto"/>
          <w:kern w:val="0"/>
          <w:sz w:val="32"/>
          <w:szCs w:val="32"/>
        </w:rPr>
        <w:t>（项）</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202</w:t>
      </w:r>
      <w:r>
        <w:rPr>
          <w:rFonts w:hint="eastAsia" w:ascii="仿宋_GB2312" w:hAnsi="仿宋_GB2312" w:eastAsia="仿宋_GB2312" w:cs="仿宋_GB2312"/>
          <w:color w:val="auto"/>
          <w:kern w:val="0"/>
          <w:sz w:val="32"/>
          <w:szCs w:val="32"/>
          <w:lang w:val="en-US" w:eastAsia="zh-CN"/>
        </w:rPr>
        <w:t>5</w:t>
      </w:r>
      <w:r>
        <w:rPr>
          <w:rFonts w:hint="eastAsia" w:ascii="仿宋_GB2312" w:hAnsi="仿宋_GB2312" w:eastAsia="仿宋_GB2312" w:cs="仿宋_GB2312"/>
          <w:color w:val="auto"/>
          <w:kern w:val="0"/>
          <w:sz w:val="32"/>
          <w:szCs w:val="32"/>
        </w:rPr>
        <w:t>年预算数为</w:t>
      </w:r>
      <w:r>
        <w:rPr>
          <w:rFonts w:hint="eastAsia" w:ascii="仿宋_GB2312" w:hAnsi="仿宋_GB2312" w:eastAsia="仿宋_GB2312" w:cs="仿宋_GB2312"/>
          <w:color w:val="auto"/>
          <w:kern w:val="0"/>
          <w:sz w:val="32"/>
          <w:szCs w:val="32"/>
          <w:lang w:val="en-US" w:eastAsia="zh-CN"/>
        </w:rPr>
        <w:t>33.50</w:t>
      </w:r>
      <w:r>
        <w:rPr>
          <w:rFonts w:hint="eastAsia" w:ascii="仿宋_GB2312" w:hAnsi="仿宋_GB2312" w:eastAsia="仿宋_GB2312" w:cs="仿宋_GB2312"/>
          <w:color w:val="auto"/>
          <w:kern w:val="0"/>
          <w:sz w:val="32"/>
          <w:szCs w:val="32"/>
        </w:rPr>
        <w:t>万元，主要用于：实施养老保险制度后，</w:t>
      </w:r>
      <w:r>
        <w:rPr>
          <w:rFonts w:hint="eastAsia" w:ascii="仿宋_GB2312" w:hAnsi="仿宋_GB2312" w:eastAsia="仿宋_GB2312" w:cs="仿宋_GB2312"/>
          <w:color w:val="auto"/>
          <w:kern w:val="0"/>
          <w:sz w:val="32"/>
          <w:szCs w:val="32"/>
          <w:lang w:eastAsia="zh-CN"/>
        </w:rPr>
        <w:t>单位</w:t>
      </w:r>
      <w:r>
        <w:rPr>
          <w:rFonts w:hint="eastAsia" w:ascii="仿宋_GB2312" w:hAnsi="仿宋_GB2312" w:eastAsia="仿宋_GB2312" w:cs="仿宋_GB2312"/>
          <w:color w:val="auto"/>
          <w:kern w:val="0"/>
          <w:sz w:val="32"/>
          <w:szCs w:val="32"/>
        </w:rPr>
        <w:t>按规定由单位缴纳的基本养老保险费支出。 </w:t>
      </w:r>
    </w:p>
    <w:p w14:paraId="2B3D1189">
      <w:pPr>
        <w:numPr>
          <w:ilvl w:val="0"/>
          <w:numId w:val="0"/>
        </w:numPr>
        <w:spacing w:line="600" w:lineRule="exact"/>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rPr>
        <w:t>　　</w:t>
      </w:r>
      <w:r>
        <w:rPr>
          <w:rFonts w:hint="eastAsia" w:ascii="仿宋_GB2312" w:hAnsi="仿宋_GB2312" w:eastAsia="仿宋_GB2312" w:cs="仿宋_GB2312"/>
          <w:color w:val="auto"/>
          <w:kern w:val="0"/>
          <w:sz w:val="32"/>
          <w:szCs w:val="32"/>
          <w:lang w:val="en-US" w:eastAsia="zh-CN"/>
        </w:rPr>
        <w:t>3.社</w:t>
      </w:r>
      <w:r>
        <w:rPr>
          <w:rFonts w:hint="eastAsia" w:ascii="仿宋_GB2312" w:hAnsi="仿宋_GB2312" w:eastAsia="仿宋_GB2312" w:cs="仿宋_GB2312"/>
          <w:color w:val="auto"/>
          <w:kern w:val="0"/>
          <w:sz w:val="32"/>
          <w:szCs w:val="32"/>
        </w:rPr>
        <w:t>会保障和就业（类）</w:t>
      </w:r>
      <w:r>
        <w:rPr>
          <w:rFonts w:hint="eastAsia" w:ascii="仿宋_GB2312" w:hAnsi="仿宋_GB2312" w:eastAsia="仿宋_GB2312" w:cs="仿宋_GB2312"/>
          <w:color w:val="auto"/>
          <w:kern w:val="0"/>
          <w:sz w:val="32"/>
          <w:szCs w:val="32"/>
          <w:lang w:val="en-US" w:eastAsia="zh-CN"/>
        </w:rPr>
        <w:t>行政事业单位离退休</w:t>
      </w:r>
      <w:r>
        <w:rPr>
          <w:rFonts w:hint="eastAsia" w:ascii="仿宋_GB2312" w:hAnsi="仿宋_GB2312" w:eastAsia="仿宋_GB2312" w:cs="仿宋_GB2312"/>
          <w:color w:val="auto"/>
          <w:kern w:val="0"/>
          <w:sz w:val="32"/>
          <w:szCs w:val="32"/>
        </w:rPr>
        <w:t>（款）</w:t>
      </w:r>
      <w:r>
        <w:rPr>
          <w:rFonts w:hint="eastAsia" w:ascii="仿宋_GB2312" w:hAnsi="仿宋_GB2312" w:eastAsia="仿宋_GB2312" w:cs="仿宋_GB2312"/>
          <w:color w:val="auto"/>
          <w:kern w:val="0"/>
          <w:sz w:val="32"/>
          <w:szCs w:val="32"/>
          <w:lang w:val="en-US" w:eastAsia="zh-CN"/>
        </w:rPr>
        <w:t>机关事业单位职业年金缴</w:t>
      </w:r>
      <w:r>
        <w:rPr>
          <w:rFonts w:hint="eastAsia" w:ascii="仿宋_GB2312" w:hAnsi="仿宋_GB2312" w:eastAsia="仿宋_GB2312" w:cs="仿宋_GB2312"/>
          <w:color w:val="auto"/>
          <w:kern w:val="0"/>
          <w:sz w:val="32"/>
          <w:szCs w:val="32"/>
        </w:rPr>
        <w:t>费</w:t>
      </w:r>
      <w:r>
        <w:rPr>
          <w:rFonts w:hint="eastAsia" w:ascii="仿宋_GB2312" w:hAnsi="仿宋_GB2312" w:eastAsia="仿宋_GB2312" w:cs="仿宋_GB2312"/>
          <w:color w:val="auto"/>
          <w:kern w:val="0"/>
          <w:sz w:val="32"/>
          <w:szCs w:val="32"/>
          <w:lang w:val="en-US" w:eastAsia="zh-CN"/>
        </w:rPr>
        <w:t>支出</w:t>
      </w:r>
      <w:r>
        <w:rPr>
          <w:rFonts w:hint="eastAsia" w:ascii="仿宋_GB2312" w:hAnsi="仿宋_GB2312" w:eastAsia="仿宋_GB2312" w:cs="仿宋_GB2312"/>
          <w:color w:val="auto"/>
          <w:kern w:val="0"/>
          <w:sz w:val="32"/>
          <w:szCs w:val="32"/>
        </w:rPr>
        <w:t>（项）</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202</w:t>
      </w:r>
      <w:r>
        <w:rPr>
          <w:rFonts w:hint="eastAsia" w:ascii="仿宋_GB2312" w:hAnsi="仿宋_GB2312" w:eastAsia="仿宋_GB2312" w:cs="仿宋_GB2312"/>
          <w:color w:val="auto"/>
          <w:kern w:val="0"/>
          <w:sz w:val="32"/>
          <w:szCs w:val="32"/>
          <w:lang w:val="en-US" w:eastAsia="zh-CN"/>
        </w:rPr>
        <w:t>5</w:t>
      </w:r>
      <w:r>
        <w:rPr>
          <w:rFonts w:hint="eastAsia" w:ascii="仿宋_GB2312" w:hAnsi="仿宋_GB2312" w:eastAsia="仿宋_GB2312" w:cs="仿宋_GB2312"/>
          <w:color w:val="auto"/>
          <w:kern w:val="0"/>
          <w:sz w:val="32"/>
          <w:szCs w:val="32"/>
        </w:rPr>
        <w:t>年预算数为</w:t>
      </w:r>
      <w:r>
        <w:rPr>
          <w:rFonts w:hint="eastAsia" w:ascii="仿宋_GB2312" w:hAnsi="仿宋_GB2312" w:eastAsia="仿宋_GB2312" w:cs="仿宋_GB2312"/>
          <w:color w:val="auto"/>
          <w:kern w:val="0"/>
          <w:sz w:val="32"/>
          <w:szCs w:val="32"/>
          <w:lang w:val="en-US" w:eastAsia="zh-CN"/>
        </w:rPr>
        <w:t>16.75</w:t>
      </w:r>
      <w:r>
        <w:rPr>
          <w:rFonts w:hint="eastAsia" w:ascii="仿宋_GB2312" w:hAnsi="仿宋_GB2312" w:eastAsia="仿宋_GB2312" w:cs="仿宋_GB2312"/>
          <w:color w:val="auto"/>
          <w:kern w:val="0"/>
          <w:sz w:val="32"/>
          <w:szCs w:val="32"/>
        </w:rPr>
        <w:t>万元，主要用于：实施养老保险制度后，</w:t>
      </w:r>
      <w:r>
        <w:rPr>
          <w:rFonts w:hint="eastAsia" w:ascii="仿宋_GB2312" w:hAnsi="仿宋_GB2312" w:eastAsia="仿宋_GB2312" w:cs="仿宋_GB2312"/>
          <w:color w:val="auto"/>
          <w:kern w:val="0"/>
          <w:sz w:val="32"/>
          <w:szCs w:val="32"/>
          <w:lang w:eastAsia="zh-CN"/>
        </w:rPr>
        <w:t>单位</w:t>
      </w:r>
      <w:r>
        <w:rPr>
          <w:rFonts w:hint="eastAsia" w:ascii="仿宋_GB2312" w:hAnsi="仿宋_GB2312" w:eastAsia="仿宋_GB2312" w:cs="仿宋_GB2312"/>
          <w:color w:val="auto"/>
          <w:kern w:val="0"/>
          <w:sz w:val="32"/>
          <w:szCs w:val="32"/>
        </w:rPr>
        <w:t>按规定由单位缴纳的职业年金支出。 </w:t>
      </w:r>
    </w:p>
    <w:p w14:paraId="5DDA1DA6">
      <w:pPr>
        <w:numPr>
          <w:ilvl w:val="0"/>
          <w:numId w:val="0"/>
        </w:numPr>
        <w:spacing w:line="600" w:lineRule="exact"/>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rPr>
        <w:t>　　</w:t>
      </w:r>
      <w:r>
        <w:rPr>
          <w:rFonts w:hint="eastAsia" w:ascii="仿宋_GB2312" w:hAnsi="仿宋_GB2312" w:eastAsia="仿宋_GB2312" w:cs="仿宋_GB2312"/>
          <w:color w:val="auto"/>
          <w:kern w:val="0"/>
          <w:sz w:val="32"/>
          <w:szCs w:val="32"/>
          <w:lang w:val="en-US" w:eastAsia="zh-CN"/>
        </w:rPr>
        <w:t>4</w:t>
      </w:r>
      <w:r>
        <w:rPr>
          <w:rFonts w:hint="eastAsia" w:ascii="仿宋_GB2312" w:hAnsi="仿宋_GB2312" w:eastAsia="仿宋_GB2312" w:cs="仿宋_GB2312"/>
          <w:color w:val="auto"/>
          <w:kern w:val="0"/>
          <w:sz w:val="32"/>
          <w:szCs w:val="32"/>
        </w:rPr>
        <w:t>.社会保障和就业（类）</w:t>
      </w:r>
      <w:r>
        <w:rPr>
          <w:rFonts w:hint="eastAsia" w:ascii="仿宋_GB2312" w:hAnsi="仿宋_GB2312" w:eastAsia="仿宋_GB2312" w:cs="仿宋_GB2312"/>
          <w:color w:val="auto"/>
          <w:kern w:val="0"/>
          <w:sz w:val="32"/>
          <w:szCs w:val="32"/>
          <w:lang w:val="en-US" w:eastAsia="zh-CN"/>
        </w:rPr>
        <w:t>其它</w:t>
      </w:r>
      <w:r>
        <w:rPr>
          <w:rFonts w:hint="eastAsia" w:ascii="仿宋_GB2312" w:hAnsi="仿宋_GB2312" w:eastAsia="仿宋_GB2312" w:cs="仿宋_GB2312"/>
          <w:color w:val="auto"/>
          <w:kern w:val="0"/>
          <w:sz w:val="32"/>
          <w:szCs w:val="32"/>
        </w:rPr>
        <w:t>社会保障和就业</w:t>
      </w:r>
      <w:r>
        <w:rPr>
          <w:rFonts w:hint="eastAsia" w:ascii="仿宋_GB2312" w:hAnsi="仿宋_GB2312" w:eastAsia="仿宋_GB2312" w:cs="仿宋_GB2312"/>
          <w:color w:val="auto"/>
          <w:kern w:val="0"/>
          <w:sz w:val="32"/>
          <w:szCs w:val="32"/>
          <w:lang w:val="en-US" w:eastAsia="zh-CN"/>
        </w:rPr>
        <w:t>支出</w:t>
      </w:r>
      <w:r>
        <w:rPr>
          <w:rFonts w:hint="eastAsia" w:ascii="仿宋_GB2312" w:hAnsi="仿宋_GB2312" w:eastAsia="仿宋_GB2312" w:cs="仿宋_GB2312"/>
          <w:color w:val="auto"/>
          <w:kern w:val="0"/>
          <w:sz w:val="32"/>
          <w:szCs w:val="32"/>
        </w:rPr>
        <w:t>（款）</w:t>
      </w:r>
      <w:r>
        <w:rPr>
          <w:rFonts w:hint="eastAsia" w:ascii="仿宋_GB2312" w:hAnsi="仿宋_GB2312" w:eastAsia="仿宋_GB2312" w:cs="仿宋_GB2312"/>
          <w:color w:val="auto"/>
          <w:kern w:val="0"/>
          <w:sz w:val="32"/>
          <w:szCs w:val="32"/>
          <w:lang w:val="en-US" w:eastAsia="zh-CN"/>
        </w:rPr>
        <w:t>其它</w:t>
      </w:r>
      <w:r>
        <w:rPr>
          <w:rFonts w:hint="eastAsia" w:ascii="仿宋_GB2312" w:hAnsi="仿宋_GB2312" w:eastAsia="仿宋_GB2312" w:cs="仿宋_GB2312"/>
          <w:color w:val="auto"/>
          <w:kern w:val="0"/>
          <w:sz w:val="32"/>
          <w:szCs w:val="32"/>
        </w:rPr>
        <w:t>社会保障和就业</w:t>
      </w:r>
      <w:r>
        <w:rPr>
          <w:rFonts w:hint="eastAsia" w:ascii="仿宋_GB2312" w:hAnsi="仿宋_GB2312" w:eastAsia="仿宋_GB2312" w:cs="仿宋_GB2312"/>
          <w:color w:val="auto"/>
          <w:kern w:val="0"/>
          <w:sz w:val="32"/>
          <w:szCs w:val="32"/>
          <w:lang w:val="en-US" w:eastAsia="zh-CN"/>
        </w:rPr>
        <w:t>支出</w:t>
      </w:r>
      <w:r>
        <w:rPr>
          <w:rFonts w:hint="eastAsia" w:ascii="仿宋_GB2312" w:hAnsi="仿宋_GB2312" w:eastAsia="仿宋_GB2312" w:cs="仿宋_GB2312"/>
          <w:color w:val="auto"/>
          <w:kern w:val="0"/>
          <w:sz w:val="32"/>
          <w:szCs w:val="32"/>
        </w:rPr>
        <w:t>（项）</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202</w:t>
      </w:r>
      <w:r>
        <w:rPr>
          <w:rFonts w:hint="eastAsia" w:ascii="仿宋_GB2312" w:hAnsi="仿宋_GB2312" w:eastAsia="仿宋_GB2312" w:cs="仿宋_GB2312"/>
          <w:color w:val="auto"/>
          <w:kern w:val="0"/>
          <w:sz w:val="32"/>
          <w:szCs w:val="32"/>
          <w:lang w:val="en-US" w:eastAsia="zh-CN"/>
        </w:rPr>
        <w:t>5</w:t>
      </w:r>
      <w:r>
        <w:rPr>
          <w:rFonts w:hint="eastAsia" w:ascii="仿宋_GB2312" w:hAnsi="仿宋_GB2312" w:eastAsia="仿宋_GB2312" w:cs="仿宋_GB2312"/>
          <w:color w:val="auto"/>
          <w:kern w:val="0"/>
          <w:sz w:val="32"/>
          <w:szCs w:val="32"/>
        </w:rPr>
        <w:t>年预算数为</w:t>
      </w:r>
      <w:r>
        <w:rPr>
          <w:rFonts w:hint="eastAsia" w:ascii="仿宋_GB2312" w:hAnsi="仿宋_GB2312" w:eastAsia="仿宋_GB2312" w:cs="仿宋_GB2312"/>
          <w:color w:val="auto"/>
          <w:kern w:val="0"/>
          <w:sz w:val="32"/>
          <w:szCs w:val="32"/>
          <w:lang w:val="en-US" w:eastAsia="zh-CN"/>
        </w:rPr>
        <w:t>2.93</w:t>
      </w:r>
      <w:r>
        <w:rPr>
          <w:rFonts w:hint="eastAsia" w:ascii="仿宋_GB2312" w:hAnsi="仿宋_GB2312" w:eastAsia="仿宋_GB2312" w:cs="仿宋_GB2312"/>
          <w:color w:val="auto"/>
          <w:kern w:val="0"/>
          <w:sz w:val="32"/>
          <w:szCs w:val="32"/>
        </w:rPr>
        <w:t>万元，主要用于：实施养老保险制度后，</w:t>
      </w:r>
      <w:r>
        <w:rPr>
          <w:rFonts w:hint="eastAsia" w:ascii="仿宋_GB2312" w:hAnsi="仿宋_GB2312" w:eastAsia="仿宋_GB2312" w:cs="仿宋_GB2312"/>
          <w:color w:val="auto"/>
          <w:kern w:val="0"/>
          <w:sz w:val="32"/>
          <w:szCs w:val="32"/>
          <w:lang w:eastAsia="zh-CN"/>
        </w:rPr>
        <w:t>单位</w:t>
      </w:r>
      <w:r>
        <w:rPr>
          <w:rFonts w:hint="eastAsia" w:ascii="仿宋_GB2312" w:hAnsi="仿宋_GB2312" w:eastAsia="仿宋_GB2312" w:cs="仿宋_GB2312"/>
          <w:color w:val="auto"/>
          <w:kern w:val="0"/>
          <w:sz w:val="32"/>
          <w:szCs w:val="32"/>
        </w:rPr>
        <w:t>按规定由单位缴纳的</w:t>
      </w:r>
      <w:r>
        <w:rPr>
          <w:rFonts w:hint="eastAsia" w:ascii="仿宋_GB2312" w:hAnsi="仿宋_GB2312" w:eastAsia="仿宋_GB2312" w:cs="仿宋_GB2312"/>
          <w:color w:val="auto"/>
          <w:kern w:val="0"/>
          <w:sz w:val="32"/>
          <w:szCs w:val="32"/>
          <w:lang w:val="en-US" w:eastAsia="zh-CN"/>
        </w:rPr>
        <w:t>工伤</w:t>
      </w:r>
      <w:r>
        <w:rPr>
          <w:rFonts w:hint="eastAsia" w:ascii="仿宋_GB2312" w:hAnsi="仿宋_GB2312" w:eastAsia="仿宋_GB2312" w:cs="仿宋_GB2312"/>
          <w:color w:val="auto"/>
          <w:kern w:val="0"/>
          <w:sz w:val="32"/>
          <w:szCs w:val="32"/>
        </w:rPr>
        <w:t>保险费支出。 </w:t>
      </w:r>
    </w:p>
    <w:p w14:paraId="4E407C37">
      <w:pPr>
        <w:numPr>
          <w:ilvl w:val="0"/>
          <w:numId w:val="0"/>
        </w:numPr>
        <w:spacing w:line="600" w:lineRule="exact"/>
        <w:ind w:firstLine="64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val="en-US" w:eastAsia="zh-CN"/>
        </w:rPr>
        <w:t>5.</w:t>
      </w:r>
      <w:r>
        <w:rPr>
          <w:rFonts w:hint="eastAsia" w:ascii="仿宋_GB2312" w:hAnsi="仿宋_GB2312" w:eastAsia="仿宋_GB2312" w:cs="仿宋_GB2312"/>
          <w:color w:val="auto"/>
          <w:kern w:val="0"/>
          <w:sz w:val="32"/>
          <w:szCs w:val="32"/>
        </w:rPr>
        <w:t>卫生健康支出（类）</w:t>
      </w:r>
      <w:r>
        <w:rPr>
          <w:rFonts w:hint="eastAsia" w:ascii="仿宋_GB2312" w:hAnsi="仿宋_GB2312" w:eastAsia="仿宋_GB2312" w:cs="仿宋_GB2312"/>
          <w:color w:val="auto"/>
          <w:kern w:val="0"/>
          <w:sz w:val="32"/>
          <w:szCs w:val="32"/>
          <w:lang w:val="en-US" w:eastAsia="zh-CN"/>
        </w:rPr>
        <w:t>行政事业单位医疗</w:t>
      </w:r>
      <w:r>
        <w:rPr>
          <w:rFonts w:hint="eastAsia" w:ascii="仿宋_GB2312" w:hAnsi="仿宋_GB2312" w:eastAsia="仿宋_GB2312" w:cs="仿宋_GB2312"/>
          <w:color w:val="auto"/>
          <w:kern w:val="0"/>
          <w:sz w:val="32"/>
          <w:szCs w:val="32"/>
        </w:rPr>
        <w:t>（款）</w:t>
      </w:r>
      <w:r>
        <w:rPr>
          <w:rFonts w:hint="eastAsia" w:ascii="仿宋_GB2312" w:hAnsi="仿宋_GB2312" w:eastAsia="仿宋_GB2312" w:cs="仿宋_GB2312"/>
          <w:color w:val="auto"/>
          <w:kern w:val="0"/>
          <w:sz w:val="32"/>
          <w:szCs w:val="32"/>
          <w:lang w:val="en-US" w:eastAsia="zh-CN"/>
        </w:rPr>
        <w:t>事业单位医疗</w:t>
      </w:r>
      <w:r>
        <w:rPr>
          <w:rFonts w:hint="eastAsia" w:ascii="仿宋_GB2312" w:hAnsi="仿宋_GB2312" w:eastAsia="仿宋_GB2312" w:cs="仿宋_GB2312"/>
          <w:color w:val="auto"/>
          <w:kern w:val="0"/>
          <w:sz w:val="32"/>
          <w:szCs w:val="32"/>
        </w:rPr>
        <w:t>（项）</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202</w:t>
      </w:r>
      <w:r>
        <w:rPr>
          <w:rFonts w:hint="eastAsia" w:ascii="仿宋_GB2312" w:hAnsi="仿宋_GB2312" w:eastAsia="仿宋_GB2312" w:cs="仿宋_GB2312"/>
          <w:color w:val="auto"/>
          <w:kern w:val="0"/>
          <w:sz w:val="32"/>
          <w:szCs w:val="32"/>
          <w:lang w:val="en-US" w:eastAsia="zh-CN"/>
        </w:rPr>
        <w:t>5</w:t>
      </w:r>
      <w:r>
        <w:rPr>
          <w:rFonts w:hint="eastAsia" w:ascii="仿宋_GB2312" w:hAnsi="仿宋_GB2312" w:eastAsia="仿宋_GB2312" w:cs="仿宋_GB2312"/>
          <w:color w:val="auto"/>
          <w:kern w:val="0"/>
          <w:sz w:val="32"/>
          <w:szCs w:val="32"/>
        </w:rPr>
        <w:t>年预算数为</w:t>
      </w:r>
      <w:r>
        <w:rPr>
          <w:rFonts w:hint="eastAsia" w:ascii="仿宋_GB2312" w:hAnsi="仿宋_GB2312" w:eastAsia="仿宋_GB2312" w:cs="仿宋_GB2312"/>
          <w:color w:val="auto"/>
          <w:kern w:val="0"/>
          <w:sz w:val="32"/>
          <w:szCs w:val="32"/>
          <w:lang w:val="en-US" w:eastAsia="zh-CN"/>
        </w:rPr>
        <w:t>13.33</w:t>
      </w:r>
      <w:r>
        <w:rPr>
          <w:rFonts w:hint="eastAsia" w:ascii="仿宋_GB2312" w:hAnsi="仿宋_GB2312" w:eastAsia="仿宋_GB2312" w:cs="仿宋_GB2312"/>
          <w:color w:val="auto"/>
          <w:kern w:val="0"/>
          <w:sz w:val="32"/>
          <w:szCs w:val="32"/>
        </w:rPr>
        <w:t>万元，主要用于：</w:t>
      </w:r>
      <w:r>
        <w:rPr>
          <w:rFonts w:hint="eastAsia" w:ascii="仿宋_GB2312" w:hAnsi="仿宋_GB2312" w:eastAsia="仿宋_GB2312" w:cs="仿宋_GB2312"/>
          <w:color w:val="auto"/>
          <w:kern w:val="0"/>
          <w:sz w:val="32"/>
          <w:szCs w:val="32"/>
          <w:lang w:eastAsia="zh-CN"/>
        </w:rPr>
        <w:t>单位</w:t>
      </w:r>
      <w:r>
        <w:rPr>
          <w:rFonts w:hint="eastAsia" w:ascii="仿宋_GB2312" w:hAnsi="仿宋_GB2312" w:eastAsia="仿宋_GB2312" w:cs="仿宋_GB2312"/>
          <w:color w:val="auto"/>
          <w:kern w:val="0"/>
          <w:sz w:val="32"/>
          <w:szCs w:val="32"/>
        </w:rPr>
        <w:t>按规定由单位缴纳的基本医疗保险缴费支出。</w:t>
      </w:r>
    </w:p>
    <w:p w14:paraId="633870A3">
      <w:pPr>
        <w:numPr>
          <w:ilvl w:val="0"/>
          <w:numId w:val="0"/>
        </w:numPr>
        <w:spacing w:line="600" w:lineRule="exact"/>
        <w:ind w:firstLine="640"/>
        <w:rPr>
          <w:rStyle w:val="23"/>
          <w:rFonts w:hint="eastAsia" w:ascii="仿宋_GB2312" w:hAnsi="仿宋_GB2312" w:eastAsia="仿宋_GB2312" w:cs="仿宋_GB2312"/>
          <w:b w:val="0"/>
          <w:bCs/>
          <w:color w:val="auto"/>
          <w:lang w:eastAsia="zh-CN"/>
        </w:rPr>
      </w:pPr>
      <w:r>
        <w:rPr>
          <w:rFonts w:hint="eastAsia" w:ascii="仿宋_GB2312" w:hAnsi="仿宋_GB2312" w:eastAsia="仿宋_GB2312" w:cs="仿宋_GB2312"/>
          <w:color w:val="auto"/>
          <w:kern w:val="0"/>
          <w:sz w:val="32"/>
          <w:szCs w:val="32"/>
          <w:lang w:val="en-US" w:eastAsia="zh-CN"/>
        </w:rPr>
        <w:t>6.住房保障（类）住房改革支出（款）住房公积金（项）：2025年预算数为36.34万元，主要用于：单位按人力资源和社会保障部、财政部规定的基本工资和津贴补贴以及规定比例为职工缴纳的住房公积金支</w:t>
      </w:r>
      <w:r>
        <w:rPr>
          <w:rFonts w:hint="eastAsia" w:ascii="仿宋_GB2312" w:hAnsi="仿宋_GB2312" w:eastAsia="仿宋_GB2312" w:cs="仿宋_GB2312"/>
          <w:color w:val="auto"/>
          <w:kern w:val="0"/>
          <w:sz w:val="32"/>
          <w:szCs w:val="32"/>
        </w:rPr>
        <w:t>出。</w:t>
      </w:r>
    </w:p>
    <w:p w14:paraId="720C468D">
      <w:pPr>
        <w:pStyle w:val="4"/>
        <w:keepNext/>
        <w:keepLines/>
        <w:pageBreakBefore w:val="0"/>
        <w:widowControl w:val="0"/>
        <w:kinsoku/>
        <w:wordWrap/>
        <w:overflowPunct/>
        <w:topLinePunct w:val="0"/>
        <w:autoSpaceDE/>
        <w:autoSpaceDN/>
        <w:bidi w:val="0"/>
        <w:adjustRightInd/>
        <w:snapToGrid/>
        <w:ind w:left="0" w:leftChars="0" w:firstLine="640" w:firstLineChars="200"/>
        <w:textAlignment w:val="auto"/>
        <w:rPr>
          <w:rStyle w:val="23"/>
          <w:rFonts w:hint="eastAsia" w:ascii="黑体" w:hAnsi="黑体" w:eastAsia="黑体" w:cs="黑体"/>
          <w:b w:val="0"/>
          <w:bCs/>
          <w:color w:val="auto"/>
          <w:lang w:eastAsia="zh-CN"/>
        </w:rPr>
      </w:pPr>
      <w:r>
        <w:rPr>
          <w:rStyle w:val="23"/>
          <w:rFonts w:hint="eastAsia" w:ascii="黑体" w:hAnsi="黑体" w:eastAsia="黑体" w:cs="黑体"/>
          <w:b w:val="0"/>
          <w:bCs/>
          <w:color w:val="auto"/>
          <w:lang w:eastAsia="zh-CN"/>
        </w:rPr>
        <w:t>四</w:t>
      </w:r>
      <w:r>
        <w:rPr>
          <w:rStyle w:val="23"/>
          <w:rFonts w:hint="eastAsia" w:ascii="黑体" w:hAnsi="黑体" w:eastAsia="黑体" w:cs="黑体"/>
          <w:b w:val="0"/>
          <w:bCs/>
          <w:color w:val="auto"/>
        </w:rPr>
        <w:t>、一般公共预算基本支出情况说明</w:t>
      </w:r>
    </w:p>
    <w:p w14:paraId="3E1F2B52">
      <w:pPr>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sz w:val="32"/>
          <w:szCs w:val="32"/>
          <w:lang w:eastAsia="zh-CN"/>
        </w:rPr>
        <w:t>黑竹沟镇中心小学</w:t>
      </w:r>
      <w:r>
        <w:rPr>
          <w:rFonts w:hint="eastAsia" w:ascii="仿宋_GB2312" w:hAnsi="仿宋_GB2312" w:eastAsia="仿宋_GB2312" w:cs="仿宋_GB2312"/>
          <w:color w:val="auto"/>
          <w:kern w:val="0"/>
          <w:sz w:val="32"/>
          <w:szCs w:val="32"/>
          <w:lang w:eastAsia="zh-CN"/>
        </w:rPr>
        <w:t>2025</w:t>
      </w:r>
      <w:r>
        <w:rPr>
          <w:rFonts w:hint="eastAsia" w:ascii="仿宋_GB2312" w:hAnsi="仿宋_GB2312" w:eastAsia="仿宋_GB2312" w:cs="仿宋_GB2312"/>
          <w:color w:val="auto"/>
          <w:kern w:val="0"/>
          <w:sz w:val="32"/>
          <w:szCs w:val="32"/>
        </w:rPr>
        <w:t>年一般公共预算基本支出</w:t>
      </w:r>
      <w:r>
        <w:rPr>
          <w:rFonts w:hint="eastAsia" w:ascii="仿宋_GB2312" w:hAnsi="仿宋_GB2312" w:eastAsia="仿宋_GB2312" w:cs="仿宋_GB2312"/>
          <w:color w:val="auto"/>
          <w:kern w:val="0"/>
          <w:sz w:val="32"/>
          <w:szCs w:val="32"/>
          <w:lang w:eastAsia="zh-CN"/>
        </w:rPr>
        <w:t>373.97</w:t>
      </w:r>
      <w:r>
        <w:rPr>
          <w:rFonts w:hint="eastAsia" w:ascii="仿宋_GB2312" w:hAnsi="仿宋_GB2312" w:eastAsia="仿宋_GB2312" w:cs="仿宋_GB2312"/>
          <w:color w:val="auto"/>
          <w:kern w:val="0"/>
          <w:sz w:val="32"/>
          <w:szCs w:val="32"/>
        </w:rPr>
        <w:t>万元，其中：</w:t>
      </w:r>
    </w:p>
    <w:p w14:paraId="7C3A8D3E">
      <w:pPr>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rPr>
        <w:t>人员经费358.57万元，主要包括：基本工资、津贴补贴、奖金、社会保险缴费、绩效工资、机关事业单位基本养老保险缴费、职业年金缴费、其他工资福利支出、住房公积金、其他对个人和家庭的补助支出。</w:t>
      </w:r>
    </w:p>
    <w:p w14:paraId="3D313B7D">
      <w:pPr>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rPr>
        <w:t>公用经费1</w:t>
      </w:r>
      <w:r>
        <w:rPr>
          <w:rFonts w:hint="eastAsia" w:ascii="仿宋_GB2312" w:hAnsi="仿宋_GB2312" w:eastAsia="仿宋_GB2312" w:cs="仿宋_GB2312"/>
          <w:color w:val="auto"/>
          <w:kern w:val="0"/>
          <w:sz w:val="32"/>
          <w:szCs w:val="32"/>
          <w:lang w:val="en-US" w:eastAsia="zh-CN"/>
        </w:rPr>
        <w:t>5</w:t>
      </w:r>
      <w:r>
        <w:rPr>
          <w:rFonts w:hint="eastAsia" w:ascii="仿宋_GB2312" w:hAnsi="仿宋_GB2312" w:eastAsia="仿宋_GB2312" w:cs="仿宋_GB2312"/>
          <w:color w:val="auto"/>
          <w:kern w:val="0"/>
          <w:sz w:val="32"/>
          <w:szCs w:val="32"/>
        </w:rPr>
        <w:t>.4万元，主要包括：工会经费、福利费、公务接待费。</w:t>
      </w:r>
    </w:p>
    <w:p w14:paraId="5C44CE56">
      <w:pPr>
        <w:rPr>
          <w:rStyle w:val="23"/>
          <w:rFonts w:hint="eastAsia" w:ascii="黑体" w:hAnsi="黑体" w:eastAsia="黑体" w:cs="黑体"/>
          <w:b w:val="0"/>
          <w:bCs/>
          <w:color w:val="auto"/>
          <w:lang w:eastAsia="zh-CN"/>
        </w:rPr>
      </w:pPr>
      <w:r>
        <w:rPr>
          <w:rStyle w:val="23"/>
          <w:rFonts w:hint="eastAsia" w:ascii="黑体" w:hAnsi="黑体" w:eastAsia="黑体" w:cs="黑体"/>
          <w:b w:val="0"/>
          <w:bCs/>
          <w:color w:val="auto"/>
          <w:lang w:eastAsia="zh-CN"/>
        </w:rPr>
        <w:t>五</w:t>
      </w:r>
      <w:r>
        <w:rPr>
          <w:rStyle w:val="23"/>
          <w:rFonts w:hint="eastAsia" w:ascii="黑体" w:hAnsi="黑体" w:eastAsia="黑体" w:cs="黑体"/>
          <w:b w:val="0"/>
          <w:bCs/>
          <w:color w:val="auto"/>
        </w:rPr>
        <w:t>、政府性基金预算支出规模及变化情况说明</w:t>
      </w:r>
    </w:p>
    <w:p w14:paraId="1E9FE528">
      <w:pPr>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eastAsia="zh-CN"/>
        </w:rPr>
        <w:t>黑竹沟镇中心小学2025年没有使用政府性基金预算拨款安排的支出。</w:t>
      </w:r>
    </w:p>
    <w:p w14:paraId="1BE2B019">
      <w:pPr>
        <w:rPr>
          <w:rStyle w:val="23"/>
          <w:rFonts w:hint="eastAsia" w:ascii="黑体" w:hAnsi="黑体" w:eastAsia="黑体" w:cs="黑体"/>
          <w:b w:val="0"/>
          <w:bCs/>
          <w:color w:val="auto"/>
        </w:rPr>
      </w:pPr>
      <w:r>
        <w:rPr>
          <w:rStyle w:val="23"/>
          <w:rFonts w:hint="eastAsia" w:ascii="黑体" w:hAnsi="黑体" w:eastAsia="黑体" w:cs="黑体"/>
          <w:b w:val="0"/>
          <w:bCs/>
          <w:color w:val="auto"/>
          <w:lang w:eastAsia="zh-CN"/>
        </w:rPr>
        <w:t>六</w:t>
      </w:r>
      <w:r>
        <w:rPr>
          <w:rStyle w:val="23"/>
          <w:rFonts w:hint="eastAsia" w:ascii="黑体" w:hAnsi="黑体" w:eastAsia="黑体" w:cs="黑体"/>
          <w:b w:val="0"/>
          <w:bCs/>
          <w:color w:val="auto"/>
        </w:rPr>
        <w:t>、国有资本经营预算支出规模及变化情况说明</w:t>
      </w:r>
    </w:p>
    <w:p w14:paraId="34848C32">
      <w:pPr>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eastAsia="zh-CN"/>
        </w:rPr>
        <w:t>黑竹沟镇中心小学2025年没有使用国有资本经营预算拨款安排的支出。</w:t>
      </w:r>
    </w:p>
    <w:p w14:paraId="0E2795DA">
      <w:pPr>
        <w:pStyle w:val="4"/>
        <w:bidi w:val="0"/>
        <w:rPr>
          <w:rStyle w:val="23"/>
          <w:rFonts w:hint="eastAsia" w:ascii="黑体" w:hAnsi="黑体" w:eastAsia="黑体" w:cs="黑体"/>
          <w:b w:val="0"/>
          <w:bCs/>
          <w:color w:val="auto"/>
          <w:lang w:eastAsia="zh-CN"/>
        </w:rPr>
      </w:pPr>
      <w:r>
        <w:rPr>
          <w:rStyle w:val="23"/>
          <w:rFonts w:hint="eastAsia" w:ascii="黑体" w:hAnsi="黑体" w:eastAsia="黑体" w:cs="黑体"/>
          <w:b w:val="0"/>
          <w:bCs/>
          <w:color w:val="auto"/>
          <w:lang w:eastAsia="zh-CN"/>
        </w:rPr>
        <w:t>七</w:t>
      </w:r>
      <w:r>
        <w:rPr>
          <w:rStyle w:val="23"/>
          <w:rFonts w:hint="eastAsia" w:ascii="黑体" w:hAnsi="黑体" w:eastAsia="黑体" w:cs="黑体"/>
          <w:b w:val="0"/>
          <w:bCs/>
          <w:color w:val="auto"/>
        </w:rPr>
        <w:t>、“三公”经费预算安排情况说明</w:t>
      </w:r>
    </w:p>
    <w:p w14:paraId="4129C017">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sz w:val="32"/>
          <w:szCs w:val="32"/>
          <w:lang w:eastAsia="zh-CN"/>
        </w:rPr>
        <w:t>黑竹沟镇中心小学</w:t>
      </w:r>
      <w:r>
        <w:rPr>
          <w:rFonts w:hint="eastAsia" w:ascii="仿宋_GB2312" w:hAnsi="仿宋_GB2312" w:eastAsia="仿宋_GB2312" w:cs="仿宋_GB2312"/>
          <w:color w:val="auto"/>
          <w:kern w:val="0"/>
          <w:sz w:val="32"/>
          <w:szCs w:val="32"/>
          <w:lang w:eastAsia="zh-CN"/>
        </w:rPr>
        <w:t>2025</w:t>
      </w:r>
      <w:r>
        <w:rPr>
          <w:rFonts w:hint="eastAsia" w:ascii="仿宋_GB2312" w:hAnsi="仿宋_GB2312" w:eastAsia="仿宋_GB2312" w:cs="仿宋_GB2312"/>
          <w:color w:val="auto"/>
          <w:kern w:val="0"/>
          <w:sz w:val="32"/>
          <w:szCs w:val="32"/>
        </w:rPr>
        <w:t>年“三公”经费</w:t>
      </w:r>
      <w:r>
        <w:rPr>
          <w:rFonts w:hint="eastAsia" w:ascii="仿宋_GB2312" w:hAnsi="仿宋_GB2312" w:eastAsia="仿宋_GB2312" w:cs="仿宋_GB2312"/>
          <w:color w:val="auto"/>
          <w:kern w:val="0"/>
          <w:sz w:val="32"/>
          <w:szCs w:val="32"/>
          <w:lang w:eastAsia="zh-CN"/>
        </w:rPr>
        <w:t>财政拨款</w:t>
      </w:r>
      <w:r>
        <w:rPr>
          <w:rFonts w:hint="eastAsia" w:ascii="仿宋_GB2312" w:hAnsi="仿宋_GB2312" w:eastAsia="仿宋_GB2312" w:cs="仿宋_GB2312"/>
          <w:color w:val="auto"/>
          <w:kern w:val="0"/>
          <w:sz w:val="32"/>
          <w:szCs w:val="32"/>
        </w:rPr>
        <w:t>预算数</w:t>
      </w:r>
      <w:r>
        <w:rPr>
          <w:rFonts w:hint="eastAsia" w:ascii="仿宋_GB2312" w:hAnsi="仿宋_GB2312" w:eastAsia="仿宋_GB2312" w:cs="仿宋_GB2312"/>
          <w:color w:val="auto"/>
          <w:kern w:val="0"/>
          <w:sz w:val="32"/>
          <w:szCs w:val="32"/>
          <w:lang w:val="en-US" w:eastAsia="zh-CN"/>
        </w:rPr>
        <w:t>1</w:t>
      </w:r>
      <w:r>
        <w:rPr>
          <w:rFonts w:hint="eastAsia" w:ascii="仿宋_GB2312" w:hAnsi="仿宋_GB2312" w:eastAsia="仿宋_GB2312" w:cs="仿宋_GB2312"/>
          <w:color w:val="auto"/>
          <w:kern w:val="0"/>
          <w:sz w:val="32"/>
          <w:szCs w:val="32"/>
        </w:rPr>
        <w:t>万元。其中</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因公出国（境）经费</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万元，公务接待费</w:t>
      </w:r>
      <w:r>
        <w:rPr>
          <w:rFonts w:hint="eastAsia" w:ascii="仿宋_GB2312" w:hAnsi="仿宋_GB2312" w:eastAsia="仿宋_GB2312" w:cs="仿宋_GB2312"/>
          <w:color w:val="auto"/>
          <w:kern w:val="0"/>
          <w:sz w:val="32"/>
          <w:szCs w:val="32"/>
          <w:lang w:val="en-US" w:eastAsia="zh-CN"/>
        </w:rPr>
        <w:t>1</w:t>
      </w:r>
      <w:r>
        <w:rPr>
          <w:rFonts w:hint="eastAsia" w:ascii="仿宋_GB2312" w:hAnsi="仿宋_GB2312" w:eastAsia="仿宋_GB2312" w:cs="仿宋_GB2312"/>
          <w:color w:val="auto"/>
          <w:kern w:val="0"/>
          <w:sz w:val="32"/>
          <w:szCs w:val="32"/>
        </w:rPr>
        <w:t>万元，公务用车购置及运行维护费</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万元。</w:t>
      </w:r>
    </w:p>
    <w:p w14:paraId="2CC4E97A">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val="en-US" w:eastAsia="zh-CN"/>
        </w:rPr>
        <w:t>1.</w:t>
      </w:r>
      <w:r>
        <w:rPr>
          <w:rFonts w:hint="eastAsia" w:ascii="仿宋_GB2312" w:hAnsi="仿宋_GB2312" w:eastAsia="仿宋_GB2312" w:cs="仿宋_GB2312"/>
          <w:color w:val="auto"/>
          <w:kern w:val="0"/>
          <w:sz w:val="32"/>
          <w:szCs w:val="32"/>
        </w:rPr>
        <w:t>因公出国（境）经费较上年预算持平。主要原因是</w:t>
      </w:r>
      <w:r>
        <w:rPr>
          <w:rFonts w:hint="eastAsia" w:ascii="仿宋_GB2312" w:hAnsi="仿宋_GB2312" w:eastAsia="仿宋_GB2312" w:cs="仿宋_GB2312"/>
          <w:color w:val="auto"/>
          <w:kern w:val="0"/>
          <w:sz w:val="32"/>
          <w:szCs w:val="32"/>
          <w:lang w:eastAsia="zh-CN"/>
        </w:rPr>
        <w:t>2025</w:t>
      </w:r>
      <w:r>
        <w:rPr>
          <w:rFonts w:hint="eastAsia" w:ascii="仿宋_GB2312" w:hAnsi="仿宋_GB2312" w:eastAsia="仿宋_GB2312" w:cs="仿宋_GB2312"/>
          <w:color w:val="auto"/>
          <w:kern w:val="0"/>
          <w:sz w:val="32"/>
          <w:szCs w:val="32"/>
        </w:rPr>
        <w:t>年</w:t>
      </w:r>
      <w:r>
        <w:rPr>
          <w:rFonts w:hint="eastAsia" w:ascii="仿宋_GB2312" w:hAnsi="仿宋_GB2312" w:eastAsia="仿宋_GB2312" w:cs="仿宋_GB2312"/>
          <w:color w:val="auto"/>
          <w:kern w:val="0"/>
          <w:sz w:val="32"/>
          <w:szCs w:val="32"/>
          <w:lang w:eastAsia="zh-CN"/>
        </w:rPr>
        <w:t>和2024</w:t>
      </w:r>
      <w:r>
        <w:rPr>
          <w:rFonts w:hint="eastAsia" w:ascii="仿宋_GB2312" w:hAnsi="仿宋_GB2312" w:eastAsia="仿宋_GB2312" w:cs="仿宋_GB2312"/>
          <w:color w:val="auto"/>
          <w:kern w:val="0"/>
          <w:sz w:val="32"/>
          <w:szCs w:val="32"/>
        </w:rPr>
        <w:t>年均无因公出国（境）费用支出。</w:t>
      </w:r>
    </w:p>
    <w:p w14:paraId="33FD2919">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rPr>
        <w:t>2.公务接待费较上年预算</w:t>
      </w:r>
      <w:r>
        <w:rPr>
          <w:rFonts w:hint="eastAsia" w:ascii="仿宋_GB2312" w:hAnsi="仿宋_GB2312" w:eastAsia="仿宋_GB2312" w:cs="仿宋_GB2312"/>
          <w:color w:val="auto"/>
          <w:kern w:val="0"/>
          <w:sz w:val="32"/>
          <w:szCs w:val="32"/>
          <w:lang w:val="en-US" w:eastAsia="zh-CN"/>
        </w:rPr>
        <w:t>增加1</w:t>
      </w:r>
      <w:r>
        <w:rPr>
          <w:rFonts w:hint="eastAsia" w:ascii="仿宋_GB2312" w:hAnsi="仿宋_GB2312" w:eastAsia="仿宋_GB2312" w:cs="仿宋_GB2312"/>
          <w:color w:val="auto"/>
          <w:kern w:val="0"/>
          <w:sz w:val="32"/>
          <w:szCs w:val="32"/>
        </w:rPr>
        <w:t>万元，</w:t>
      </w:r>
      <w:r>
        <w:rPr>
          <w:rFonts w:hint="eastAsia" w:ascii="仿宋_GB2312" w:hAnsi="仿宋_GB2312" w:eastAsia="仿宋_GB2312" w:cs="仿宋_GB2312"/>
          <w:color w:val="auto"/>
          <w:kern w:val="0"/>
          <w:sz w:val="32"/>
          <w:szCs w:val="32"/>
          <w:lang w:val="en-US" w:eastAsia="zh-CN"/>
        </w:rPr>
        <w:t>增长100</w:t>
      </w:r>
      <w:r>
        <w:rPr>
          <w:rFonts w:hint="eastAsia" w:ascii="仿宋_GB2312" w:hAnsi="仿宋_GB2312" w:eastAsia="仿宋_GB2312" w:cs="仿宋_GB2312"/>
          <w:color w:val="auto"/>
          <w:kern w:val="0"/>
          <w:sz w:val="32"/>
          <w:szCs w:val="32"/>
        </w:rPr>
        <w:t>%。主要原因是</w:t>
      </w:r>
      <w:r>
        <w:rPr>
          <w:rFonts w:hint="eastAsia" w:ascii="仿宋_GB2312" w:hAnsi="仿宋_GB2312" w:eastAsia="仿宋_GB2312" w:cs="仿宋_GB2312"/>
          <w:color w:val="auto"/>
          <w:kern w:val="0"/>
          <w:sz w:val="32"/>
          <w:szCs w:val="32"/>
          <w:lang w:val="en-US" w:eastAsia="zh-CN"/>
        </w:rPr>
        <w:t>2024年没有预算公务接待费，2025年预算了公务接待费</w:t>
      </w:r>
      <w:r>
        <w:rPr>
          <w:rFonts w:hint="eastAsia" w:ascii="仿宋_GB2312" w:hAnsi="仿宋_GB2312" w:eastAsia="仿宋_GB2312" w:cs="仿宋_GB2312"/>
          <w:color w:val="auto"/>
          <w:kern w:val="0"/>
          <w:sz w:val="32"/>
          <w:szCs w:val="32"/>
        </w:rPr>
        <w:t>。</w:t>
      </w:r>
    </w:p>
    <w:p w14:paraId="271C52DB">
      <w:pPr>
        <w:bidi w:val="0"/>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2025</w:t>
      </w:r>
      <w:r>
        <w:rPr>
          <w:rFonts w:hint="eastAsia" w:ascii="仿宋_GB2312" w:hAnsi="仿宋_GB2312" w:eastAsia="仿宋_GB2312" w:cs="仿宋_GB2312"/>
          <w:color w:val="auto"/>
          <w:kern w:val="0"/>
          <w:sz w:val="32"/>
          <w:szCs w:val="32"/>
        </w:rPr>
        <w:t>年公务接待费计划用于</w:t>
      </w:r>
      <w:r>
        <w:rPr>
          <w:rFonts w:hint="eastAsia" w:ascii="仿宋_GB2312" w:hAnsi="仿宋_GB2312" w:eastAsia="仿宋_GB2312" w:cs="仿宋_GB2312"/>
          <w:color w:val="auto"/>
          <w:kern w:val="0"/>
          <w:sz w:val="32"/>
          <w:szCs w:val="32"/>
          <w:lang w:val="en-US" w:eastAsia="zh-CN"/>
        </w:rPr>
        <w:t>上级领导</w:t>
      </w:r>
      <w:r>
        <w:rPr>
          <w:rFonts w:hint="eastAsia" w:ascii="仿宋_GB2312" w:hAnsi="仿宋_GB2312" w:eastAsia="仿宋_GB2312" w:cs="仿宋_GB2312"/>
          <w:color w:val="auto"/>
          <w:kern w:val="0"/>
          <w:sz w:val="32"/>
          <w:szCs w:val="32"/>
        </w:rPr>
        <w:t>调研指导工作和</w:t>
      </w:r>
      <w:r>
        <w:rPr>
          <w:rFonts w:hint="eastAsia" w:ascii="仿宋_GB2312" w:hAnsi="仿宋_GB2312" w:eastAsia="仿宋_GB2312" w:cs="仿宋_GB2312"/>
          <w:color w:val="auto"/>
          <w:kern w:val="0"/>
          <w:sz w:val="32"/>
          <w:szCs w:val="32"/>
          <w:lang w:val="en-US" w:eastAsia="zh-CN"/>
        </w:rPr>
        <w:t>对口支援学校</w:t>
      </w:r>
      <w:r>
        <w:rPr>
          <w:rFonts w:hint="eastAsia" w:ascii="仿宋_GB2312" w:hAnsi="仿宋_GB2312" w:eastAsia="仿宋_GB2312" w:cs="仿宋_GB2312"/>
          <w:color w:val="auto"/>
          <w:kern w:val="0"/>
          <w:sz w:val="32"/>
          <w:szCs w:val="32"/>
        </w:rPr>
        <w:t>来我单位交流学习等。</w:t>
      </w:r>
    </w:p>
    <w:p w14:paraId="7D7EAB33">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rPr>
        <w:t>3.公务用车购置及运行维护费较上年预算减少</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万元，下降</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%。主要原因是</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w:t>
      </w:r>
    </w:p>
    <w:p w14:paraId="70E4E491">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rPr>
        <w:t>单位现有公务用车</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辆，其中：轿车</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辆，越野车</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辆，其他车型</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辆。</w:t>
      </w:r>
    </w:p>
    <w:p w14:paraId="40BB7AA7">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2025年安排公务用车购置费0万元。</w:t>
      </w:r>
    </w:p>
    <w:p w14:paraId="748AF69B">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2025</w:t>
      </w:r>
      <w:r>
        <w:rPr>
          <w:rFonts w:hint="eastAsia" w:ascii="仿宋_GB2312" w:hAnsi="仿宋_GB2312" w:eastAsia="仿宋_GB2312" w:cs="仿宋_GB2312"/>
          <w:color w:val="auto"/>
          <w:kern w:val="0"/>
          <w:sz w:val="32"/>
          <w:szCs w:val="32"/>
        </w:rPr>
        <w:t>年安排公务用车运行维护费</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万元，用于公务用车燃油、维修、保险及其他车辆支出</w:t>
      </w:r>
      <w:r>
        <w:rPr>
          <w:rFonts w:hint="eastAsia" w:ascii="仿宋_GB2312" w:hAnsi="仿宋_GB2312" w:eastAsia="仿宋_GB2312" w:cs="仿宋_GB2312"/>
          <w:color w:val="auto"/>
          <w:kern w:val="0"/>
          <w:sz w:val="32"/>
          <w:szCs w:val="32"/>
          <w:lang w:eastAsia="zh-CN"/>
        </w:rPr>
        <w:t>，主要保障相关工作开展</w:t>
      </w:r>
      <w:r>
        <w:rPr>
          <w:rFonts w:hint="eastAsia" w:ascii="仿宋_GB2312" w:hAnsi="仿宋_GB2312" w:eastAsia="仿宋_GB2312" w:cs="仿宋_GB2312"/>
          <w:color w:val="auto"/>
          <w:kern w:val="0"/>
          <w:sz w:val="32"/>
          <w:szCs w:val="32"/>
        </w:rPr>
        <w:t>。</w:t>
      </w:r>
    </w:p>
    <w:p w14:paraId="33267A52">
      <w:pPr>
        <w:pStyle w:val="4"/>
        <w:bidi w:val="0"/>
        <w:rPr>
          <w:rStyle w:val="23"/>
          <w:rFonts w:hint="eastAsia" w:ascii="黑体" w:hAnsi="黑体" w:eastAsia="黑体" w:cs="黑体"/>
          <w:b w:val="0"/>
          <w:bCs/>
          <w:color w:val="auto"/>
          <w:lang w:eastAsia="zh-CN"/>
        </w:rPr>
      </w:pPr>
      <w:r>
        <w:rPr>
          <w:rStyle w:val="23"/>
          <w:rFonts w:hint="eastAsia" w:ascii="黑体" w:hAnsi="黑体" w:eastAsia="黑体" w:cs="黑体"/>
          <w:b w:val="0"/>
          <w:bCs/>
          <w:color w:val="auto"/>
          <w:lang w:eastAsia="zh-CN"/>
        </w:rPr>
        <w:t>八</w:t>
      </w:r>
      <w:r>
        <w:rPr>
          <w:rStyle w:val="23"/>
          <w:rFonts w:hint="eastAsia" w:ascii="黑体" w:hAnsi="黑体" w:eastAsia="黑体" w:cs="黑体"/>
          <w:b w:val="0"/>
          <w:bCs/>
          <w:color w:val="auto"/>
        </w:rPr>
        <w:t>、其他重要事项的情况说明</w:t>
      </w:r>
    </w:p>
    <w:p w14:paraId="1A9B1CC9">
      <w:pPr>
        <w:suppressAutoHyphens/>
        <w:spacing w:line="580" w:lineRule="exact"/>
        <w:ind w:firstLine="640" w:firstLineChars="200"/>
        <w:jc w:val="both"/>
        <w:outlineLvl w:val="2"/>
        <w:rPr>
          <w:rFonts w:hint="eastAsia" w:ascii="Times New Roman" w:hAnsi="Times New Roman" w:eastAsia="楷体_GB2312" w:cs="Times New Roman"/>
          <w:b w:val="0"/>
          <w:bCs/>
          <w:color w:val="auto"/>
          <w:sz w:val="32"/>
          <w:szCs w:val="32"/>
          <w:lang w:eastAsia="zh-CN"/>
        </w:rPr>
      </w:pPr>
      <w:r>
        <w:rPr>
          <w:rFonts w:hint="eastAsia" w:ascii="Times New Roman" w:hAnsi="Times New Roman" w:eastAsia="楷体_GB2312" w:cs="Times New Roman"/>
          <w:b w:val="0"/>
          <w:bCs/>
          <w:color w:val="auto"/>
          <w:sz w:val="32"/>
          <w:szCs w:val="32"/>
        </w:rPr>
        <w:t>（一）机关运行经费。</w:t>
      </w:r>
    </w:p>
    <w:p w14:paraId="0B0C1022">
      <w:pPr>
        <w:bidi w:val="0"/>
        <w:rPr>
          <w:rFonts w:hint="eastAsia" w:ascii="Times New Roman" w:hAnsi="Times New Roman" w:eastAsia="仿宋_GB2312" w:cs="仿宋_GB2312"/>
          <w:color w:val="auto"/>
          <w:sz w:val="32"/>
          <w:szCs w:val="32"/>
          <w:shd w:val="clear" w:color="auto" w:fill="FFFFFF"/>
        </w:rPr>
      </w:pPr>
      <w:r>
        <w:rPr>
          <w:rFonts w:hint="eastAsia" w:ascii="Times New Roman" w:hAnsi="Times New Roman" w:eastAsia="仿宋_GB2312" w:cs="仿宋_GB2312"/>
          <w:color w:val="auto"/>
          <w:sz w:val="32"/>
          <w:szCs w:val="32"/>
          <w:shd w:val="clear" w:color="auto" w:fill="FFFFFF"/>
          <w:lang w:eastAsia="zh-CN"/>
        </w:rPr>
        <w:t>2025</w:t>
      </w:r>
      <w:r>
        <w:rPr>
          <w:rFonts w:hint="eastAsia" w:ascii="Times New Roman" w:hAnsi="Times New Roman" w:eastAsia="仿宋_GB2312" w:cs="仿宋_GB2312"/>
          <w:color w:val="auto"/>
          <w:sz w:val="32"/>
          <w:szCs w:val="32"/>
          <w:shd w:val="clear" w:color="auto" w:fill="FFFFFF"/>
        </w:rPr>
        <w:t>年</w:t>
      </w:r>
      <w:r>
        <w:rPr>
          <w:rFonts w:hint="eastAsia" w:ascii="Times New Roman" w:hAnsi="Times New Roman" w:eastAsia="仿宋_GB2312" w:cs="仿宋_GB2312"/>
          <w:color w:val="auto"/>
          <w:sz w:val="32"/>
          <w:szCs w:val="32"/>
          <w:shd w:val="clear" w:color="auto" w:fill="FFFFFF"/>
          <w:lang w:eastAsia="zh-CN"/>
        </w:rPr>
        <w:t>，</w:t>
      </w:r>
      <w:r>
        <w:rPr>
          <w:rFonts w:hint="eastAsia" w:ascii="Times New Roman" w:hAnsi="Times New Roman" w:eastAsia="仿宋_GB2312" w:cs="仿宋_GB2312"/>
          <w:color w:val="auto"/>
          <w:sz w:val="32"/>
          <w:szCs w:val="32"/>
          <w:lang w:eastAsia="zh-CN"/>
        </w:rPr>
        <w:t>黑竹沟镇中心小学是事业单位，</w:t>
      </w:r>
      <w:r>
        <w:rPr>
          <w:rFonts w:hint="eastAsia" w:ascii="Times New Roman" w:hAnsi="Times New Roman" w:eastAsia="仿宋_GB2312" w:cs="仿宋_GB2312"/>
          <w:color w:val="auto"/>
          <w:sz w:val="32"/>
          <w:szCs w:val="32"/>
          <w:shd w:val="clear" w:color="auto" w:fill="FFFFFF"/>
          <w:lang w:eastAsia="zh-CN"/>
        </w:rPr>
        <w:t>未使用机关运行经费相关科目</w:t>
      </w:r>
      <w:r>
        <w:rPr>
          <w:rFonts w:hint="eastAsia" w:ascii="Times New Roman" w:hAnsi="Times New Roman" w:eastAsia="仿宋_GB2312" w:cs="仿宋_GB2312"/>
          <w:color w:val="auto"/>
          <w:sz w:val="32"/>
          <w:szCs w:val="32"/>
          <w:shd w:val="clear" w:color="auto" w:fill="FFFFFF"/>
        </w:rPr>
        <w:t>。</w:t>
      </w:r>
    </w:p>
    <w:p w14:paraId="065A167B">
      <w:pPr>
        <w:suppressAutoHyphens/>
        <w:spacing w:line="580" w:lineRule="exact"/>
        <w:ind w:firstLine="640" w:firstLineChars="200"/>
        <w:jc w:val="both"/>
        <w:outlineLvl w:val="2"/>
        <w:rPr>
          <w:rFonts w:hint="eastAsia" w:ascii="Times New Roman" w:hAnsi="Times New Roman" w:eastAsia="楷体_GB2312" w:cs="Times New Roman"/>
          <w:b w:val="0"/>
          <w:bCs/>
          <w:color w:val="auto"/>
          <w:sz w:val="32"/>
          <w:szCs w:val="32"/>
          <w:lang w:eastAsia="zh-CN"/>
        </w:rPr>
      </w:pPr>
      <w:r>
        <w:rPr>
          <w:rFonts w:hint="eastAsia" w:ascii="Times New Roman" w:hAnsi="Times New Roman" w:eastAsia="楷体_GB2312" w:cs="Times New Roman"/>
          <w:b w:val="0"/>
          <w:bCs/>
          <w:color w:val="auto"/>
          <w:sz w:val="32"/>
          <w:szCs w:val="32"/>
        </w:rPr>
        <w:t>（二）政府采购情况。</w:t>
      </w:r>
    </w:p>
    <w:p w14:paraId="51946388">
      <w:pPr>
        <w:suppressAutoHyphens/>
        <w:spacing w:line="580" w:lineRule="exact"/>
        <w:ind w:firstLine="640" w:firstLineChars="200"/>
        <w:jc w:val="both"/>
        <w:outlineLvl w:val="2"/>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sz w:val="32"/>
          <w:szCs w:val="32"/>
          <w:lang w:eastAsia="zh-CN"/>
        </w:rPr>
        <w:t>黑竹沟镇中心小学</w:t>
      </w:r>
      <w:r>
        <w:rPr>
          <w:rFonts w:hint="eastAsia" w:ascii="Times New Roman" w:hAnsi="Times New Roman" w:eastAsia="仿宋_GB2312" w:cs="仿宋_GB2312"/>
          <w:color w:val="auto"/>
          <w:kern w:val="0"/>
          <w:sz w:val="32"/>
          <w:szCs w:val="32"/>
          <w:lang w:eastAsia="zh-CN"/>
        </w:rPr>
        <w:t>2025年无政府采购项目，未安排政府采购预算。</w:t>
      </w:r>
    </w:p>
    <w:p w14:paraId="0C190FF4">
      <w:pPr>
        <w:suppressAutoHyphens/>
        <w:spacing w:line="580" w:lineRule="exact"/>
        <w:ind w:firstLine="640" w:firstLineChars="200"/>
        <w:jc w:val="both"/>
        <w:outlineLvl w:val="2"/>
        <w:rPr>
          <w:rFonts w:hint="eastAsia" w:ascii="Times New Roman" w:hAnsi="Times New Roman" w:eastAsia="楷体_GB2312" w:cs="Times New Roman"/>
          <w:b w:val="0"/>
          <w:bCs/>
          <w:color w:val="auto"/>
          <w:sz w:val="32"/>
          <w:szCs w:val="32"/>
        </w:rPr>
      </w:pPr>
      <w:r>
        <w:rPr>
          <w:rFonts w:hint="eastAsia" w:ascii="Times New Roman" w:hAnsi="Times New Roman" w:eastAsia="楷体_GB2312" w:cs="Times New Roman"/>
          <w:b w:val="0"/>
          <w:bCs/>
          <w:color w:val="auto"/>
          <w:sz w:val="32"/>
          <w:szCs w:val="32"/>
        </w:rPr>
        <w:t>（</w:t>
      </w:r>
      <w:r>
        <w:rPr>
          <w:rFonts w:hint="eastAsia" w:ascii="Times New Roman" w:hAnsi="Times New Roman" w:eastAsia="楷体_GB2312" w:cs="Times New Roman"/>
          <w:b w:val="0"/>
          <w:bCs/>
          <w:color w:val="auto"/>
          <w:sz w:val="32"/>
          <w:szCs w:val="32"/>
          <w:lang w:eastAsia="zh-CN"/>
        </w:rPr>
        <w:t>三</w:t>
      </w:r>
      <w:r>
        <w:rPr>
          <w:rFonts w:hint="eastAsia" w:ascii="Times New Roman" w:hAnsi="Times New Roman" w:eastAsia="楷体_GB2312" w:cs="Times New Roman"/>
          <w:b w:val="0"/>
          <w:bCs/>
          <w:color w:val="auto"/>
          <w:sz w:val="32"/>
          <w:szCs w:val="32"/>
        </w:rPr>
        <w:t>）国有资产占有使用情况。</w:t>
      </w:r>
    </w:p>
    <w:p w14:paraId="1D5BCC67">
      <w:pPr>
        <w:rPr>
          <w:rFonts w:hint="eastAsia" w:ascii="Times New Roman" w:hAnsi="Times New Roman" w:eastAsia="仿宋_GB2312" w:cs="仿宋_GB2312"/>
          <w:color w:val="auto"/>
          <w:kern w:val="0"/>
        </w:rPr>
      </w:pPr>
      <w:r>
        <w:rPr>
          <w:rFonts w:hint="eastAsia" w:ascii="Times New Roman" w:hAnsi="Times New Roman" w:eastAsia="仿宋_GB2312" w:cs="仿宋_GB2312"/>
          <w:color w:val="auto"/>
          <w:sz w:val="32"/>
          <w:szCs w:val="32"/>
          <w:lang w:eastAsia="zh-CN"/>
        </w:rPr>
        <w:t>黑竹沟镇中心小学</w:t>
      </w:r>
      <w:r>
        <w:rPr>
          <w:rFonts w:hint="eastAsia" w:ascii="Times New Roman" w:hAnsi="Times New Roman" w:eastAsia="仿宋_GB2312" w:cs="仿宋_GB2312"/>
          <w:color w:val="auto"/>
          <w:kern w:val="0"/>
          <w:lang w:eastAsia="zh-CN"/>
        </w:rPr>
        <w:t>202</w:t>
      </w:r>
      <w:r>
        <w:rPr>
          <w:rFonts w:hint="eastAsia" w:ascii="Times New Roman" w:hAnsi="Times New Roman" w:eastAsia="仿宋_GB2312" w:cs="仿宋_GB2312"/>
          <w:color w:val="auto"/>
          <w:kern w:val="0"/>
          <w:lang w:val="en-US" w:eastAsia="zh-CN"/>
        </w:rPr>
        <w:t>5</w:t>
      </w:r>
      <w:r>
        <w:rPr>
          <w:rFonts w:hint="eastAsia" w:ascii="Times New Roman" w:hAnsi="Times New Roman" w:eastAsia="仿宋_GB2312" w:cs="仿宋_GB2312"/>
          <w:color w:val="auto"/>
          <w:kern w:val="0"/>
        </w:rPr>
        <w:t>年</w:t>
      </w:r>
      <w:r>
        <w:rPr>
          <w:rFonts w:hint="eastAsia" w:ascii="Times New Roman" w:hAnsi="Times New Roman" w:eastAsia="仿宋_GB2312" w:cs="仿宋_GB2312"/>
          <w:color w:val="auto"/>
          <w:kern w:val="0"/>
          <w:lang w:eastAsia="zh-CN"/>
        </w:rPr>
        <w:t>单位</w:t>
      </w:r>
      <w:r>
        <w:rPr>
          <w:rFonts w:hint="eastAsia" w:ascii="Times New Roman" w:hAnsi="Times New Roman" w:eastAsia="仿宋_GB2312" w:cs="仿宋_GB2312"/>
          <w:color w:val="auto"/>
          <w:kern w:val="0"/>
        </w:rPr>
        <w:t>预算未安排购置车辆及单位价值200万元以上大型设备。</w:t>
      </w:r>
    </w:p>
    <w:p w14:paraId="16C944A1">
      <w:pPr>
        <w:suppressAutoHyphens/>
        <w:spacing w:line="580" w:lineRule="exact"/>
        <w:ind w:firstLine="640" w:firstLineChars="200"/>
        <w:jc w:val="both"/>
        <w:outlineLvl w:val="2"/>
        <w:rPr>
          <w:rFonts w:hint="eastAsia" w:ascii="Times New Roman" w:hAnsi="Times New Roman" w:eastAsia="楷体_GB2312" w:cs="Times New Roman"/>
          <w:b w:val="0"/>
          <w:bCs/>
          <w:color w:val="auto"/>
          <w:sz w:val="32"/>
          <w:szCs w:val="32"/>
          <w:lang w:eastAsia="zh-CN"/>
        </w:rPr>
      </w:pPr>
      <w:r>
        <w:rPr>
          <w:rFonts w:hint="eastAsia" w:ascii="Times New Roman" w:hAnsi="Times New Roman" w:eastAsia="楷体_GB2312" w:cs="Times New Roman"/>
          <w:b w:val="0"/>
          <w:bCs/>
          <w:color w:val="auto"/>
          <w:sz w:val="32"/>
          <w:szCs w:val="32"/>
        </w:rPr>
        <w:t>（</w:t>
      </w:r>
      <w:r>
        <w:rPr>
          <w:rFonts w:hint="eastAsia" w:ascii="Times New Roman" w:hAnsi="Times New Roman" w:eastAsia="楷体_GB2312" w:cs="Times New Roman"/>
          <w:b w:val="0"/>
          <w:bCs/>
          <w:color w:val="auto"/>
          <w:sz w:val="32"/>
          <w:szCs w:val="32"/>
          <w:lang w:eastAsia="zh-CN"/>
        </w:rPr>
        <w:t>四</w:t>
      </w:r>
      <w:r>
        <w:rPr>
          <w:rFonts w:hint="eastAsia" w:ascii="Times New Roman" w:hAnsi="Times New Roman" w:eastAsia="楷体_GB2312" w:cs="Times New Roman"/>
          <w:b w:val="0"/>
          <w:bCs/>
          <w:color w:val="auto"/>
          <w:sz w:val="32"/>
          <w:szCs w:val="32"/>
        </w:rPr>
        <w:t>）绩效目标设置情况。</w:t>
      </w:r>
    </w:p>
    <w:p w14:paraId="2C740BAB">
      <w:pPr>
        <w:bidi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eastAsia="zh-CN"/>
        </w:rPr>
        <w:t>2025年，</w:t>
      </w:r>
      <w:r>
        <w:rPr>
          <w:rFonts w:hint="eastAsia" w:ascii="仿宋_GB2312" w:hAnsi="仿宋_GB2312" w:eastAsia="仿宋_GB2312" w:cs="仿宋_GB2312"/>
          <w:color w:val="auto"/>
          <w:sz w:val="32"/>
          <w:szCs w:val="32"/>
          <w:lang w:eastAsia="zh-CN"/>
        </w:rPr>
        <w:t>黑竹沟镇中心小学</w:t>
      </w:r>
      <w:r>
        <w:rPr>
          <w:rFonts w:hint="eastAsia" w:ascii="仿宋_GB2312" w:hAnsi="仿宋_GB2312" w:eastAsia="仿宋_GB2312" w:cs="仿宋_GB2312"/>
          <w:color w:val="auto"/>
          <w:kern w:val="0"/>
          <w:sz w:val="32"/>
          <w:szCs w:val="32"/>
          <w:lang w:eastAsia="zh-CN"/>
        </w:rPr>
        <w:t>开展绩效目标管理的项目</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lang w:eastAsia="zh-CN"/>
        </w:rPr>
        <w:t>个，涉及预算</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lang w:eastAsia="zh-CN"/>
        </w:rPr>
        <w:t>万元。其中：人员类项目</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lang w:eastAsia="zh-CN"/>
        </w:rPr>
        <w:t>个，涉及预算</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lang w:eastAsia="zh-CN"/>
        </w:rPr>
        <w:t>万元；运转类项目</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lang w:eastAsia="zh-CN"/>
        </w:rPr>
        <w:t>个，涉及预算</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lang w:eastAsia="zh-CN"/>
        </w:rPr>
        <w:t>万元；特定目标类项目</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lang w:eastAsia="zh-CN"/>
        </w:rPr>
        <w:t>个，涉及预算</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lang w:eastAsia="zh-CN"/>
        </w:rPr>
        <w:t>万元</w:t>
      </w:r>
      <w:r>
        <w:rPr>
          <w:rFonts w:hint="eastAsia" w:ascii="仿宋_GB2312" w:hAnsi="仿宋_GB2312" w:eastAsia="仿宋_GB2312" w:cs="仿宋_GB2312"/>
          <w:color w:val="auto"/>
          <w:kern w:val="0"/>
          <w:sz w:val="32"/>
          <w:szCs w:val="32"/>
        </w:rPr>
        <w:t>。</w:t>
      </w:r>
    </w:p>
    <w:p w14:paraId="4129F192">
      <w:pPr>
        <w:bidi w:val="0"/>
        <w:rPr>
          <w:rFonts w:hint="eastAsia" w:ascii="仿宋_GB2312" w:hAnsi="仿宋_GB2312" w:eastAsia="仿宋_GB2312" w:cs="仿宋_GB2312"/>
          <w:color w:val="auto"/>
          <w:kern w:val="0"/>
          <w:sz w:val="32"/>
          <w:szCs w:val="32"/>
        </w:rPr>
      </w:pPr>
    </w:p>
    <w:p w14:paraId="5C137B2D">
      <w:pPr>
        <w:bidi w:val="0"/>
        <w:rPr>
          <w:rFonts w:hint="eastAsia" w:ascii="仿宋_GB2312" w:hAnsi="仿宋_GB2312" w:eastAsia="仿宋_GB2312" w:cs="仿宋_GB2312"/>
          <w:color w:val="auto"/>
          <w:kern w:val="0"/>
          <w:sz w:val="32"/>
          <w:szCs w:val="32"/>
          <w:lang w:val="en-US" w:eastAsia="zh-CN"/>
        </w:rPr>
      </w:pPr>
    </w:p>
    <w:p w14:paraId="2D0717CA">
      <w:pPr>
        <w:pStyle w:val="2"/>
        <w:numPr>
          <w:ilvl w:val="0"/>
          <w:numId w:val="0"/>
        </w:numPr>
        <w:bidi w:val="0"/>
        <w:jc w:val="center"/>
        <w:rPr>
          <w:rFonts w:hint="eastAsia" w:ascii="方正小标宋简体" w:hAnsi="方正小标宋简体" w:eastAsia="方正小标宋简体" w:cs="方正小标宋简体"/>
          <w:b w:val="0"/>
          <w:bCs/>
          <w:color w:val="auto"/>
          <w:lang w:val="en-US" w:eastAsia="zh-CN"/>
        </w:rPr>
      </w:pPr>
      <w:r>
        <w:rPr>
          <w:rFonts w:hint="eastAsia" w:ascii="方正小标宋简体" w:hAnsi="方正小标宋简体" w:eastAsia="方正小标宋简体" w:cs="方正小标宋简体"/>
          <w:b w:val="0"/>
          <w:bCs/>
          <w:color w:val="auto"/>
          <w:lang w:val="en-US" w:eastAsia="zh-CN"/>
        </w:rPr>
        <w:t>第四部分  名词解释</w:t>
      </w:r>
    </w:p>
    <w:p w14:paraId="38DA866C">
      <w:pPr>
        <w:widowControl/>
        <w:numPr>
          <w:ilvl w:val="0"/>
          <w:numId w:val="0"/>
        </w:numPr>
        <w:shd w:val="clear" w:color="auto" w:fill="FFFFFF"/>
        <w:ind w:left="960" w:leftChars="0"/>
        <w:jc w:val="left"/>
        <w:rPr>
          <w:rFonts w:hint="eastAsia" w:ascii="仿宋" w:hAnsi="宋体" w:eastAsia="仿宋" w:cs="宋体"/>
          <w:color w:val="auto"/>
          <w:kern w:val="0"/>
          <w:sz w:val="32"/>
          <w:szCs w:val="32"/>
        </w:rPr>
      </w:pPr>
    </w:p>
    <w:p w14:paraId="427AE00F">
      <w:pPr>
        <w:widowControl/>
        <w:numPr>
          <w:ilvl w:val="0"/>
          <w:numId w:val="0"/>
        </w:numPr>
        <w:shd w:val="clear" w:color="auto" w:fill="FFFFFF"/>
        <w:jc w:val="left"/>
        <w:rPr>
          <w:rFonts w:hint="eastAsia" w:ascii="仿宋" w:hAnsi="宋体" w:eastAsia="仿宋" w:cs="宋体"/>
          <w:color w:val="auto"/>
          <w:kern w:val="0"/>
          <w:sz w:val="32"/>
          <w:szCs w:val="32"/>
        </w:rPr>
      </w:pPr>
    </w:p>
    <w:p w14:paraId="6DA8BCC4">
      <w:pPr>
        <w:widowControl/>
        <w:numPr>
          <w:ilvl w:val="0"/>
          <w:numId w:val="0"/>
        </w:numPr>
        <w:shd w:val="clear" w:color="auto" w:fill="FFFFFF"/>
        <w:jc w:val="left"/>
        <w:rPr>
          <w:rFonts w:hint="eastAsia" w:ascii="仿宋" w:hAnsi="宋体" w:eastAsia="仿宋" w:cs="宋体"/>
          <w:color w:val="auto"/>
          <w:kern w:val="0"/>
          <w:sz w:val="32"/>
          <w:szCs w:val="32"/>
        </w:rPr>
      </w:pPr>
    </w:p>
    <w:p w14:paraId="5F519750">
      <w:pPr>
        <w:widowControl/>
        <w:numPr>
          <w:ilvl w:val="0"/>
          <w:numId w:val="0"/>
        </w:numPr>
        <w:shd w:val="clear" w:color="auto" w:fill="FFFFFF"/>
        <w:jc w:val="left"/>
        <w:rPr>
          <w:rFonts w:hint="eastAsia" w:ascii="仿宋" w:hAnsi="宋体" w:eastAsia="仿宋" w:cs="宋体"/>
          <w:color w:val="auto"/>
          <w:kern w:val="0"/>
          <w:sz w:val="32"/>
          <w:szCs w:val="32"/>
        </w:rPr>
      </w:pPr>
    </w:p>
    <w:p w14:paraId="527F05E0">
      <w:pPr>
        <w:widowControl/>
        <w:numPr>
          <w:ilvl w:val="0"/>
          <w:numId w:val="0"/>
        </w:numPr>
        <w:shd w:val="clear" w:color="auto" w:fill="FFFFFF"/>
        <w:jc w:val="left"/>
        <w:rPr>
          <w:rFonts w:hint="eastAsia" w:ascii="仿宋" w:hAnsi="宋体" w:eastAsia="仿宋" w:cs="宋体"/>
          <w:color w:val="auto"/>
          <w:kern w:val="0"/>
          <w:sz w:val="32"/>
          <w:szCs w:val="32"/>
        </w:rPr>
      </w:pPr>
    </w:p>
    <w:p w14:paraId="50A7CC0C">
      <w:pPr>
        <w:widowControl/>
        <w:numPr>
          <w:ilvl w:val="0"/>
          <w:numId w:val="0"/>
        </w:numPr>
        <w:shd w:val="clear" w:color="auto" w:fill="FFFFFF"/>
        <w:jc w:val="left"/>
        <w:rPr>
          <w:rFonts w:hint="eastAsia" w:ascii="仿宋" w:hAnsi="宋体" w:eastAsia="仿宋" w:cs="宋体"/>
          <w:color w:val="auto"/>
          <w:kern w:val="0"/>
          <w:sz w:val="32"/>
          <w:szCs w:val="32"/>
        </w:rPr>
      </w:pPr>
    </w:p>
    <w:p w14:paraId="0242BE1C">
      <w:pPr>
        <w:widowControl/>
        <w:numPr>
          <w:ilvl w:val="0"/>
          <w:numId w:val="0"/>
        </w:numPr>
        <w:shd w:val="clear" w:color="auto" w:fill="FFFFFF"/>
        <w:jc w:val="left"/>
        <w:rPr>
          <w:rFonts w:hint="eastAsia" w:ascii="仿宋" w:hAnsi="宋体" w:eastAsia="仿宋" w:cs="宋体"/>
          <w:color w:val="auto"/>
          <w:kern w:val="0"/>
          <w:sz w:val="32"/>
          <w:szCs w:val="32"/>
        </w:rPr>
      </w:pPr>
    </w:p>
    <w:p w14:paraId="10374371">
      <w:pPr>
        <w:widowControl/>
        <w:numPr>
          <w:ilvl w:val="0"/>
          <w:numId w:val="0"/>
        </w:numPr>
        <w:shd w:val="clear" w:color="auto" w:fill="FFFFFF"/>
        <w:jc w:val="left"/>
        <w:rPr>
          <w:rFonts w:hint="eastAsia" w:ascii="仿宋" w:hAnsi="宋体" w:eastAsia="仿宋" w:cs="宋体"/>
          <w:color w:val="auto"/>
          <w:kern w:val="0"/>
          <w:sz w:val="32"/>
          <w:szCs w:val="32"/>
        </w:rPr>
      </w:pPr>
    </w:p>
    <w:p w14:paraId="3F19C7C8">
      <w:pPr>
        <w:widowControl/>
        <w:numPr>
          <w:ilvl w:val="0"/>
          <w:numId w:val="0"/>
        </w:numPr>
        <w:shd w:val="clear" w:color="auto" w:fill="FFFFFF"/>
        <w:jc w:val="left"/>
        <w:rPr>
          <w:rFonts w:hint="eastAsia" w:ascii="仿宋" w:hAnsi="宋体" w:eastAsia="仿宋" w:cs="宋体"/>
          <w:color w:val="auto"/>
          <w:kern w:val="0"/>
          <w:sz w:val="32"/>
          <w:szCs w:val="32"/>
        </w:rPr>
      </w:pPr>
    </w:p>
    <w:p w14:paraId="790FB935">
      <w:pPr>
        <w:widowControl/>
        <w:numPr>
          <w:ilvl w:val="0"/>
          <w:numId w:val="0"/>
        </w:numPr>
        <w:shd w:val="clear" w:color="auto" w:fill="FFFFFF"/>
        <w:jc w:val="left"/>
        <w:rPr>
          <w:rFonts w:hint="eastAsia" w:ascii="仿宋" w:hAnsi="宋体" w:eastAsia="仿宋" w:cs="宋体"/>
          <w:color w:val="auto"/>
          <w:kern w:val="0"/>
          <w:sz w:val="32"/>
          <w:szCs w:val="32"/>
        </w:rPr>
      </w:pPr>
    </w:p>
    <w:p w14:paraId="5189A884">
      <w:pPr>
        <w:widowControl/>
        <w:numPr>
          <w:ilvl w:val="0"/>
          <w:numId w:val="0"/>
        </w:numPr>
        <w:shd w:val="clear" w:color="auto" w:fill="FFFFFF"/>
        <w:jc w:val="left"/>
        <w:rPr>
          <w:rFonts w:hint="eastAsia" w:ascii="仿宋" w:hAnsi="宋体" w:eastAsia="仿宋" w:cs="宋体"/>
          <w:color w:val="auto"/>
          <w:kern w:val="0"/>
          <w:sz w:val="32"/>
          <w:szCs w:val="32"/>
        </w:rPr>
      </w:pPr>
    </w:p>
    <w:p w14:paraId="1DD7BFCF">
      <w:pPr>
        <w:widowControl/>
        <w:numPr>
          <w:ilvl w:val="0"/>
          <w:numId w:val="0"/>
        </w:numPr>
        <w:shd w:val="clear" w:color="auto" w:fill="FFFFFF"/>
        <w:jc w:val="left"/>
        <w:rPr>
          <w:rFonts w:hint="eastAsia" w:ascii="仿宋" w:hAnsi="宋体" w:eastAsia="仿宋" w:cs="宋体"/>
          <w:color w:val="auto"/>
          <w:kern w:val="0"/>
          <w:sz w:val="32"/>
          <w:szCs w:val="32"/>
        </w:rPr>
      </w:pPr>
    </w:p>
    <w:p w14:paraId="75857154">
      <w:pPr>
        <w:bidi w:val="0"/>
        <w:rPr>
          <w:rFonts w:hint="eastAsia" w:ascii="仿宋_GB2312" w:hAnsi="仿宋_GB2312" w:eastAsia="仿宋_GB2312" w:cs="仿宋_GB2312"/>
          <w:color w:val="auto"/>
          <w:lang w:eastAsia="zh-CN"/>
        </w:rPr>
      </w:pPr>
      <w:r>
        <w:rPr>
          <w:rFonts w:hint="eastAsia" w:ascii="楷体" w:hAnsi="楷体" w:eastAsia="楷体" w:cs="楷体"/>
          <w:color w:val="auto"/>
          <w:lang w:eastAsia="zh-CN"/>
        </w:rPr>
        <w:t>（</w:t>
      </w:r>
      <w:r>
        <w:rPr>
          <w:rFonts w:hint="eastAsia" w:ascii="楷体" w:hAnsi="楷体" w:eastAsia="楷体" w:cs="楷体"/>
          <w:color w:val="auto"/>
          <w:lang w:val="en-US" w:eastAsia="zh-CN"/>
        </w:rPr>
        <w:t>一</w:t>
      </w:r>
      <w:r>
        <w:rPr>
          <w:rFonts w:hint="eastAsia" w:ascii="楷体" w:hAnsi="楷体" w:eastAsia="楷体" w:cs="楷体"/>
          <w:color w:val="auto"/>
          <w:lang w:eastAsia="zh-CN"/>
        </w:rPr>
        <w:t>）</w:t>
      </w:r>
      <w:r>
        <w:rPr>
          <w:rFonts w:hint="eastAsia" w:ascii="楷体" w:hAnsi="楷体" w:eastAsia="楷体" w:cs="楷体"/>
          <w:color w:val="auto"/>
        </w:rPr>
        <w:t>财政拨款收支情况：</w:t>
      </w:r>
      <w:r>
        <w:rPr>
          <w:rFonts w:hint="eastAsia" w:ascii="仿宋_GB2312" w:hAnsi="仿宋_GB2312" w:eastAsia="仿宋_GB2312" w:cs="仿宋_GB2312"/>
          <w:color w:val="auto"/>
        </w:rPr>
        <w:t>是指一般公共预算、政府性基金预算、国有资本经营预算拨款收支情况。</w:t>
      </w:r>
    </w:p>
    <w:p w14:paraId="27FD12AB">
      <w:pPr>
        <w:bidi w:val="0"/>
        <w:rPr>
          <w:rFonts w:hint="eastAsia" w:eastAsia="仿宋"/>
          <w:color w:val="auto"/>
          <w:lang w:eastAsia="zh-CN"/>
        </w:rPr>
      </w:pPr>
      <w:r>
        <w:rPr>
          <w:rFonts w:hint="eastAsia" w:ascii="楷体" w:hAnsi="楷体" w:eastAsia="楷体" w:cs="楷体"/>
          <w:color w:val="auto"/>
          <w:lang w:eastAsia="zh-CN"/>
        </w:rPr>
        <w:t>（二）财政拨款收入：</w:t>
      </w:r>
      <w:r>
        <w:rPr>
          <w:rFonts w:hint="eastAsia" w:ascii="仿宋_GB2312" w:hAnsi="仿宋_GB2312" w:eastAsia="仿宋_GB2312" w:cs="仿宋_GB2312"/>
          <w:color w:val="auto"/>
        </w:rPr>
        <w:t>指</w:t>
      </w:r>
      <w:r>
        <w:rPr>
          <w:rFonts w:hint="eastAsia" w:ascii="仿宋_GB2312" w:hAnsi="仿宋_GB2312" w:eastAsia="仿宋_GB2312" w:cs="仿宋_GB2312"/>
          <w:color w:val="auto"/>
          <w:lang w:eastAsia="zh-CN"/>
        </w:rPr>
        <w:t>县</w:t>
      </w:r>
      <w:r>
        <w:rPr>
          <w:rFonts w:hint="eastAsia" w:ascii="仿宋_GB2312" w:hAnsi="仿宋_GB2312" w:eastAsia="仿宋_GB2312" w:cs="仿宋_GB2312"/>
          <w:color w:val="auto"/>
        </w:rPr>
        <w:t>级财政当年拨付的资金。</w:t>
      </w:r>
    </w:p>
    <w:p w14:paraId="3FA4CB7A">
      <w:pPr>
        <w:bidi w:val="0"/>
        <w:rPr>
          <w:rFonts w:hint="eastAsia" w:eastAsia="仿宋"/>
          <w:color w:val="auto"/>
          <w:lang w:eastAsia="zh-CN"/>
        </w:rPr>
      </w:pPr>
      <w:r>
        <w:rPr>
          <w:rFonts w:hint="eastAsia" w:ascii="楷体" w:hAnsi="楷体" w:eastAsia="楷体" w:cs="楷体"/>
          <w:color w:val="auto"/>
          <w:lang w:eastAsia="zh-CN"/>
        </w:rPr>
        <w:t>（三）事业收入：</w:t>
      </w:r>
      <w:r>
        <w:rPr>
          <w:rFonts w:hint="eastAsia" w:ascii="仿宋_GB2312" w:hAnsi="仿宋_GB2312" w:eastAsia="仿宋_GB2312" w:cs="仿宋_GB2312"/>
          <w:color w:val="auto"/>
        </w:rPr>
        <w:t>指事业单位开展专业业务活动及辅助活动所取得的收入。</w:t>
      </w:r>
    </w:p>
    <w:p w14:paraId="33D7CB82">
      <w:pPr>
        <w:bidi w:val="0"/>
        <w:rPr>
          <w:rFonts w:hint="eastAsia" w:eastAsia="仿宋"/>
          <w:color w:val="auto"/>
          <w:lang w:eastAsia="zh-CN"/>
        </w:rPr>
      </w:pPr>
      <w:r>
        <w:rPr>
          <w:rFonts w:hint="eastAsia" w:ascii="楷体" w:hAnsi="楷体" w:eastAsia="楷体" w:cs="楷体"/>
          <w:color w:val="auto"/>
          <w:lang w:eastAsia="zh-CN"/>
        </w:rPr>
        <w:t>（四）事业单位经营收入：</w:t>
      </w:r>
      <w:r>
        <w:rPr>
          <w:rFonts w:hint="eastAsia" w:ascii="仿宋_GB2312" w:hAnsi="仿宋_GB2312" w:eastAsia="仿宋_GB2312" w:cs="仿宋_GB2312"/>
          <w:color w:val="auto"/>
        </w:rPr>
        <w:t>指事业单位在专业业务活动及其辅助活动之外开展非独立核算经营活动取得的收入。</w:t>
      </w:r>
    </w:p>
    <w:p w14:paraId="1D2AD4B4">
      <w:pPr>
        <w:bidi w:val="0"/>
        <w:rPr>
          <w:rFonts w:hint="eastAsia" w:eastAsia="仿宋"/>
          <w:color w:val="auto"/>
          <w:lang w:eastAsia="zh-CN"/>
        </w:rPr>
      </w:pPr>
      <w:r>
        <w:rPr>
          <w:rFonts w:hint="eastAsia" w:ascii="楷体" w:hAnsi="楷体" w:eastAsia="楷体" w:cs="楷体"/>
          <w:color w:val="auto"/>
          <w:lang w:eastAsia="zh-CN"/>
        </w:rPr>
        <w:t>（五）其他收入：</w:t>
      </w:r>
      <w:r>
        <w:rPr>
          <w:rFonts w:hint="eastAsia" w:ascii="仿宋_GB2312" w:hAnsi="仿宋_GB2312" w:eastAsia="仿宋_GB2312" w:cs="仿宋_GB2312"/>
          <w:color w:val="auto"/>
        </w:rPr>
        <w:t>指除上述“一般公共预算拨款收入</w:t>
      </w: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rPr>
        <w:t>事业收入</w:t>
      </w: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rPr>
        <w:t>事业单位经营收入”等以外的收入。主要是利息收入、国有资产出租收入等。</w:t>
      </w:r>
    </w:p>
    <w:p w14:paraId="23B8529B">
      <w:pPr>
        <w:bidi w:val="0"/>
        <w:rPr>
          <w:rFonts w:hint="eastAsia" w:eastAsia="仿宋"/>
          <w:color w:val="auto"/>
          <w:lang w:eastAsia="zh-CN"/>
        </w:rPr>
      </w:pPr>
      <w:r>
        <w:rPr>
          <w:rFonts w:hint="eastAsia" w:ascii="楷体" w:hAnsi="楷体" w:eastAsia="楷体" w:cs="楷体"/>
          <w:color w:val="auto"/>
          <w:lang w:val="en-US" w:eastAsia="zh-CN"/>
        </w:rPr>
        <w:t>（六）</w:t>
      </w:r>
      <w:r>
        <w:rPr>
          <w:rFonts w:hint="eastAsia" w:ascii="楷体" w:hAnsi="楷体" w:eastAsia="楷体" w:cs="楷体"/>
          <w:color w:val="auto"/>
          <w:lang w:eastAsia="zh-CN"/>
        </w:rPr>
        <w:t>上年结转：</w:t>
      </w:r>
      <w:r>
        <w:rPr>
          <w:rFonts w:hint="eastAsia" w:ascii="仿宋_GB2312" w:hAnsi="仿宋_GB2312" w:eastAsia="仿宋_GB2312" w:cs="仿宋_GB2312"/>
          <w:color w:val="auto"/>
        </w:rPr>
        <w:t>指以前年度</w:t>
      </w:r>
      <w:r>
        <w:rPr>
          <w:rFonts w:hint="eastAsia" w:ascii="仿宋_GB2312" w:hAnsi="仿宋_GB2312" w:eastAsia="仿宋_GB2312" w:cs="仿宋_GB2312"/>
          <w:color w:val="auto"/>
          <w:lang w:eastAsia="zh-CN"/>
        </w:rPr>
        <w:t>安排、</w:t>
      </w:r>
      <w:r>
        <w:rPr>
          <w:rFonts w:hint="eastAsia" w:ascii="仿宋_GB2312" w:hAnsi="仿宋_GB2312" w:eastAsia="仿宋_GB2312" w:cs="仿宋_GB2312"/>
          <w:color w:val="auto"/>
        </w:rPr>
        <w:t>结转到本年仍按原规定</w:t>
      </w:r>
      <w:bookmarkStart w:id="0" w:name="_GoBack"/>
      <w:bookmarkEnd w:id="0"/>
      <w:r>
        <w:rPr>
          <w:rFonts w:hint="eastAsia" w:ascii="仿宋_GB2312" w:hAnsi="仿宋_GB2312" w:eastAsia="仿宋_GB2312" w:cs="仿宋_GB2312"/>
          <w:color w:val="auto"/>
        </w:rPr>
        <w:t>用途继续使用的资金。</w:t>
      </w:r>
    </w:p>
    <w:p w14:paraId="30C63889">
      <w:pPr>
        <w:bidi w:val="0"/>
        <w:rPr>
          <w:rFonts w:hint="eastAsia" w:eastAsia="仿宋"/>
          <w:color w:val="auto"/>
          <w:lang w:eastAsia="zh-CN"/>
        </w:rPr>
      </w:pPr>
      <w:r>
        <w:rPr>
          <w:rFonts w:hint="eastAsia" w:ascii="楷体" w:hAnsi="楷体" w:eastAsia="楷体" w:cs="楷体"/>
          <w:color w:val="auto"/>
          <w:lang w:val="en-US" w:eastAsia="zh-CN"/>
        </w:rPr>
        <w:t>（七）</w:t>
      </w:r>
      <w:r>
        <w:rPr>
          <w:rFonts w:hint="eastAsia" w:ascii="楷体" w:hAnsi="楷体" w:eastAsia="楷体" w:cs="楷体"/>
          <w:color w:val="auto"/>
          <w:lang w:eastAsia="zh-CN"/>
        </w:rPr>
        <w:t>社会保障和就业（类）行政事业单位养老支出（款）事业单位离退休（项）：</w:t>
      </w:r>
      <w:r>
        <w:rPr>
          <w:rFonts w:hint="eastAsia" w:ascii="仿宋_GB2312" w:hAnsi="仿宋_GB2312" w:eastAsia="仿宋_GB2312" w:cs="仿宋_GB2312"/>
          <w:color w:val="auto"/>
        </w:rPr>
        <w:t>指</w:t>
      </w:r>
      <w:r>
        <w:rPr>
          <w:rFonts w:hint="eastAsia" w:ascii="仿宋_GB2312" w:hAnsi="仿宋_GB2312" w:eastAsia="仿宋_GB2312" w:cs="仿宋_GB2312"/>
          <w:color w:val="auto"/>
          <w:lang w:eastAsia="zh-CN"/>
        </w:rPr>
        <w:t>事业单位开支的离退休经费</w:t>
      </w:r>
      <w:r>
        <w:rPr>
          <w:rFonts w:hint="eastAsia" w:ascii="仿宋_GB2312" w:hAnsi="仿宋_GB2312" w:eastAsia="仿宋_GB2312" w:cs="仿宋_GB2312"/>
          <w:color w:val="auto"/>
        </w:rPr>
        <w:t>。</w:t>
      </w:r>
    </w:p>
    <w:p w14:paraId="255AC629">
      <w:pPr>
        <w:bidi w:val="0"/>
        <w:rPr>
          <w:rFonts w:hint="eastAsia" w:eastAsia="仿宋"/>
          <w:color w:val="auto"/>
          <w:lang w:eastAsia="zh-CN"/>
        </w:rPr>
      </w:pPr>
      <w:r>
        <w:rPr>
          <w:rFonts w:hint="eastAsia" w:ascii="楷体" w:hAnsi="楷体" w:eastAsia="楷体" w:cs="楷体"/>
          <w:color w:val="auto"/>
          <w:lang w:val="en-US" w:eastAsia="zh-CN"/>
        </w:rPr>
        <w:t>（八）</w:t>
      </w:r>
      <w:r>
        <w:rPr>
          <w:rFonts w:hint="eastAsia" w:ascii="楷体" w:hAnsi="楷体" w:eastAsia="楷体" w:cs="楷体"/>
          <w:color w:val="auto"/>
          <w:lang w:eastAsia="zh-CN"/>
        </w:rPr>
        <w:t>社会保障和就业支出（类）行政事业单位养老支出（款）行政单位离退休（项）：</w:t>
      </w:r>
      <w:r>
        <w:rPr>
          <w:rFonts w:hint="eastAsia" w:ascii="仿宋_GB2312" w:hAnsi="仿宋_GB2312" w:eastAsia="仿宋_GB2312" w:cs="仿宋_GB2312"/>
          <w:color w:val="auto"/>
        </w:rPr>
        <w:t>指</w:t>
      </w:r>
      <w:r>
        <w:rPr>
          <w:rFonts w:hint="eastAsia" w:ascii="仿宋_GB2312" w:hAnsi="仿宋_GB2312" w:eastAsia="仿宋_GB2312" w:cs="仿宋_GB2312"/>
          <w:color w:val="auto"/>
          <w:lang w:eastAsia="zh-CN"/>
        </w:rPr>
        <w:t>行政单位（包括实行公务员管理的事业单位）开支的离退休经费。</w:t>
      </w:r>
    </w:p>
    <w:p w14:paraId="34419C12">
      <w:pPr>
        <w:bidi w:val="0"/>
        <w:rPr>
          <w:rFonts w:hint="eastAsia" w:eastAsia="仿宋"/>
          <w:color w:val="auto"/>
          <w:lang w:eastAsia="zh-CN"/>
        </w:rPr>
      </w:pPr>
      <w:r>
        <w:rPr>
          <w:rFonts w:hint="eastAsia" w:ascii="楷体" w:hAnsi="楷体" w:eastAsia="楷体" w:cs="楷体"/>
          <w:color w:val="auto"/>
          <w:lang w:eastAsia="zh-CN"/>
        </w:rPr>
        <w:t>（九）社会保障和就业支出（类）行政事业单位养老支出（款）机关事业单位基本养老保险缴费支出（项）：</w:t>
      </w:r>
      <w:r>
        <w:rPr>
          <w:rFonts w:hint="eastAsia" w:ascii="仿宋_GB2312" w:hAnsi="仿宋_GB2312" w:eastAsia="仿宋_GB2312" w:cs="仿宋_GB2312"/>
          <w:color w:val="auto"/>
        </w:rPr>
        <w:t>指</w:t>
      </w:r>
      <w:r>
        <w:rPr>
          <w:rFonts w:hint="eastAsia" w:ascii="仿宋_GB2312" w:hAnsi="仿宋_GB2312" w:eastAsia="仿宋_GB2312" w:cs="仿宋_GB2312"/>
          <w:color w:val="auto"/>
          <w:lang w:eastAsia="zh-CN"/>
        </w:rPr>
        <w:t>机关事业单位</w:t>
      </w:r>
      <w:r>
        <w:rPr>
          <w:rFonts w:hint="eastAsia" w:ascii="仿宋_GB2312" w:hAnsi="仿宋_GB2312" w:eastAsia="仿宋_GB2312" w:cs="仿宋_GB2312"/>
          <w:color w:val="auto"/>
        </w:rPr>
        <w:t>实施养老保险制度由单位缴纳的</w:t>
      </w:r>
      <w:r>
        <w:rPr>
          <w:rFonts w:hint="eastAsia" w:ascii="仿宋_GB2312" w:hAnsi="仿宋_GB2312" w:eastAsia="仿宋_GB2312" w:cs="仿宋_GB2312"/>
          <w:color w:val="auto"/>
          <w:lang w:eastAsia="zh-CN"/>
        </w:rPr>
        <w:t>基本</w:t>
      </w:r>
      <w:r>
        <w:rPr>
          <w:rFonts w:hint="eastAsia" w:ascii="仿宋_GB2312" w:hAnsi="仿宋_GB2312" w:eastAsia="仿宋_GB2312" w:cs="仿宋_GB2312"/>
          <w:color w:val="auto"/>
        </w:rPr>
        <w:t>养老保险费的支出。</w:t>
      </w:r>
    </w:p>
    <w:p w14:paraId="4641BFD5">
      <w:pPr>
        <w:bidi w:val="0"/>
        <w:rPr>
          <w:rFonts w:hint="eastAsia" w:eastAsia="仿宋"/>
          <w:color w:val="auto"/>
          <w:lang w:eastAsia="zh-CN"/>
        </w:rPr>
      </w:pPr>
      <w:r>
        <w:rPr>
          <w:rFonts w:hint="eastAsia" w:ascii="楷体" w:hAnsi="楷体" w:eastAsia="楷体" w:cs="楷体"/>
          <w:color w:val="auto"/>
          <w:lang w:eastAsia="zh-CN"/>
        </w:rPr>
        <w:t>（十）社会保障和就业支出（类）行政事业单位养老支出（款）机关事业单位职业年金缴费支出（项）：</w:t>
      </w:r>
      <w:r>
        <w:rPr>
          <w:rFonts w:hint="eastAsia" w:ascii="仿宋_GB2312" w:hAnsi="仿宋_GB2312" w:eastAsia="仿宋_GB2312" w:cs="仿宋_GB2312"/>
          <w:color w:val="auto"/>
        </w:rPr>
        <w:t>指</w:t>
      </w:r>
      <w:r>
        <w:rPr>
          <w:rFonts w:hint="eastAsia" w:ascii="仿宋_GB2312" w:hAnsi="仿宋_GB2312" w:eastAsia="仿宋_GB2312" w:cs="仿宋_GB2312"/>
          <w:color w:val="auto"/>
          <w:lang w:eastAsia="zh-CN"/>
        </w:rPr>
        <w:t>机关事业单位</w:t>
      </w:r>
      <w:r>
        <w:rPr>
          <w:rFonts w:hint="eastAsia" w:ascii="仿宋_GB2312" w:hAnsi="仿宋_GB2312" w:eastAsia="仿宋_GB2312" w:cs="仿宋_GB2312"/>
          <w:color w:val="auto"/>
        </w:rPr>
        <w:t>实施养老保险制度由单位缴纳的职业年金的支出</w:t>
      </w:r>
      <w:r>
        <w:rPr>
          <w:rFonts w:hint="eastAsia" w:ascii="仿宋_GB2312" w:hAnsi="仿宋_GB2312" w:eastAsia="仿宋_GB2312" w:cs="仿宋_GB2312"/>
          <w:color w:val="auto"/>
          <w:lang w:eastAsia="zh-CN"/>
        </w:rPr>
        <w:t>（含职业年金补记支出）</w:t>
      </w:r>
      <w:r>
        <w:rPr>
          <w:rFonts w:hint="eastAsia" w:ascii="仿宋_GB2312" w:hAnsi="仿宋_GB2312" w:eastAsia="仿宋_GB2312" w:cs="仿宋_GB2312"/>
          <w:color w:val="auto"/>
        </w:rPr>
        <w:t>。</w:t>
      </w:r>
    </w:p>
    <w:p w14:paraId="130A5A96">
      <w:pPr>
        <w:bidi w:val="0"/>
        <w:rPr>
          <w:rFonts w:hint="eastAsia" w:eastAsia="仿宋"/>
          <w:color w:val="auto"/>
          <w:lang w:eastAsia="zh-CN"/>
        </w:rPr>
      </w:pPr>
      <w:r>
        <w:rPr>
          <w:rFonts w:hint="eastAsia" w:ascii="楷体" w:hAnsi="楷体" w:eastAsia="楷体" w:cs="楷体"/>
          <w:color w:val="auto"/>
          <w:lang w:eastAsia="zh-CN"/>
        </w:rPr>
        <w:t>（十一）社会保障和就业支出（类）其他社会保障和就业支出（款）其他社会保障和就业支出（项）：</w:t>
      </w:r>
      <w:r>
        <w:rPr>
          <w:rFonts w:hint="eastAsia" w:ascii="仿宋_GB2312" w:hAnsi="仿宋_GB2312" w:eastAsia="仿宋_GB2312" w:cs="仿宋_GB2312"/>
          <w:color w:val="auto"/>
        </w:rPr>
        <w:t>指除上述项目</w:t>
      </w:r>
      <w:r>
        <w:rPr>
          <w:rFonts w:hint="eastAsia" w:ascii="仿宋_GB2312" w:hAnsi="仿宋_GB2312" w:eastAsia="仿宋_GB2312" w:cs="仿宋_GB2312"/>
          <w:color w:val="auto"/>
          <w:lang w:eastAsia="zh-CN"/>
        </w:rPr>
        <w:t>以外</w:t>
      </w:r>
      <w:r>
        <w:rPr>
          <w:rFonts w:hint="eastAsia" w:ascii="仿宋_GB2312" w:hAnsi="仿宋_GB2312" w:eastAsia="仿宋_GB2312" w:cs="仿宋_GB2312"/>
          <w:color w:val="auto"/>
        </w:rPr>
        <w:t>其他用于</w:t>
      </w:r>
      <w:r>
        <w:rPr>
          <w:rFonts w:hint="eastAsia" w:ascii="仿宋_GB2312" w:hAnsi="仿宋_GB2312" w:eastAsia="仿宋_GB2312" w:cs="仿宋_GB2312"/>
          <w:color w:val="auto"/>
          <w:lang w:eastAsia="zh-CN"/>
        </w:rPr>
        <w:t>社会保障和就业</w:t>
      </w:r>
      <w:r>
        <w:rPr>
          <w:rFonts w:hint="eastAsia" w:ascii="仿宋_GB2312" w:hAnsi="仿宋_GB2312" w:eastAsia="仿宋_GB2312" w:cs="仿宋_GB2312"/>
          <w:color w:val="auto"/>
        </w:rPr>
        <w:t>方面的支出。</w:t>
      </w:r>
    </w:p>
    <w:p w14:paraId="611CBFD1">
      <w:pPr>
        <w:bidi w:val="0"/>
        <w:rPr>
          <w:rFonts w:hint="eastAsia" w:eastAsia="仿宋"/>
          <w:color w:val="auto"/>
          <w:lang w:eastAsia="zh-CN"/>
        </w:rPr>
      </w:pPr>
      <w:r>
        <w:rPr>
          <w:rFonts w:hint="eastAsia" w:ascii="楷体" w:hAnsi="楷体" w:eastAsia="楷体" w:cs="楷体"/>
          <w:color w:val="auto"/>
          <w:lang w:eastAsia="zh-CN"/>
        </w:rPr>
        <w:t>（十二）卫生健康支出（类）行政事业单位医疗（款）行政单位医疗（项）：</w:t>
      </w:r>
      <w:r>
        <w:rPr>
          <w:rFonts w:hint="eastAsia" w:ascii="仿宋_GB2312" w:hAnsi="仿宋_GB2312" w:eastAsia="仿宋_GB2312" w:cs="仿宋_GB2312"/>
          <w:color w:val="auto"/>
        </w:rPr>
        <w:t>指财政</w:t>
      </w:r>
      <w:r>
        <w:rPr>
          <w:rFonts w:hint="eastAsia" w:ascii="仿宋_GB2312" w:hAnsi="仿宋_GB2312" w:eastAsia="仿宋_GB2312" w:cs="仿宋_GB2312"/>
          <w:color w:val="auto"/>
          <w:lang w:eastAsia="zh-CN"/>
        </w:rPr>
        <w:t>单位</w:t>
      </w:r>
      <w:r>
        <w:rPr>
          <w:rFonts w:hint="eastAsia" w:ascii="仿宋_GB2312" w:hAnsi="仿宋_GB2312" w:eastAsia="仿宋_GB2312" w:cs="仿宋_GB2312"/>
          <w:color w:val="auto"/>
        </w:rPr>
        <w:t>安排的行政单位（包括实行公务员管理的事业单位）基本医疗保险缴费经费，未参加医疗保险的行政单位的公费医疗经费，按国家规定享受离休人员、红军老战士待遇人员的医疗经费。</w:t>
      </w:r>
    </w:p>
    <w:p w14:paraId="36CF808B">
      <w:pPr>
        <w:bidi w:val="0"/>
        <w:rPr>
          <w:rFonts w:hint="eastAsia" w:eastAsia="仿宋"/>
          <w:color w:val="auto"/>
          <w:lang w:eastAsia="zh-CN"/>
        </w:rPr>
      </w:pPr>
      <w:r>
        <w:rPr>
          <w:rFonts w:hint="eastAsia" w:ascii="楷体" w:hAnsi="楷体" w:eastAsia="楷体" w:cs="楷体"/>
          <w:color w:val="auto"/>
          <w:lang w:eastAsia="zh-CN"/>
        </w:rPr>
        <w:t>（十三）卫生健康支出（类）行政事业单位医疗（款）事业单位医疗（项）：</w:t>
      </w:r>
      <w:r>
        <w:rPr>
          <w:rFonts w:hint="eastAsia" w:ascii="仿宋_GB2312" w:hAnsi="仿宋_GB2312" w:eastAsia="仿宋_GB2312" w:cs="仿宋_GB2312"/>
          <w:color w:val="auto"/>
        </w:rPr>
        <w:t>指财政</w:t>
      </w:r>
      <w:r>
        <w:rPr>
          <w:rFonts w:hint="eastAsia" w:ascii="仿宋_GB2312" w:hAnsi="仿宋_GB2312" w:eastAsia="仿宋_GB2312" w:cs="仿宋_GB2312"/>
          <w:color w:val="auto"/>
          <w:lang w:eastAsia="zh-CN"/>
        </w:rPr>
        <w:t>单位</w:t>
      </w:r>
      <w:r>
        <w:rPr>
          <w:rFonts w:hint="eastAsia" w:ascii="仿宋_GB2312" w:hAnsi="仿宋_GB2312" w:eastAsia="仿宋_GB2312" w:cs="仿宋_GB2312"/>
          <w:color w:val="auto"/>
        </w:rPr>
        <w:t>安排的事业单位基本医疗保险缴费经费，未参加医疗保险的事业单位的公费医疗经费，按国家规定享受离休人员待遇的医疗经费。</w:t>
      </w:r>
    </w:p>
    <w:p w14:paraId="58438A37">
      <w:pPr>
        <w:bidi w:val="0"/>
        <w:rPr>
          <w:rFonts w:hint="eastAsia" w:eastAsia="仿宋"/>
          <w:color w:val="auto"/>
          <w:lang w:eastAsia="zh-CN"/>
        </w:rPr>
      </w:pPr>
      <w:r>
        <w:rPr>
          <w:rFonts w:hint="eastAsia" w:ascii="楷体" w:hAnsi="楷体" w:eastAsia="楷体" w:cs="楷体"/>
          <w:color w:val="auto"/>
          <w:lang w:eastAsia="zh-CN"/>
        </w:rPr>
        <w:t>（十四）卫生健康支出（类）行政事业单位医疗（款）公务员医疗补助（项）：</w:t>
      </w:r>
      <w:r>
        <w:rPr>
          <w:rFonts w:hint="eastAsia" w:ascii="仿宋_GB2312" w:hAnsi="仿宋_GB2312" w:eastAsia="仿宋_GB2312" w:cs="仿宋_GB2312"/>
          <w:color w:val="auto"/>
        </w:rPr>
        <w:t>指财政</w:t>
      </w:r>
      <w:r>
        <w:rPr>
          <w:rFonts w:hint="eastAsia" w:ascii="仿宋_GB2312" w:hAnsi="仿宋_GB2312" w:eastAsia="仿宋_GB2312" w:cs="仿宋_GB2312"/>
          <w:color w:val="auto"/>
          <w:lang w:eastAsia="zh-CN"/>
        </w:rPr>
        <w:t>单位</w:t>
      </w:r>
      <w:r>
        <w:rPr>
          <w:rFonts w:hint="eastAsia" w:ascii="仿宋_GB2312" w:hAnsi="仿宋_GB2312" w:eastAsia="仿宋_GB2312" w:cs="仿宋_GB2312"/>
          <w:color w:val="auto"/>
        </w:rPr>
        <w:t>安排的公务员医疗补助经费。</w:t>
      </w:r>
    </w:p>
    <w:p w14:paraId="2602DF60">
      <w:pPr>
        <w:bidi w:val="0"/>
        <w:rPr>
          <w:rFonts w:hint="eastAsia" w:eastAsia="仿宋"/>
          <w:color w:val="auto"/>
          <w:lang w:eastAsia="zh-CN"/>
        </w:rPr>
      </w:pPr>
      <w:r>
        <w:rPr>
          <w:rFonts w:hint="eastAsia" w:ascii="楷体" w:hAnsi="楷体" w:eastAsia="楷体" w:cs="楷体"/>
          <w:color w:val="auto"/>
          <w:lang w:eastAsia="zh-CN"/>
        </w:rPr>
        <w:t>（十五）住房保障支出（类）住房改革支出（款）住房公积金（项）：</w:t>
      </w:r>
      <w:r>
        <w:rPr>
          <w:rFonts w:hint="eastAsia" w:ascii="仿宋_GB2312" w:hAnsi="仿宋_GB2312" w:eastAsia="仿宋_GB2312" w:cs="仿宋_GB2312"/>
          <w:color w:val="auto"/>
        </w:rPr>
        <w:t>指行政事业单位按人力资源和社会保障部、财政部规定的基本工资和津贴补贴以及规定比例为职工缴纳的住房公积金。</w:t>
      </w:r>
    </w:p>
    <w:p w14:paraId="5DC57DBE">
      <w:pPr>
        <w:bidi w:val="0"/>
        <w:rPr>
          <w:rFonts w:hint="eastAsia" w:eastAsia="仿宋"/>
          <w:color w:val="auto"/>
          <w:lang w:eastAsia="zh-CN"/>
        </w:rPr>
      </w:pPr>
      <w:r>
        <w:rPr>
          <w:rFonts w:hint="eastAsia" w:ascii="楷体" w:hAnsi="楷体" w:eastAsia="楷体" w:cs="楷体"/>
          <w:color w:val="auto"/>
          <w:lang w:eastAsia="zh-CN"/>
        </w:rPr>
        <w:t>（十六）基本支出：</w:t>
      </w:r>
      <w:r>
        <w:rPr>
          <w:rFonts w:hint="eastAsia" w:ascii="仿宋_GB2312" w:hAnsi="仿宋_GB2312" w:eastAsia="仿宋_GB2312" w:cs="仿宋_GB2312"/>
          <w:color w:val="auto"/>
        </w:rPr>
        <w:t>指为保</w:t>
      </w:r>
      <w:r>
        <w:rPr>
          <w:rFonts w:hint="eastAsia" w:ascii="仿宋_GB2312" w:hAnsi="仿宋_GB2312" w:eastAsia="仿宋_GB2312" w:cs="仿宋_GB2312"/>
          <w:color w:val="auto"/>
          <w:lang w:eastAsia="zh-CN"/>
        </w:rPr>
        <w:t>障</w:t>
      </w:r>
      <w:r>
        <w:rPr>
          <w:rFonts w:hint="eastAsia" w:ascii="仿宋_GB2312" w:hAnsi="仿宋_GB2312" w:eastAsia="仿宋_GB2312" w:cs="仿宋_GB2312"/>
          <w:color w:val="auto"/>
        </w:rPr>
        <w:t>机构正常运转，完成日常工作任务而发生的人员支出和公用支出。</w:t>
      </w:r>
    </w:p>
    <w:p w14:paraId="3E9CBAFA">
      <w:pPr>
        <w:bidi w:val="0"/>
        <w:rPr>
          <w:rFonts w:hint="eastAsia" w:eastAsia="仿宋"/>
          <w:color w:val="auto"/>
          <w:lang w:eastAsia="zh-CN"/>
        </w:rPr>
      </w:pPr>
      <w:r>
        <w:rPr>
          <w:rFonts w:hint="eastAsia" w:ascii="楷体" w:hAnsi="楷体" w:eastAsia="楷体" w:cs="楷体"/>
          <w:color w:val="auto"/>
          <w:lang w:eastAsia="zh-CN"/>
        </w:rPr>
        <w:t>（十七）项目支出：</w:t>
      </w:r>
      <w:r>
        <w:rPr>
          <w:rFonts w:hint="eastAsia" w:ascii="仿宋_GB2312" w:hAnsi="仿宋_GB2312" w:eastAsia="仿宋_GB2312" w:cs="仿宋_GB2312"/>
          <w:color w:val="auto"/>
        </w:rPr>
        <w:t>指在基本支出之外为完成特定行政任务</w:t>
      </w:r>
      <w:r>
        <w:rPr>
          <w:rFonts w:hint="eastAsia" w:ascii="仿宋_GB2312" w:hAnsi="仿宋_GB2312" w:eastAsia="仿宋_GB2312" w:cs="仿宋_GB2312"/>
          <w:color w:val="auto"/>
          <w:lang w:eastAsia="zh-CN"/>
        </w:rPr>
        <w:t>或</w:t>
      </w:r>
      <w:r>
        <w:rPr>
          <w:rFonts w:hint="eastAsia" w:ascii="仿宋_GB2312" w:hAnsi="仿宋_GB2312" w:eastAsia="仿宋_GB2312" w:cs="仿宋_GB2312"/>
          <w:color w:val="auto"/>
        </w:rPr>
        <w:t>事业发展目标所发生的支出。</w:t>
      </w:r>
    </w:p>
    <w:p w14:paraId="723335B6">
      <w:pPr>
        <w:bidi w:val="0"/>
        <w:rPr>
          <w:rFonts w:hint="eastAsia" w:ascii="仿宋" w:hAnsi="仿宋" w:eastAsia="仿宋" w:cs="Times New Roman"/>
          <w:color w:val="auto"/>
          <w:sz w:val="32"/>
          <w:szCs w:val="32"/>
          <w:lang w:val="en-US" w:eastAsia="zh-CN"/>
        </w:rPr>
      </w:pPr>
      <w:r>
        <w:rPr>
          <w:rFonts w:hint="eastAsia" w:ascii="楷体" w:hAnsi="楷体" w:eastAsia="楷体" w:cs="楷体"/>
          <w:color w:val="auto"/>
          <w:lang w:eastAsia="zh-CN"/>
        </w:rPr>
        <w:t>（十八）“三公”经费：</w:t>
      </w:r>
      <w:r>
        <w:rPr>
          <w:rFonts w:hint="eastAsia" w:ascii="仿宋_GB2312" w:hAnsi="仿宋_GB2312" w:eastAsia="仿宋_GB2312" w:cs="仿宋_GB2312"/>
          <w:color w:val="auto"/>
          <w:lang w:eastAsia="zh-CN"/>
        </w:rPr>
        <w:t>纳入预算管理的“三公”经费，</w:t>
      </w:r>
      <w:r>
        <w:rPr>
          <w:rFonts w:hint="eastAsia" w:ascii="仿宋_GB2312" w:hAnsi="仿宋_GB2312" w:eastAsia="仿宋_GB2312" w:cs="仿宋_GB2312"/>
          <w:color w:val="auto"/>
        </w:rPr>
        <w:t>是指</w:t>
      </w:r>
      <w:r>
        <w:rPr>
          <w:rFonts w:hint="eastAsia" w:ascii="仿宋_GB2312" w:hAnsi="仿宋_GB2312" w:eastAsia="仿宋_GB2312" w:cs="仿宋_GB2312"/>
          <w:color w:val="auto"/>
          <w:lang w:eastAsia="zh-CN"/>
        </w:rPr>
        <w:t>单位</w:t>
      </w:r>
      <w:r>
        <w:rPr>
          <w:rFonts w:hint="eastAsia" w:ascii="仿宋_GB2312" w:hAnsi="仿宋_GB2312" w:eastAsia="仿宋_GB2312" w:cs="仿宋_GB2312"/>
          <w:color w:val="auto"/>
        </w:rPr>
        <w:t>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w:t>
      </w:r>
      <w:r>
        <w:rPr>
          <w:rFonts w:hint="eastAsia" w:ascii="仿宋_GB2312" w:hAnsi="仿宋_GB2312" w:eastAsia="仿宋_GB2312" w:cs="仿宋_GB2312"/>
          <w:color w:val="auto"/>
          <w:lang w:eastAsia="zh-CN"/>
        </w:rPr>
        <w:t>、牌照费</w:t>
      </w:r>
      <w:r>
        <w:rPr>
          <w:rFonts w:hint="eastAsia" w:ascii="仿宋_GB2312" w:hAnsi="仿宋_GB2312" w:eastAsia="仿宋_GB2312" w:cs="仿宋_GB2312"/>
          <w:color w:val="auto"/>
        </w:rPr>
        <w:t>）及</w:t>
      </w:r>
      <w:r>
        <w:rPr>
          <w:rFonts w:hint="eastAsia" w:ascii="仿宋_GB2312" w:hAnsi="仿宋_GB2312" w:eastAsia="仿宋_GB2312" w:cs="仿宋_GB2312"/>
          <w:color w:val="auto"/>
          <w:lang w:eastAsia="zh-CN"/>
        </w:rPr>
        <w:t>单位按规定保留的公务用车</w:t>
      </w:r>
      <w:r>
        <w:rPr>
          <w:rFonts w:hint="eastAsia" w:ascii="仿宋_GB2312" w:hAnsi="仿宋_GB2312" w:eastAsia="仿宋_GB2312" w:cs="仿宋_GB2312"/>
          <w:color w:val="auto"/>
        </w:rPr>
        <w:t>燃料费、维修费、过路过桥费、保险费</w:t>
      </w:r>
      <w:r>
        <w:rPr>
          <w:rFonts w:hint="eastAsia" w:ascii="仿宋_GB2312" w:hAnsi="仿宋_GB2312" w:eastAsia="仿宋_GB2312" w:cs="仿宋_GB2312"/>
          <w:color w:val="auto"/>
          <w:lang w:eastAsia="zh-CN"/>
        </w:rPr>
        <w:t>、安全奖励费用</w:t>
      </w:r>
      <w:r>
        <w:rPr>
          <w:rFonts w:hint="eastAsia" w:ascii="仿宋_GB2312" w:hAnsi="仿宋_GB2312" w:eastAsia="仿宋_GB2312" w:cs="仿宋_GB2312"/>
          <w:color w:val="auto"/>
        </w:rPr>
        <w:t>等支出；公务接待费反映单位按规定开支的各类公务接待（含外宾接待）支出。</w:t>
      </w:r>
    </w:p>
    <w:p w14:paraId="26792FF0">
      <w:pPr>
        <w:rPr>
          <w:rFonts w:hint="eastAsia"/>
          <w:color w:val="auto"/>
        </w:rPr>
      </w:pPr>
    </w:p>
    <w:sectPr>
      <w:footerReference r:id="rId5" w:type="default"/>
      <w:pgSz w:w="11906" w:h="16838"/>
      <w:pgMar w:top="2041" w:right="1469" w:bottom="1588" w:left="1469" w:header="851" w:footer="992" w:gutter="0"/>
      <w:pgNumType w:fmt="numberInDash"/>
      <w:cols w:space="0" w:num="1"/>
      <w:docGrid w:type="lines" w:linePitch="314"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汉仪中宋简á..">
    <w:altName w:val="宋体"/>
    <w:panose1 w:val="00000000000000000000"/>
    <w:charset w:val="86"/>
    <w:family w:val="roma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DEF7B5">
    <w:pPr>
      <w:pStyle w:val="9"/>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69869B3">
                          <w:pPr>
                            <w:pStyle w:val="9"/>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169869B3">
                    <w:pPr>
                      <w:pStyle w:val="9"/>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40"/>
      </w:pPr>
      <w:r>
        <w:separator/>
      </w:r>
    </w:p>
  </w:footnote>
  <w:footnote w:type="continuationSeparator" w:id="1">
    <w:p>
      <w:pPr>
        <w:spacing w:line="36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4565D2"/>
    <w:multiLevelType w:val="singleLevel"/>
    <w:tmpl w:val="BA4565D2"/>
    <w:lvl w:ilvl="0" w:tentative="0">
      <w:start w:val="2"/>
      <w:numFmt w:val="chineseCounting"/>
      <w:suff w:val="space"/>
      <w:lvlText w:val="第%1部分"/>
      <w:lvlJc w:val="left"/>
      <w:rPr>
        <w:rFonts w:hint="eastAsia"/>
      </w:rPr>
    </w:lvl>
  </w:abstractNum>
  <w:abstractNum w:abstractNumId="1">
    <w:nsid w:val="5D8D4774"/>
    <w:multiLevelType w:val="multilevel"/>
    <w:tmpl w:val="5D8D4774"/>
    <w:lvl w:ilvl="0" w:tentative="0">
      <w:start w:val="13"/>
      <w:numFmt w:val="chineseCountingThousand"/>
      <w:lvlText w:val="第%1章"/>
      <w:lvlJc w:val="left"/>
      <w:pPr>
        <w:tabs>
          <w:tab w:val="left" w:pos="2782"/>
        </w:tabs>
      </w:pPr>
      <w:rPr>
        <w:rFonts w:hint="eastAsia"/>
      </w:rPr>
    </w:lvl>
    <w:lvl w:ilvl="1" w:tentative="0">
      <w:start w:val="1"/>
      <w:numFmt w:val="decimal"/>
      <w:pStyle w:val="3"/>
      <w:isLgl/>
      <w:lvlText w:val="%1.%2"/>
      <w:lvlJc w:val="left"/>
      <w:pPr>
        <w:tabs>
          <w:tab w:val="left" w:pos="2422"/>
        </w:tabs>
      </w:pPr>
      <w:rPr>
        <w:rFonts w:hint="eastAsia"/>
      </w:rPr>
    </w:lvl>
    <w:lvl w:ilvl="2" w:tentative="0">
      <w:start w:val="1"/>
      <w:numFmt w:val="decimal"/>
      <w:isLgl/>
      <w:lvlText w:val="%1.%2.%3"/>
      <w:lvlJc w:val="left"/>
      <w:pPr>
        <w:tabs>
          <w:tab w:val="left" w:pos="2782"/>
        </w:tabs>
      </w:pPr>
      <w:rPr>
        <w:rFonts w:hint="eastAsia"/>
      </w:rPr>
    </w:lvl>
    <w:lvl w:ilvl="3" w:tentative="0">
      <w:start w:val="1"/>
      <w:numFmt w:val="decimal"/>
      <w:isLgl/>
      <w:lvlText w:val="%1.%2.%3.%4"/>
      <w:lvlJc w:val="left"/>
      <w:pPr>
        <w:tabs>
          <w:tab w:val="left" w:pos="4582"/>
        </w:tabs>
        <w:ind w:left="2566" w:hanging="864"/>
      </w:pPr>
      <w:rPr>
        <w:rFonts w:hint="eastAsia"/>
      </w:rPr>
    </w:lvl>
    <w:lvl w:ilvl="4" w:tentative="0">
      <w:start w:val="1"/>
      <w:numFmt w:val="decimal"/>
      <w:isLgl/>
      <w:lvlText w:val="%1.%2.%3.%4.%5"/>
      <w:lvlJc w:val="left"/>
      <w:pPr>
        <w:tabs>
          <w:tab w:val="left" w:pos="3862"/>
        </w:tabs>
        <w:ind w:left="2710" w:hanging="1008"/>
      </w:pPr>
      <w:rPr>
        <w:rFonts w:hint="eastAsia"/>
      </w:rPr>
    </w:lvl>
    <w:lvl w:ilvl="5" w:tentative="0">
      <w:start w:val="1"/>
      <w:numFmt w:val="decimal"/>
      <w:isLgl/>
      <w:lvlText w:val="%1.%2.%3.%4.%5.%6"/>
      <w:lvlJc w:val="left"/>
      <w:pPr>
        <w:tabs>
          <w:tab w:val="left" w:pos="4222"/>
        </w:tabs>
        <w:ind w:left="2854" w:hanging="1152"/>
      </w:pPr>
      <w:rPr>
        <w:rFonts w:hint="eastAsia"/>
      </w:rPr>
    </w:lvl>
    <w:lvl w:ilvl="6" w:tentative="0">
      <w:start w:val="1"/>
      <w:numFmt w:val="decimal"/>
      <w:isLgl/>
      <w:lvlText w:val="%1.%2.%3.%4.%5.%6.%7"/>
      <w:lvlJc w:val="left"/>
      <w:pPr>
        <w:tabs>
          <w:tab w:val="left" w:pos="4942"/>
        </w:tabs>
        <w:ind w:left="2998" w:hanging="1296"/>
      </w:pPr>
      <w:rPr>
        <w:rFonts w:hint="eastAsia"/>
      </w:rPr>
    </w:lvl>
    <w:lvl w:ilvl="7" w:tentative="0">
      <w:start w:val="1"/>
      <w:numFmt w:val="decimal"/>
      <w:isLgl/>
      <w:lvlText w:val="%1.%2.%3.%4.%5.%6.%7.%8"/>
      <w:lvlJc w:val="left"/>
      <w:pPr>
        <w:tabs>
          <w:tab w:val="left" w:pos="5302"/>
        </w:tabs>
        <w:ind w:left="3142" w:hanging="1440"/>
      </w:pPr>
      <w:rPr>
        <w:rFonts w:hint="eastAsia"/>
      </w:rPr>
    </w:lvl>
    <w:lvl w:ilvl="8" w:tentative="0">
      <w:start w:val="1"/>
      <w:numFmt w:val="decimal"/>
      <w:isLgl/>
      <w:lvlText w:val="%1.%2.%3.%4.%5.%6.%7.%8.%9"/>
      <w:lvlJc w:val="left"/>
      <w:pPr>
        <w:tabs>
          <w:tab w:val="left" w:pos="5662"/>
        </w:tabs>
        <w:ind w:left="3286" w:hanging="1584"/>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7"/>
  <w:displayHorizontalDrawingGridEvery w:val="1"/>
  <w:displayVerticalDrawingGridEvery w:val="1"/>
  <w:noPunctuationKerning w:val="1"/>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7865"/>
    <w:rsid w:val="00044417"/>
    <w:rsid w:val="00061ACE"/>
    <w:rsid w:val="00066DAC"/>
    <w:rsid w:val="00070145"/>
    <w:rsid w:val="00091AAC"/>
    <w:rsid w:val="000F6987"/>
    <w:rsid w:val="00112171"/>
    <w:rsid w:val="00127D11"/>
    <w:rsid w:val="00144DF8"/>
    <w:rsid w:val="00172A27"/>
    <w:rsid w:val="00187C87"/>
    <w:rsid w:val="00192096"/>
    <w:rsid w:val="001B01D2"/>
    <w:rsid w:val="001D512F"/>
    <w:rsid w:val="001E30C0"/>
    <w:rsid w:val="00260924"/>
    <w:rsid w:val="00276A73"/>
    <w:rsid w:val="00286D78"/>
    <w:rsid w:val="002C723E"/>
    <w:rsid w:val="003019C3"/>
    <w:rsid w:val="00313DCD"/>
    <w:rsid w:val="00333B67"/>
    <w:rsid w:val="00336343"/>
    <w:rsid w:val="00353F9F"/>
    <w:rsid w:val="0036108B"/>
    <w:rsid w:val="00364E2A"/>
    <w:rsid w:val="003D44AA"/>
    <w:rsid w:val="0043152E"/>
    <w:rsid w:val="00465A32"/>
    <w:rsid w:val="00466676"/>
    <w:rsid w:val="0049116A"/>
    <w:rsid w:val="004E04D2"/>
    <w:rsid w:val="004F20BD"/>
    <w:rsid w:val="0052635E"/>
    <w:rsid w:val="00533308"/>
    <w:rsid w:val="00553E37"/>
    <w:rsid w:val="00587D51"/>
    <w:rsid w:val="005F00C2"/>
    <w:rsid w:val="00607597"/>
    <w:rsid w:val="006110D7"/>
    <w:rsid w:val="006368F6"/>
    <w:rsid w:val="00651BD8"/>
    <w:rsid w:val="006C5714"/>
    <w:rsid w:val="006D4CE5"/>
    <w:rsid w:val="0074734E"/>
    <w:rsid w:val="00752661"/>
    <w:rsid w:val="0077780A"/>
    <w:rsid w:val="00794055"/>
    <w:rsid w:val="007A6535"/>
    <w:rsid w:val="007E6435"/>
    <w:rsid w:val="007F23CA"/>
    <w:rsid w:val="0084407A"/>
    <w:rsid w:val="00850F93"/>
    <w:rsid w:val="00886062"/>
    <w:rsid w:val="008E3D4B"/>
    <w:rsid w:val="00944DB8"/>
    <w:rsid w:val="009552E6"/>
    <w:rsid w:val="009F78A2"/>
    <w:rsid w:val="00A068D8"/>
    <w:rsid w:val="00A11CCC"/>
    <w:rsid w:val="00A47E4F"/>
    <w:rsid w:val="00AA2536"/>
    <w:rsid w:val="00AF0502"/>
    <w:rsid w:val="00AF2D05"/>
    <w:rsid w:val="00B26922"/>
    <w:rsid w:val="00B55CCE"/>
    <w:rsid w:val="00B82AF3"/>
    <w:rsid w:val="00B861CA"/>
    <w:rsid w:val="00B91481"/>
    <w:rsid w:val="00B96941"/>
    <w:rsid w:val="00C47ED7"/>
    <w:rsid w:val="00C51E0A"/>
    <w:rsid w:val="00C7262B"/>
    <w:rsid w:val="00C7370C"/>
    <w:rsid w:val="00C7721E"/>
    <w:rsid w:val="00D22DD7"/>
    <w:rsid w:val="00DE489B"/>
    <w:rsid w:val="00E82D3B"/>
    <w:rsid w:val="00EB13EE"/>
    <w:rsid w:val="00F403B5"/>
    <w:rsid w:val="00F45E21"/>
    <w:rsid w:val="00FA0E5D"/>
    <w:rsid w:val="00FE4CAE"/>
    <w:rsid w:val="00FE638D"/>
    <w:rsid w:val="010C0F51"/>
    <w:rsid w:val="01362EA7"/>
    <w:rsid w:val="01482BE8"/>
    <w:rsid w:val="01882F25"/>
    <w:rsid w:val="018C0544"/>
    <w:rsid w:val="019F118E"/>
    <w:rsid w:val="01A3107B"/>
    <w:rsid w:val="01BA7141"/>
    <w:rsid w:val="01CA79BB"/>
    <w:rsid w:val="01D64485"/>
    <w:rsid w:val="01E83A92"/>
    <w:rsid w:val="01EB3E74"/>
    <w:rsid w:val="022F534A"/>
    <w:rsid w:val="024039F2"/>
    <w:rsid w:val="030A6CC4"/>
    <w:rsid w:val="033E43E6"/>
    <w:rsid w:val="03945CCD"/>
    <w:rsid w:val="03BA186D"/>
    <w:rsid w:val="040F3551"/>
    <w:rsid w:val="042072C2"/>
    <w:rsid w:val="043C361C"/>
    <w:rsid w:val="043F4C24"/>
    <w:rsid w:val="044B2AE6"/>
    <w:rsid w:val="045B0809"/>
    <w:rsid w:val="04A04F6C"/>
    <w:rsid w:val="04A05348"/>
    <w:rsid w:val="04A94D2F"/>
    <w:rsid w:val="0502501C"/>
    <w:rsid w:val="05233D9C"/>
    <w:rsid w:val="05465970"/>
    <w:rsid w:val="05590821"/>
    <w:rsid w:val="056C235C"/>
    <w:rsid w:val="06113CB0"/>
    <w:rsid w:val="062E413A"/>
    <w:rsid w:val="06A2019C"/>
    <w:rsid w:val="06B66C8B"/>
    <w:rsid w:val="06CC45A6"/>
    <w:rsid w:val="06D8568E"/>
    <w:rsid w:val="06DD60AB"/>
    <w:rsid w:val="072F53D3"/>
    <w:rsid w:val="07574DBE"/>
    <w:rsid w:val="076A7644"/>
    <w:rsid w:val="07980D6A"/>
    <w:rsid w:val="07B14DE9"/>
    <w:rsid w:val="07E809FE"/>
    <w:rsid w:val="07F655F9"/>
    <w:rsid w:val="084B25CC"/>
    <w:rsid w:val="084E286D"/>
    <w:rsid w:val="084E4C61"/>
    <w:rsid w:val="0860583A"/>
    <w:rsid w:val="08914A76"/>
    <w:rsid w:val="08AE4D92"/>
    <w:rsid w:val="08DB6116"/>
    <w:rsid w:val="08ED7502"/>
    <w:rsid w:val="08F6117B"/>
    <w:rsid w:val="096878F0"/>
    <w:rsid w:val="097E121A"/>
    <w:rsid w:val="09952E46"/>
    <w:rsid w:val="09C64739"/>
    <w:rsid w:val="09CF5F42"/>
    <w:rsid w:val="09F7120F"/>
    <w:rsid w:val="09F82EA0"/>
    <w:rsid w:val="0A2C26C1"/>
    <w:rsid w:val="0A8E6119"/>
    <w:rsid w:val="0A913707"/>
    <w:rsid w:val="0ABE1F9B"/>
    <w:rsid w:val="0ADA1A81"/>
    <w:rsid w:val="0B29129C"/>
    <w:rsid w:val="0BB15CFC"/>
    <w:rsid w:val="0BE20302"/>
    <w:rsid w:val="0C31589B"/>
    <w:rsid w:val="0C343E9E"/>
    <w:rsid w:val="0C37316F"/>
    <w:rsid w:val="0C565E28"/>
    <w:rsid w:val="0C9E05B3"/>
    <w:rsid w:val="0CEF662F"/>
    <w:rsid w:val="0D15182E"/>
    <w:rsid w:val="0D1F7D7F"/>
    <w:rsid w:val="0D211BCC"/>
    <w:rsid w:val="0DA40415"/>
    <w:rsid w:val="0DC47C7E"/>
    <w:rsid w:val="0E1B6735"/>
    <w:rsid w:val="0E5A24B2"/>
    <w:rsid w:val="0E5B7463"/>
    <w:rsid w:val="0E7C2A49"/>
    <w:rsid w:val="0E863207"/>
    <w:rsid w:val="0E8C67E6"/>
    <w:rsid w:val="0E995F08"/>
    <w:rsid w:val="0EFF2D5A"/>
    <w:rsid w:val="0F332E84"/>
    <w:rsid w:val="0F4F3EF9"/>
    <w:rsid w:val="0F5126AD"/>
    <w:rsid w:val="0F5C24C4"/>
    <w:rsid w:val="0F773787"/>
    <w:rsid w:val="0F8C416D"/>
    <w:rsid w:val="0F903831"/>
    <w:rsid w:val="0FC21DA3"/>
    <w:rsid w:val="0FCB515E"/>
    <w:rsid w:val="0FE02C01"/>
    <w:rsid w:val="106E3487"/>
    <w:rsid w:val="107A2AB2"/>
    <w:rsid w:val="10B403A4"/>
    <w:rsid w:val="10E95826"/>
    <w:rsid w:val="117B6E9B"/>
    <w:rsid w:val="11A062BA"/>
    <w:rsid w:val="11BB24DA"/>
    <w:rsid w:val="120A09B7"/>
    <w:rsid w:val="12290641"/>
    <w:rsid w:val="127150AC"/>
    <w:rsid w:val="127A774D"/>
    <w:rsid w:val="12F04042"/>
    <w:rsid w:val="13030836"/>
    <w:rsid w:val="131A52D4"/>
    <w:rsid w:val="13B824DA"/>
    <w:rsid w:val="13F265CF"/>
    <w:rsid w:val="13F50541"/>
    <w:rsid w:val="13FD34D0"/>
    <w:rsid w:val="14030F44"/>
    <w:rsid w:val="1421019A"/>
    <w:rsid w:val="14250002"/>
    <w:rsid w:val="143546C3"/>
    <w:rsid w:val="144C4DB6"/>
    <w:rsid w:val="14D50328"/>
    <w:rsid w:val="14FF1C34"/>
    <w:rsid w:val="15016C82"/>
    <w:rsid w:val="15333760"/>
    <w:rsid w:val="15500F91"/>
    <w:rsid w:val="157F6F01"/>
    <w:rsid w:val="15A866E4"/>
    <w:rsid w:val="15D8136C"/>
    <w:rsid w:val="15E80FCB"/>
    <w:rsid w:val="169B01CE"/>
    <w:rsid w:val="16BA0530"/>
    <w:rsid w:val="16CD70BB"/>
    <w:rsid w:val="172E2ACB"/>
    <w:rsid w:val="17304353"/>
    <w:rsid w:val="17403920"/>
    <w:rsid w:val="17D759F2"/>
    <w:rsid w:val="17F770F6"/>
    <w:rsid w:val="181727DC"/>
    <w:rsid w:val="18510D87"/>
    <w:rsid w:val="18827941"/>
    <w:rsid w:val="18BD2FFF"/>
    <w:rsid w:val="18FC06F1"/>
    <w:rsid w:val="19007EC3"/>
    <w:rsid w:val="1969002C"/>
    <w:rsid w:val="19F7360C"/>
    <w:rsid w:val="1A045C10"/>
    <w:rsid w:val="1A577820"/>
    <w:rsid w:val="1A5E7EFB"/>
    <w:rsid w:val="1A7D5B0F"/>
    <w:rsid w:val="1A9C7E2B"/>
    <w:rsid w:val="1AE807BA"/>
    <w:rsid w:val="1AEF7DCF"/>
    <w:rsid w:val="1AFF4785"/>
    <w:rsid w:val="1B16450B"/>
    <w:rsid w:val="1B2E6628"/>
    <w:rsid w:val="1B5F7D27"/>
    <w:rsid w:val="1BF33119"/>
    <w:rsid w:val="1CAF32EA"/>
    <w:rsid w:val="1CB64F71"/>
    <w:rsid w:val="1CBD69AA"/>
    <w:rsid w:val="1CFB3E9E"/>
    <w:rsid w:val="1D3356ED"/>
    <w:rsid w:val="1D5B07B8"/>
    <w:rsid w:val="1D6135A7"/>
    <w:rsid w:val="1DC52255"/>
    <w:rsid w:val="1DDA5D4F"/>
    <w:rsid w:val="1DDB2F47"/>
    <w:rsid w:val="1DFB51A6"/>
    <w:rsid w:val="1E3D7C87"/>
    <w:rsid w:val="1E707FD4"/>
    <w:rsid w:val="1E877297"/>
    <w:rsid w:val="1EB05D0A"/>
    <w:rsid w:val="1EF0431B"/>
    <w:rsid w:val="1EFE7B28"/>
    <w:rsid w:val="1F3565D5"/>
    <w:rsid w:val="1F9A468B"/>
    <w:rsid w:val="1FFA6A2F"/>
    <w:rsid w:val="20023401"/>
    <w:rsid w:val="20143409"/>
    <w:rsid w:val="20F902C6"/>
    <w:rsid w:val="21320321"/>
    <w:rsid w:val="2138528B"/>
    <w:rsid w:val="217544DB"/>
    <w:rsid w:val="21971D65"/>
    <w:rsid w:val="21B957AE"/>
    <w:rsid w:val="22121464"/>
    <w:rsid w:val="22653E5A"/>
    <w:rsid w:val="22673757"/>
    <w:rsid w:val="22AD5E3A"/>
    <w:rsid w:val="230F1CF5"/>
    <w:rsid w:val="23255E32"/>
    <w:rsid w:val="2345745A"/>
    <w:rsid w:val="235E0BC8"/>
    <w:rsid w:val="23D47812"/>
    <w:rsid w:val="23DE1611"/>
    <w:rsid w:val="24150A7F"/>
    <w:rsid w:val="24213EC8"/>
    <w:rsid w:val="24307A0E"/>
    <w:rsid w:val="245034D6"/>
    <w:rsid w:val="246A6DCB"/>
    <w:rsid w:val="247453B8"/>
    <w:rsid w:val="251C09C6"/>
    <w:rsid w:val="25212915"/>
    <w:rsid w:val="265A431A"/>
    <w:rsid w:val="266B2A66"/>
    <w:rsid w:val="26710FF0"/>
    <w:rsid w:val="26B732BD"/>
    <w:rsid w:val="27104C6C"/>
    <w:rsid w:val="27263D7B"/>
    <w:rsid w:val="272D4172"/>
    <w:rsid w:val="27473793"/>
    <w:rsid w:val="279168B5"/>
    <w:rsid w:val="27A0205E"/>
    <w:rsid w:val="27CA2B49"/>
    <w:rsid w:val="27CB754F"/>
    <w:rsid w:val="280223C0"/>
    <w:rsid w:val="28115DC0"/>
    <w:rsid w:val="28A21C19"/>
    <w:rsid w:val="298D0C33"/>
    <w:rsid w:val="29A12E30"/>
    <w:rsid w:val="29B4649A"/>
    <w:rsid w:val="29DC2D0C"/>
    <w:rsid w:val="29EE4FAE"/>
    <w:rsid w:val="2A3E1EBB"/>
    <w:rsid w:val="2A6A7B31"/>
    <w:rsid w:val="2AFE1AAC"/>
    <w:rsid w:val="2B424B14"/>
    <w:rsid w:val="2B576F68"/>
    <w:rsid w:val="2B580C97"/>
    <w:rsid w:val="2B7A76AB"/>
    <w:rsid w:val="2B7F27BA"/>
    <w:rsid w:val="2BE62BB6"/>
    <w:rsid w:val="2C0868BC"/>
    <w:rsid w:val="2C262A09"/>
    <w:rsid w:val="2C456543"/>
    <w:rsid w:val="2C56698C"/>
    <w:rsid w:val="2C6829BD"/>
    <w:rsid w:val="2C726404"/>
    <w:rsid w:val="2C8269FB"/>
    <w:rsid w:val="2CC43FE4"/>
    <w:rsid w:val="2CE403B9"/>
    <w:rsid w:val="2CE77D75"/>
    <w:rsid w:val="2D5F7A17"/>
    <w:rsid w:val="2DEF169F"/>
    <w:rsid w:val="2E2A4CEC"/>
    <w:rsid w:val="2E395AB2"/>
    <w:rsid w:val="2E3E712E"/>
    <w:rsid w:val="2E6F0902"/>
    <w:rsid w:val="2ED12513"/>
    <w:rsid w:val="2ED93BF6"/>
    <w:rsid w:val="2EE53513"/>
    <w:rsid w:val="2EF717D0"/>
    <w:rsid w:val="2F0571F8"/>
    <w:rsid w:val="2F6837FE"/>
    <w:rsid w:val="2F826250"/>
    <w:rsid w:val="2F9C50A0"/>
    <w:rsid w:val="2FFA35F8"/>
    <w:rsid w:val="2FFB3813"/>
    <w:rsid w:val="30044B54"/>
    <w:rsid w:val="30125478"/>
    <w:rsid w:val="302D040C"/>
    <w:rsid w:val="30363CB0"/>
    <w:rsid w:val="30405A42"/>
    <w:rsid w:val="30CE650E"/>
    <w:rsid w:val="30D2554F"/>
    <w:rsid w:val="30EC1D1E"/>
    <w:rsid w:val="3178425C"/>
    <w:rsid w:val="31884A79"/>
    <w:rsid w:val="318F6DFD"/>
    <w:rsid w:val="31D23233"/>
    <w:rsid w:val="31F223D9"/>
    <w:rsid w:val="31FA1651"/>
    <w:rsid w:val="32400809"/>
    <w:rsid w:val="32941411"/>
    <w:rsid w:val="32D34144"/>
    <w:rsid w:val="33180FDF"/>
    <w:rsid w:val="33AF50A4"/>
    <w:rsid w:val="33BF5A1C"/>
    <w:rsid w:val="34347CA8"/>
    <w:rsid w:val="346D1487"/>
    <w:rsid w:val="347C3BC1"/>
    <w:rsid w:val="347D7659"/>
    <w:rsid w:val="34B75DE4"/>
    <w:rsid w:val="34EC234E"/>
    <w:rsid w:val="35070FE1"/>
    <w:rsid w:val="35413925"/>
    <w:rsid w:val="35B4718D"/>
    <w:rsid w:val="362000D5"/>
    <w:rsid w:val="362E53CF"/>
    <w:rsid w:val="36322589"/>
    <w:rsid w:val="36505C55"/>
    <w:rsid w:val="36877AF6"/>
    <w:rsid w:val="36AC602F"/>
    <w:rsid w:val="36B408B4"/>
    <w:rsid w:val="36C57B63"/>
    <w:rsid w:val="36D60EC8"/>
    <w:rsid w:val="36EB7A56"/>
    <w:rsid w:val="37072D43"/>
    <w:rsid w:val="37133F7E"/>
    <w:rsid w:val="375B12BA"/>
    <w:rsid w:val="37996DF9"/>
    <w:rsid w:val="37997EBF"/>
    <w:rsid w:val="379B2080"/>
    <w:rsid w:val="37CD6097"/>
    <w:rsid w:val="37FF408D"/>
    <w:rsid w:val="3864253B"/>
    <w:rsid w:val="388A196F"/>
    <w:rsid w:val="38BF7DBB"/>
    <w:rsid w:val="38D25888"/>
    <w:rsid w:val="38E23412"/>
    <w:rsid w:val="393E1416"/>
    <w:rsid w:val="39627EA4"/>
    <w:rsid w:val="399D7E16"/>
    <w:rsid w:val="39F952C4"/>
    <w:rsid w:val="3A537A73"/>
    <w:rsid w:val="3A566958"/>
    <w:rsid w:val="3A591E05"/>
    <w:rsid w:val="3A8C587F"/>
    <w:rsid w:val="3A9841D9"/>
    <w:rsid w:val="3AC022D7"/>
    <w:rsid w:val="3AD0720B"/>
    <w:rsid w:val="3AD87EC3"/>
    <w:rsid w:val="3AE2704C"/>
    <w:rsid w:val="3B0E09AE"/>
    <w:rsid w:val="3B133333"/>
    <w:rsid w:val="3B433201"/>
    <w:rsid w:val="3B5553B4"/>
    <w:rsid w:val="3B5D5685"/>
    <w:rsid w:val="3B663B9B"/>
    <w:rsid w:val="3BAD0F9A"/>
    <w:rsid w:val="3C5763B9"/>
    <w:rsid w:val="3C9F7525"/>
    <w:rsid w:val="3CAD14EB"/>
    <w:rsid w:val="3CE10D53"/>
    <w:rsid w:val="3D1E069A"/>
    <w:rsid w:val="3D7E788D"/>
    <w:rsid w:val="3DE5239C"/>
    <w:rsid w:val="3DF73841"/>
    <w:rsid w:val="3DFF6B24"/>
    <w:rsid w:val="3E337D9D"/>
    <w:rsid w:val="3E4A3184"/>
    <w:rsid w:val="3EA15BEA"/>
    <w:rsid w:val="3EEC3285"/>
    <w:rsid w:val="3F7517C8"/>
    <w:rsid w:val="3FAE1258"/>
    <w:rsid w:val="401D6094"/>
    <w:rsid w:val="40300C0E"/>
    <w:rsid w:val="40534228"/>
    <w:rsid w:val="4063108E"/>
    <w:rsid w:val="408D251C"/>
    <w:rsid w:val="40C07780"/>
    <w:rsid w:val="4108231A"/>
    <w:rsid w:val="410A15F9"/>
    <w:rsid w:val="412A1254"/>
    <w:rsid w:val="41656000"/>
    <w:rsid w:val="41AE00B6"/>
    <w:rsid w:val="41E95F9F"/>
    <w:rsid w:val="42154310"/>
    <w:rsid w:val="42495010"/>
    <w:rsid w:val="425C545A"/>
    <w:rsid w:val="42636FB6"/>
    <w:rsid w:val="42811BC4"/>
    <w:rsid w:val="42B60B92"/>
    <w:rsid w:val="42D650B2"/>
    <w:rsid w:val="42DD34D6"/>
    <w:rsid w:val="43137D99"/>
    <w:rsid w:val="43475BB2"/>
    <w:rsid w:val="44090B96"/>
    <w:rsid w:val="44906B29"/>
    <w:rsid w:val="44B452A6"/>
    <w:rsid w:val="45560CD4"/>
    <w:rsid w:val="459509CB"/>
    <w:rsid w:val="45F4689A"/>
    <w:rsid w:val="45FB4649"/>
    <w:rsid w:val="46074EE8"/>
    <w:rsid w:val="4637542D"/>
    <w:rsid w:val="46731EEB"/>
    <w:rsid w:val="46875D06"/>
    <w:rsid w:val="46BD4700"/>
    <w:rsid w:val="46CD28E5"/>
    <w:rsid w:val="47770CCA"/>
    <w:rsid w:val="477A2AB4"/>
    <w:rsid w:val="48094AE2"/>
    <w:rsid w:val="483E4E75"/>
    <w:rsid w:val="4852492F"/>
    <w:rsid w:val="486B3CAF"/>
    <w:rsid w:val="48772769"/>
    <w:rsid w:val="49207E0A"/>
    <w:rsid w:val="492F572C"/>
    <w:rsid w:val="49421FCC"/>
    <w:rsid w:val="49AE5B8A"/>
    <w:rsid w:val="49D85ADD"/>
    <w:rsid w:val="49ED6C82"/>
    <w:rsid w:val="4A0C0182"/>
    <w:rsid w:val="4A4A7C46"/>
    <w:rsid w:val="4A523CD5"/>
    <w:rsid w:val="4A786FAB"/>
    <w:rsid w:val="4A873A47"/>
    <w:rsid w:val="4ACB5C6C"/>
    <w:rsid w:val="4ADC2291"/>
    <w:rsid w:val="4AFE168C"/>
    <w:rsid w:val="4B4C6658"/>
    <w:rsid w:val="4B6926B5"/>
    <w:rsid w:val="4B7A69E2"/>
    <w:rsid w:val="4B9C252E"/>
    <w:rsid w:val="4BBE5D06"/>
    <w:rsid w:val="4BCA09FA"/>
    <w:rsid w:val="4BE907F8"/>
    <w:rsid w:val="4BEB54D0"/>
    <w:rsid w:val="4C435437"/>
    <w:rsid w:val="4C570DA7"/>
    <w:rsid w:val="4C925D72"/>
    <w:rsid w:val="4CD5653B"/>
    <w:rsid w:val="4CD81862"/>
    <w:rsid w:val="4D28470C"/>
    <w:rsid w:val="4D341ABA"/>
    <w:rsid w:val="4DA559B9"/>
    <w:rsid w:val="4DE352BC"/>
    <w:rsid w:val="4DE6145A"/>
    <w:rsid w:val="4E182958"/>
    <w:rsid w:val="4E6D7648"/>
    <w:rsid w:val="4E7B14D6"/>
    <w:rsid w:val="4F011EB4"/>
    <w:rsid w:val="4F270107"/>
    <w:rsid w:val="4F5E0589"/>
    <w:rsid w:val="4F82145C"/>
    <w:rsid w:val="4FB627BF"/>
    <w:rsid w:val="504B7277"/>
    <w:rsid w:val="50765CB0"/>
    <w:rsid w:val="50801331"/>
    <w:rsid w:val="50924CFB"/>
    <w:rsid w:val="50DC614F"/>
    <w:rsid w:val="50E0282D"/>
    <w:rsid w:val="50FB774F"/>
    <w:rsid w:val="51050BFE"/>
    <w:rsid w:val="51395CD6"/>
    <w:rsid w:val="5166767E"/>
    <w:rsid w:val="51710636"/>
    <w:rsid w:val="51E16B86"/>
    <w:rsid w:val="51F040FB"/>
    <w:rsid w:val="51F71E1A"/>
    <w:rsid w:val="522E33FF"/>
    <w:rsid w:val="523F3B40"/>
    <w:rsid w:val="529507CD"/>
    <w:rsid w:val="53A019A2"/>
    <w:rsid w:val="53A14529"/>
    <w:rsid w:val="53AB55C1"/>
    <w:rsid w:val="53D92945"/>
    <w:rsid w:val="53E62601"/>
    <w:rsid w:val="53E874BC"/>
    <w:rsid w:val="542A1ACD"/>
    <w:rsid w:val="546259DF"/>
    <w:rsid w:val="546327C9"/>
    <w:rsid w:val="54893C4E"/>
    <w:rsid w:val="55006EC7"/>
    <w:rsid w:val="55130FD8"/>
    <w:rsid w:val="552E03CD"/>
    <w:rsid w:val="55662F4C"/>
    <w:rsid w:val="556D0E36"/>
    <w:rsid w:val="55A91AFC"/>
    <w:rsid w:val="55F00D78"/>
    <w:rsid w:val="56061562"/>
    <w:rsid w:val="562B5F30"/>
    <w:rsid w:val="565E2A78"/>
    <w:rsid w:val="56A566E4"/>
    <w:rsid w:val="56F54CB6"/>
    <w:rsid w:val="571A40C7"/>
    <w:rsid w:val="57307786"/>
    <w:rsid w:val="57316DA0"/>
    <w:rsid w:val="575B54D9"/>
    <w:rsid w:val="57B154DA"/>
    <w:rsid w:val="57E735A9"/>
    <w:rsid w:val="57ED3CD1"/>
    <w:rsid w:val="58974137"/>
    <w:rsid w:val="589F2BD8"/>
    <w:rsid w:val="58A423E4"/>
    <w:rsid w:val="58D76DB3"/>
    <w:rsid w:val="58D96039"/>
    <w:rsid w:val="58E04384"/>
    <w:rsid w:val="59692B59"/>
    <w:rsid w:val="596B7825"/>
    <w:rsid w:val="5976418F"/>
    <w:rsid w:val="59932391"/>
    <w:rsid w:val="599F5692"/>
    <w:rsid w:val="59DF7EAD"/>
    <w:rsid w:val="59F62891"/>
    <w:rsid w:val="5A0200DD"/>
    <w:rsid w:val="5A4F037D"/>
    <w:rsid w:val="5A5D1252"/>
    <w:rsid w:val="5A99745E"/>
    <w:rsid w:val="5AA43A05"/>
    <w:rsid w:val="5AC201A5"/>
    <w:rsid w:val="5B012E17"/>
    <w:rsid w:val="5B0954B3"/>
    <w:rsid w:val="5B0E49D4"/>
    <w:rsid w:val="5B69023F"/>
    <w:rsid w:val="5B747982"/>
    <w:rsid w:val="5B9C44F9"/>
    <w:rsid w:val="5BC11F53"/>
    <w:rsid w:val="5C0438FC"/>
    <w:rsid w:val="5C1C4987"/>
    <w:rsid w:val="5C526A06"/>
    <w:rsid w:val="5C6D4FF3"/>
    <w:rsid w:val="5C8C12C8"/>
    <w:rsid w:val="5CA67BCF"/>
    <w:rsid w:val="5CAD3352"/>
    <w:rsid w:val="5CEF421A"/>
    <w:rsid w:val="5D6E287B"/>
    <w:rsid w:val="5DD62F1B"/>
    <w:rsid w:val="5E0651AA"/>
    <w:rsid w:val="5E294F9F"/>
    <w:rsid w:val="5E566896"/>
    <w:rsid w:val="5E604B3E"/>
    <w:rsid w:val="5E64737F"/>
    <w:rsid w:val="5E77526B"/>
    <w:rsid w:val="5E921426"/>
    <w:rsid w:val="5EA77AD3"/>
    <w:rsid w:val="5EB95DD2"/>
    <w:rsid w:val="5F5C2EFA"/>
    <w:rsid w:val="5F7255C6"/>
    <w:rsid w:val="5F785834"/>
    <w:rsid w:val="5FB13C1C"/>
    <w:rsid w:val="5FC75282"/>
    <w:rsid w:val="5FE1567A"/>
    <w:rsid w:val="5FEC1BF5"/>
    <w:rsid w:val="60C2709E"/>
    <w:rsid w:val="6106329C"/>
    <w:rsid w:val="610E451F"/>
    <w:rsid w:val="618333EA"/>
    <w:rsid w:val="61885C5D"/>
    <w:rsid w:val="61A265C7"/>
    <w:rsid w:val="61BE18D9"/>
    <w:rsid w:val="61F91876"/>
    <w:rsid w:val="62322474"/>
    <w:rsid w:val="626012F3"/>
    <w:rsid w:val="626E260B"/>
    <w:rsid w:val="62C84DC4"/>
    <w:rsid w:val="62D62068"/>
    <w:rsid w:val="630C0C9E"/>
    <w:rsid w:val="6341785E"/>
    <w:rsid w:val="63A96A13"/>
    <w:rsid w:val="644448CA"/>
    <w:rsid w:val="6453457F"/>
    <w:rsid w:val="648B5500"/>
    <w:rsid w:val="649655B1"/>
    <w:rsid w:val="64BC2C9B"/>
    <w:rsid w:val="64E67EDA"/>
    <w:rsid w:val="64FA183E"/>
    <w:rsid w:val="65220379"/>
    <w:rsid w:val="65245D70"/>
    <w:rsid w:val="655E7CF1"/>
    <w:rsid w:val="6571153A"/>
    <w:rsid w:val="65724749"/>
    <w:rsid w:val="65871379"/>
    <w:rsid w:val="65B457A2"/>
    <w:rsid w:val="65CF48B7"/>
    <w:rsid w:val="65E3052E"/>
    <w:rsid w:val="65EF238E"/>
    <w:rsid w:val="65FD30D1"/>
    <w:rsid w:val="660A4448"/>
    <w:rsid w:val="661B3704"/>
    <w:rsid w:val="66704573"/>
    <w:rsid w:val="66797ED2"/>
    <w:rsid w:val="66A05DC1"/>
    <w:rsid w:val="66B16DB5"/>
    <w:rsid w:val="66D91364"/>
    <w:rsid w:val="66EC4861"/>
    <w:rsid w:val="670A555D"/>
    <w:rsid w:val="675A74FA"/>
    <w:rsid w:val="67DE101C"/>
    <w:rsid w:val="67FC099D"/>
    <w:rsid w:val="683A42B9"/>
    <w:rsid w:val="68413617"/>
    <w:rsid w:val="68FA5E7F"/>
    <w:rsid w:val="69206FE6"/>
    <w:rsid w:val="69275944"/>
    <w:rsid w:val="69A56796"/>
    <w:rsid w:val="69A67CDD"/>
    <w:rsid w:val="69AA25B9"/>
    <w:rsid w:val="6A5C2965"/>
    <w:rsid w:val="6ABE3F1A"/>
    <w:rsid w:val="6AEF5784"/>
    <w:rsid w:val="6AEF6426"/>
    <w:rsid w:val="6B256BBD"/>
    <w:rsid w:val="6C17358A"/>
    <w:rsid w:val="6C192DF4"/>
    <w:rsid w:val="6C2E3BAB"/>
    <w:rsid w:val="6CFD38B4"/>
    <w:rsid w:val="6D24124D"/>
    <w:rsid w:val="6D7831C7"/>
    <w:rsid w:val="6DA43D14"/>
    <w:rsid w:val="6DE93268"/>
    <w:rsid w:val="6DFC0A08"/>
    <w:rsid w:val="6E03556E"/>
    <w:rsid w:val="6E4C1DDD"/>
    <w:rsid w:val="6E4F4E79"/>
    <w:rsid w:val="6EBA7CE7"/>
    <w:rsid w:val="6F0526A1"/>
    <w:rsid w:val="6F683104"/>
    <w:rsid w:val="6FBA6E91"/>
    <w:rsid w:val="70525A28"/>
    <w:rsid w:val="70631405"/>
    <w:rsid w:val="707D4D66"/>
    <w:rsid w:val="707E15F9"/>
    <w:rsid w:val="70A231E6"/>
    <w:rsid w:val="70F463B4"/>
    <w:rsid w:val="70FB6077"/>
    <w:rsid w:val="712D20D3"/>
    <w:rsid w:val="7131157C"/>
    <w:rsid w:val="718370CE"/>
    <w:rsid w:val="71944CFF"/>
    <w:rsid w:val="71CC0D50"/>
    <w:rsid w:val="71F85BCF"/>
    <w:rsid w:val="71FC0F7A"/>
    <w:rsid w:val="720B57D9"/>
    <w:rsid w:val="721C18CD"/>
    <w:rsid w:val="72974BB0"/>
    <w:rsid w:val="730A62BA"/>
    <w:rsid w:val="731E4809"/>
    <w:rsid w:val="73394FCE"/>
    <w:rsid w:val="733952EA"/>
    <w:rsid w:val="735D00D3"/>
    <w:rsid w:val="73B07BE6"/>
    <w:rsid w:val="73B155E8"/>
    <w:rsid w:val="741C4825"/>
    <w:rsid w:val="74280C84"/>
    <w:rsid w:val="742A2BFF"/>
    <w:rsid w:val="744450B2"/>
    <w:rsid w:val="745921C5"/>
    <w:rsid w:val="74693BC7"/>
    <w:rsid w:val="74977010"/>
    <w:rsid w:val="74CA64C0"/>
    <w:rsid w:val="75101280"/>
    <w:rsid w:val="751D0B78"/>
    <w:rsid w:val="754D2856"/>
    <w:rsid w:val="756151CD"/>
    <w:rsid w:val="75B1662A"/>
    <w:rsid w:val="75D8533D"/>
    <w:rsid w:val="75E032AB"/>
    <w:rsid w:val="75EE49A7"/>
    <w:rsid w:val="760A1510"/>
    <w:rsid w:val="76121E15"/>
    <w:rsid w:val="7615266F"/>
    <w:rsid w:val="762F2831"/>
    <w:rsid w:val="7648262B"/>
    <w:rsid w:val="766816D6"/>
    <w:rsid w:val="766B5547"/>
    <w:rsid w:val="76715DDC"/>
    <w:rsid w:val="76BA0BE1"/>
    <w:rsid w:val="76D53204"/>
    <w:rsid w:val="772F3D11"/>
    <w:rsid w:val="77446D81"/>
    <w:rsid w:val="77656ADB"/>
    <w:rsid w:val="777964B3"/>
    <w:rsid w:val="77912D9C"/>
    <w:rsid w:val="77937F90"/>
    <w:rsid w:val="77A23D29"/>
    <w:rsid w:val="77A6570F"/>
    <w:rsid w:val="77AE356C"/>
    <w:rsid w:val="77AE3EE9"/>
    <w:rsid w:val="77B45BFA"/>
    <w:rsid w:val="77B76141"/>
    <w:rsid w:val="77C43553"/>
    <w:rsid w:val="77D71CE3"/>
    <w:rsid w:val="78361828"/>
    <w:rsid w:val="78557445"/>
    <w:rsid w:val="788E1D2B"/>
    <w:rsid w:val="78AC5FDC"/>
    <w:rsid w:val="78F04D80"/>
    <w:rsid w:val="79223282"/>
    <w:rsid w:val="79FC224E"/>
    <w:rsid w:val="7A01796E"/>
    <w:rsid w:val="7A056E77"/>
    <w:rsid w:val="7A5173A9"/>
    <w:rsid w:val="7A5A076F"/>
    <w:rsid w:val="7B3C7DB9"/>
    <w:rsid w:val="7BC22FF4"/>
    <w:rsid w:val="7BFD4C52"/>
    <w:rsid w:val="7C622CA0"/>
    <w:rsid w:val="7C731091"/>
    <w:rsid w:val="7CA440B9"/>
    <w:rsid w:val="7E5768E9"/>
    <w:rsid w:val="7E7F3753"/>
    <w:rsid w:val="7EBF1A58"/>
    <w:rsid w:val="7EC3202A"/>
    <w:rsid w:val="7ED02DDB"/>
    <w:rsid w:val="7F380CA6"/>
    <w:rsid w:val="7F626766"/>
    <w:rsid w:val="7F7330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640" w:firstLineChars="200"/>
      <w:jc w:val="left"/>
    </w:pPr>
    <w:rPr>
      <w:rFonts w:eastAsia="仿宋" w:asciiTheme="minorAscii" w:hAnsiTheme="minorAscii" w:cstheme="minorBidi"/>
      <w:kern w:val="2"/>
      <w:sz w:val="32"/>
      <w:szCs w:val="24"/>
      <w:lang w:val="en-US" w:eastAsia="zh-CN" w:bidi="ar-SA"/>
    </w:rPr>
  </w:style>
  <w:style w:type="paragraph" w:styleId="2">
    <w:name w:val="heading 1"/>
    <w:basedOn w:val="1"/>
    <w:next w:val="1"/>
    <w:qFormat/>
    <w:uiPriority w:val="0"/>
    <w:pPr>
      <w:keepNext/>
      <w:keepLines/>
      <w:spacing w:before="1300" w:beforeLines="1300" w:beforeAutospacing="0" w:afterLines="0" w:afterAutospacing="0" w:line="360" w:lineRule="auto"/>
      <w:jc w:val="center"/>
      <w:outlineLvl w:val="0"/>
    </w:pPr>
    <w:rPr>
      <w:rFonts w:eastAsia="宋体"/>
      <w:b/>
      <w:kern w:val="44"/>
      <w:sz w:val="52"/>
    </w:rPr>
  </w:style>
  <w:style w:type="paragraph" w:styleId="3">
    <w:name w:val="heading 2"/>
    <w:basedOn w:val="1"/>
    <w:next w:val="1"/>
    <w:link w:val="20"/>
    <w:qFormat/>
    <w:uiPriority w:val="0"/>
    <w:pPr>
      <w:keepNext/>
      <w:keepLines/>
      <w:numPr>
        <w:ilvl w:val="1"/>
        <w:numId w:val="1"/>
      </w:numPr>
      <w:tabs>
        <w:tab w:val="left" w:pos="1080"/>
      </w:tabs>
      <w:spacing w:before="120" w:after="120" w:line="460" w:lineRule="exact"/>
      <w:outlineLvl w:val="1"/>
    </w:pPr>
    <w:rPr>
      <w:rFonts w:ascii="Arial" w:hAnsi="Arial" w:eastAsia="黑体" w:cs="Arial"/>
      <w:b/>
      <w:bCs/>
      <w:sz w:val="30"/>
      <w:szCs w:val="30"/>
    </w:rPr>
  </w:style>
  <w:style w:type="paragraph" w:styleId="4">
    <w:name w:val="heading 3"/>
    <w:basedOn w:val="1"/>
    <w:next w:val="1"/>
    <w:link w:val="23"/>
    <w:unhideWhenUsed/>
    <w:qFormat/>
    <w:uiPriority w:val="0"/>
    <w:pPr>
      <w:keepNext/>
      <w:keepLines/>
      <w:spacing w:beforeLines="0" w:beforeAutospacing="0" w:afterLines="0" w:afterAutospacing="0" w:line="360" w:lineRule="auto"/>
      <w:outlineLvl w:val="2"/>
    </w:pPr>
    <w:rPr>
      <w:b/>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6">
    <w:name w:val="Body Text"/>
    <w:basedOn w:val="1"/>
    <w:next w:val="1"/>
    <w:unhideWhenUsed/>
    <w:qFormat/>
    <w:uiPriority w:val="99"/>
    <w:pPr>
      <w:spacing w:after="120"/>
    </w:pPr>
    <w:rPr>
      <w:rFonts w:ascii="Calibri" w:hAnsi="Calibri" w:eastAsia="宋体" w:cs="Times New Roman"/>
    </w:rPr>
  </w:style>
  <w:style w:type="paragraph" w:styleId="7">
    <w:name w:val="Plain Text"/>
    <w:basedOn w:val="1"/>
    <w:qFormat/>
    <w:uiPriority w:val="0"/>
    <w:rPr>
      <w:rFonts w:ascii="宋体" w:hAnsi="Courier New"/>
    </w:rPr>
  </w:style>
  <w:style w:type="paragraph" w:styleId="8">
    <w:name w:val="Date"/>
    <w:basedOn w:val="1"/>
    <w:next w:val="1"/>
    <w:link w:val="21"/>
    <w:qFormat/>
    <w:uiPriority w:val="0"/>
    <w:pPr>
      <w:ind w:left="100" w:leftChars="2500"/>
    </w:pPr>
  </w:style>
  <w:style w:type="paragraph" w:styleId="9">
    <w:name w:val="footer"/>
    <w:basedOn w:val="1"/>
    <w:qFormat/>
    <w:uiPriority w:val="99"/>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13">
    <w:name w:val="page number"/>
    <w:basedOn w:val="12"/>
    <w:qFormat/>
    <w:uiPriority w:val="0"/>
  </w:style>
  <w:style w:type="paragraph" w:customStyle="1" w:styleId="14">
    <w:name w:val="Quote1"/>
    <w:basedOn w:val="1"/>
    <w:next w:val="1"/>
    <w:qFormat/>
    <w:uiPriority w:val="0"/>
    <w:rPr>
      <w:i/>
      <w:iCs/>
      <w:color w:val="000000"/>
    </w:rPr>
  </w:style>
  <w:style w:type="character" w:customStyle="1" w:styleId="15">
    <w:name w:val="NormalCharacter"/>
    <w:semiHidden/>
    <w:qFormat/>
    <w:uiPriority w:val="0"/>
  </w:style>
  <w:style w:type="paragraph" w:styleId="16">
    <w:name w:val="List Paragraph"/>
    <w:basedOn w:val="1"/>
    <w:qFormat/>
    <w:uiPriority w:val="34"/>
    <w:pPr>
      <w:ind w:firstLine="420" w:firstLineChars="200"/>
    </w:pPr>
  </w:style>
  <w:style w:type="paragraph" w:customStyle="1" w:styleId="17">
    <w:name w:val="95-正文"/>
    <w:qFormat/>
    <w:uiPriority w:val="0"/>
    <w:pPr>
      <w:ind w:firstLine="880" w:firstLineChars="200"/>
    </w:pPr>
    <w:rPr>
      <w:rFonts w:ascii="Calibri" w:hAnsi="Calibri" w:eastAsia="仿宋_GB2312" w:cs="Times New Roman"/>
      <w:sz w:val="32"/>
      <w:lang w:val="en-US" w:eastAsia="zh-CN" w:bidi="ar-SA"/>
    </w:rPr>
  </w:style>
  <w:style w:type="paragraph" w:customStyle="1" w:styleId="18">
    <w:name w:val="引用1"/>
    <w:basedOn w:val="1"/>
    <w:next w:val="1"/>
    <w:qFormat/>
    <w:uiPriority w:val="29"/>
    <w:rPr>
      <w:i/>
      <w:iCs/>
      <w:color w:val="000000"/>
    </w:rPr>
  </w:style>
  <w:style w:type="paragraph" w:customStyle="1" w:styleId="19">
    <w:name w:val="Default"/>
    <w:unhideWhenUsed/>
    <w:qFormat/>
    <w:uiPriority w:val="99"/>
    <w:pPr>
      <w:widowControl w:val="0"/>
      <w:autoSpaceDE w:val="0"/>
      <w:autoSpaceDN w:val="0"/>
      <w:adjustRightInd w:val="0"/>
    </w:pPr>
    <w:rPr>
      <w:rFonts w:hint="eastAsia" w:ascii="汉仪中宋简á.." w:hAnsi="汉仪中宋简á.." w:eastAsia="汉仪中宋简á.." w:cs="Times New Roman"/>
      <w:color w:val="000000"/>
      <w:sz w:val="24"/>
      <w:lang w:val="en-US" w:eastAsia="zh-CN" w:bidi="ar-SA"/>
    </w:rPr>
  </w:style>
  <w:style w:type="character" w:customStyle="1" w:styleId="20">
    <w:name w:val="标题 2 Char"/>
    <w:basedOn w:val="12"/>
    <w:link w:val="3"/>
    <w:qFormat/>
    <w:uiPriority w:val="0"/>
    <w:rPr>
      <w:rFonts w:ascii="Arial" w:hAnsi="Arial" w:eastAsia="黑体" w:cs="Arial"/>
      <w:b/>
      <w:bCs/>
      <w:kern w:val="2"/>
      <w:sz w:val="30"/>
      <w:szCs w:val="30"/>
    </w:rPr>
  </w:style>
  <w:style w:type="character" w:customStyle="1" w:styleId="21">
    <w:name w:val="日期 Char"/>
    <w:basedOn w:val="12"/>
    <w:link w:val="8"/>
    <w:qFormat/>
    <w:uiPriority w:val="0"/>
    <w:rPr>
      <w:rFonts w:asciiTheme="minorHAnsi" w:hAnsiTheme="minorHAnsi" w:eastAsiaTheme="minorEastAsia" w:cstheme="minorBidi"/>
      <w:kern w:val="2"/>
      <w:sz w:val="21"/>
      <w:szCs w:val="24"/>
    </w:rPr>
  </w:style>
  <w:style w:type="paragraph" w:customStyle="1" w:styleId="22">
    <w:name w:val="引用11"/>
    <w:basedOn w:val="1"/>
    <w:next w:val="1"/>
    <w:qFormat/>
    <w:uiPriority w:val="29"/>
    <w:rPr>
      <w:rFonts w:ascii="Calibri" w:hAnsi="Calibri" w:eastAsia="宋体" w:cs="Times New Roman"/>
      <w:i/>
      <w:iCs/>
      <w:color w:val="000000"/>
    </w:rPr>
  </w:style>
  <w:style w:type="character" w:customStyle="1" w:styleId="23">
    <w:name w:val="标题 3 Char"/>
    <w:link w:val="4"/>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1942</Words>
  <Characters>2001</Characters>
  <Lines>1</Lines>
  <Paragraphs>1</Paragraphs>
  <TotalTime>27</TotalTime>
  <ScaleCrop>false</ScaleCrop>
  <LinksUpToDate>false</LinksUpToDate>
  <CharactersWithSpaces>2020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2024-05-21T02:47:00Z</dcterms:created>
  <dc:creator>admin</dc:creator>
  <cp:lastModifiedBy>碧云天</cp:lastModifiedBy>
  <cp:lastPrinted>2024-11-15T04:16:00Z</cp:lastPrinted>
  <dcterms:modified xsi:type="dcterms:W3CDTF">2025-09-22T03:24:08Z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DD0E3E2B005C4D18ADA88471559F5EB5_13</vt:lpwstr>
  </property>
  <property fmtid="{D5CDD505-2E9C-101B-9397-08002B2CF9AE}" pid="4" name="KSOTemplateDocerSaveRecord">
    <vt:lpwstr>eyJoZGlkIjoiNzI2ZGI0OGUzMDAzMzk0YmE1OTYyMDVlZGMwMmYyODYiLCJ1c2VySWQiOiIxMTM5NjM2MTk5In0=</vt:lpwstr>
  </property>
</Properties>
</file>