
<file path=[Content_Types].xml><?xml version="1.0" encoding="utf-8"?>
<Types xmlns="http://schemas.openxmlformats.org/package/2006/content-types">
  <Default Extension="xml" ContentType="application/xml"/>
  <Default Extension="xlsx" ContentType="application/vnd.openxmlformats-officedocument.spreadsheetml.sheet"/>
  <Default Extension="bin" ContentType="application/vnd.openxmlformats-officedocument.oleObject"/>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olors1.xml" ContentType="application/vnd.ms-office.chartcolorstyle+xml"/>
  <Override PartName="/word/charts/style1.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6DA60E">
      <w:pPr>
        <w:spacing w:beforeLines="0" w:afterLines="0" w:line="360" w:lineRule="auto"/>
        <w:jc w:val="center"/>
        <w:rPr>
          <w:rFonts w:hint="eastAsia" w:ascii="方正小标宋简体" w:hAnsi="方正小标宋简体" w:eastAsia="方正小标宋简体"/>
          <w:kern w:val="2"/>
          <w:sz w:val="72"/>
          <w:szCs w:val="24"/>
          <w:lang w:val="zh-CN"/>
        </w:rPr>
      </w:pPr>
    </w:p>
    <w:p w14:paraId="1BEA6E3B">
      <w:pPr>
        <w:pStyle w:val="2"/>
        <w:rPr>
          <w:rFonts w:hint="eastAsia" w:ascii="方正小标宋简体" w:hAnsi="方正小标宋简体" w:eastAsia="方正小标宋简体"/>
          <w:kern w:val="2"/>
          <w:sz w:val="72"/>
          <w:szCs w:val="24"/>
          <w:lang w:val="zh-CN"/>
        </w:rPr>
      </w:pPr>
    </w:p>
    <w:p w14:paraId="027C02E0">
      <w:pPr>
        <w:pStyle w:val="3"/>
        <w:rPr>
          <w:rFonts w:hint="eastAsia"/>
          <w:lang w:val="zh-CN"/>
        </w:rPr>
      </w:pPr>
    </w:p>
    <w:p w14:paraId="5BA103C5">
      <w:pPr>
        <w:spacing w:beforeLines="0" w:afterLines="0" w:line="360" w:lineRule="auto"/>
        <w:jc w:val="center"/>
        <w:rPr>
          <w:rFonts w:hint="eastAsia" w:ascii="方正小标宋简体" w:hAnsi="方正小标宋简体" w:eastAsia="方正小标宋简体"/>
          <w:kern w:val="2"/>
          <w:sz w:val="72"/>
          <w:szCs w:val="24"/>
          <w:lang w:val="zh-CN"/>
        </w:rPr>
      </w:pPr>
    </w:p>
    <w:p w14:paraId="5F32C1E2">
      <w:pPr>
        <w:spacing w:beforeLines="0" w:afterLines="0" w:line="360" w:lineRule="auto"/>
        <w:jc w:val="center"/>
        <w:rPr>
          <w:rFonts w:hint="eastAsia" w:ascii="方正小标宋简体" w:hAnsi="方正小标宋简体" w:eastAsia="方正小标宋简体"/>
          <w:kern w:val="2"/>
          <w:sz w:val="44"/>
          <w:szCs w:val="44"/>
          <w:lang w:val="zh-CN"/>
        </w:rPr>
      </w:pPr>
      <w:r>
        <w:rPr>
          <w:rFonts w:hint="eastAsia" w:ascii="方正小标宋简体" w:hAnsi="方正小标宋简体" w:eastAsia="方正小标宋简体"/>
          <w:kern w:val="2"/>
          <w:sz w:val="44"/>
          <w:szCs w:val="44"/>
          <w:lang w:val="zh-CN"/>
        </w:rPr>
        <w:t>202</w:t>
      </w:r>
      <w:r>
        <w:rPr>
          <w:rFonts w:hint="eastAsia" w:ascii="方正小标宋简体" w:hAnsi="方正小标宋简体" w:eastAsia="方正小标宋简体"/>
          <w:kern w:val="2"/>
          <w:sz w:val="44"/>
          <w:szCs w:val="44"/>
          <w:lang w:val="en-US" w:eastAsia="zh-CN"/>
        </w:rPr>
        <w:t>4</w:t>
      </w:r>
      <w:r>
        <w:rPr>
          <w:rFonts w:hint="eastAsia" w:ascii="方正小标宋简体" w:hAnsi="方正小标宋简体" w:eastAsia="方正小标宋简体"/>
          <w:kern w:val="2"/>
          <w:sz w:val="44"/>
          <w:szCs w:val="44"/>
          <w:lang w:val="zh-CN"/>
        </w:rPr>
        <w:t>年度</w:t>
      </w:r>
    </w:p>
    <w:p w14:paraId="7212509C">
      <w:pPr>
        <w:spacing w:beforeLines="0" w:afterLines="0" w:line="360" w:lineRule="auto"/>
        <w:jc w:val="center"/>
        <w:outlineLvl w:val="0"/>
        <w:rPr>
          <w:rFonts w:hint="eastAsia" w:ascii="方正小标宋简体" w:hAnsi="方正小标宋简体" w:eastAsia="方正小标宋简体"/>
          <w:kern w:val="2"/>
          <w:sz w:val="44"/>
          <w:szCs w:val="44"/>
          <w:lang w:val="zh-CN"/>
        </w:rPr>
      </w:pPr>
      <w:bookmarkStart w:id="0" w:name="_Toc29947"/>
      <w:r>
        <w:rPr>
          <w:rFonts w:hint="eastAsia" w:ascii="方正小标宋简体" w:hAnsi="方正小标宋简体" w:eastAsia="方正小标宋简体"/>
          <w:kern w:val="2"/>
          <w:sz w:val="44"/>
          <w:szCs w:val="44"/>
          <w:lang w:val="zh-CN"/>
        </w:rPr>
        <w:t>峨边彝族自治县哈曲乡中心小学</w:t>
      </w:r>
    </w:p>
    <w:p w14:paraId="53C26104">
      <w:pPr>
        <w:spacing w:beforeLines="0" w:afterLines="0" w:line="360" w:lineRule="auto"/>
        <w:jc w:val="center"/>
        <w:outlineLvl w:val="0"/>
        <w:rPr>
          <w:rFonts w:hint="eastAsia" w:ascii="方正小标宋简体" w:hAnsi="方正小标宋简体" w:eastAsia="方正小标宋简体"/>
          <w:kern w:val="2"/>
          <w:sz w:val="44"/>
          <w:szCs w:val="44"/>
          <w:lang w:val="zh-CN"/>
        </w:rPr>
      </w:pPr>
      <w:r>
        <w:rPr>
          <w:rFonts w:hint="eastAsia" w:ascii="方正小标宋简体" w:hAnsi="方正小标宋简体" w:eastAsia="方正小标宋简体"/>
          <w:kern w:val="2"/>
          <w:sz w:val="44"/>
          <w:szCs w:val="44"/>
          <w:lang w:val="zh-CN"/>
        </w:rPr>
        <w:t>单位决算</w:t>
      </w:r>
      <w:bookmarkEnd w:id="0"/>
    </w:p>
    <w:p w14:paraId="0A92CD5F">
      <w:pPr>
        <w:spacing w:beforeLines="0" w:afterLines="0" w:line="360" w:lineRule="auto"/>
        <w:jc w:val="center"/>
        <w:rPr>
          <w:rFonts w:hint="eastAsia" w:ascii="方正小标宋简体" w:hAnsi="方正小标宋简体" w:eastAsia="方正小标宋简体"/>
          <w:kern w:val="2"/>
          <w:sz w:val="52"/>
          <w:szCs w:val="24"/>
          <w:lang w:val="zh-CN"/>
        </w:rPr>
      </w:pPr>
    </w:p>
    <w:p w14:paraId="1FF6C0BB">
      <w:pPr>
        <w:keepNext/>
        <w:keepLines/>
        <w:tabs>
          <w:tab w:val="right" w:leader="dot" w:pos="8296"/>
        </w:tabs>
        <w:spacing w:beforeLines="0" w:afterLines="0" w:line="576" w:lineRule="exact"/>
        <w:rPr>
          <w:rFonts w:hint="eastAsia" w:ascii="黑体" w:hAnsi="黑体" w:eastAsia="黑体"/>
          <w:b/>
          <w:color w:val="FF0000"/>
          <w:kern w:val="2"/>
          <w:sz w:val="48"/>
          <w:szCs w:val="24"/>
          <w:lang w:val="zh-CN"/>
        </w:rPr>
      </w:pPr>
    </w:p>
    <w:p w14:paraId="44389ACE">
      <w:pPr>
        <w:spacing w:beforeLines="0" w:afterLines="0"/>
        <w:jc w:val="center"/>
        <w:rPr>
          <w:rFonts w:hint="eastAsia" w:ascii="黑体" w:hAnsi="黑体" w:eastAsia="黑体"/>
          <w:color w:val="auto"/>
          <w:kern w:val="2"/>
          <w:sz w:val="48"/>
          <w:szCs w:val="24"/>
          <w:lang w:val="zh-CN"/>
        </w:rPr>
      </w:pPr>
    </w:p>
    <w:p w14:paraId="1EC01F1E">
      <w:pPr>
        <w:spacing w:beforeLines="0" w:afterLines="0"/>
        <w:jc w:val="center"/>
        <w:rPr>
          <w:rFonts w:hint="eastAsia" w:ascii="黑体" w:hAnsi="黑体" w:eastAsia="黑体"/>
          <w:color w:val="auto"/>
          <w:kern w:val="2"/>
          <w:sz w:val="48"/>
          <w:szCs w:val="24"/>
          <w:lang w:val="zh-CN"/>
        </w:rPr>
      </w:pPr>
    </w:p>
    <w:p w14:paraId="01721D0F">
      <w:pPr>
        <w:spacing w:beforeLines="0" w:afterLines="0"/>
        <w:jc w:val="center"/>
        <w:rPr>
          <w:rFonts w:hint="eastAsia" w:ascii="黑体" w:hAnsi="黑体" w:eastAsia="黑体"/>
          <w:color w:val="auto"/>
          <w:kern w:val="2"/>
          <w:sz w:val="48"/>
          <w:szCs w:val="24"/>
          <w:lang w:val="zh-CN"/>
        </w:rPr>
      </w:pPr>
    </w:p>
    <w:p w14:paraId="217F2B11">
      <w:pPr>
        <w:spacing w:beforeLines="0" w:afterLines="0"/>
        <w:jc w:val="center"/>
        <w:rPr>
          <w:rFonts w:hint="eastAsia" w:ascii="黑体" w:hAnsi="黑体" w:eastAsia="黑体"/>
          <w:color w:val="auto"/>
          <w:kern w:val="2"/>
          <w:sz w:val="48"/>
          <w:szCs w:val="24"/>
          <w:lang w:val="zh-CN"/>
        </w:rPr>
      </w:pPr>
    </w:p>
    <w:p w14:paraId="4C11650C">
      <w:pPr>
        <w:spacing w:beforeLines="0" w:afterLines="0"/>
        <w:jc w:val="center"/>
        <w:rPr>
          <w:rFonts w:hint="eastAsia" w:ascii="黑体" w:hAnsi="黑体" w:eastAsia="黑体"/>
          <w:color w:val="auto"/>
          <w:kern w:val="2"/>
          <w:sz w:val="48"/>
          <w:szCs w:val="24"/>
          <w:lang w:val="zh-CN"/>
        </w:rPr>
      </w:pPr>
    </w:p>
    <w:p w14:paraId="667519D5">
      <w:pPr>
        <w:spacing w:beforeLines="0" w:afterLines="0"/>
        <w:jc w:val="both"/>
        <w:rPr>
          <w:rFonts w:hint="eastAsia" w:ascii="黑体" w:hAnsi="黑体" w:eastAsia="黑体"/>
          <w:color w:val="auto"/>
          <w:kern w:val="2"/>
          <w:sz w:val="48"/>
          <w:szCs w:val="24"/>
          <w:lang w:val="zh-CN"/>
        </w:rPr>
        <w:sectPr>
          <w:pgSz w:w="12240" w:h="15840"/>
          <w:pgMar w:top="1440" w:right="1800" w:bottom="1440" w:left="1800" w:header="720" w:footer="720" w:gutter="0"/>
          <w:lnNumType w:countBy="0" w:distance="360"/>
          <w:cols w:space="720" w:num="1"/>
          <w:docGrid w:type="lines" w:linePitch="312" w:charSpace="0"/>
        </w:sectPr>
      </w:pPr>
    </w:p>
    <w:p w14:paraId="33DAA0F3">
      <w:pPr>
        <w:spacing w:beforeLines="0" w:afterLines="0"/>
        <w:jc w:val="both"/>
        <w:rPr>
          <w:rFonts w:hint="eastAsia" w:ascii="黑体" w:hAnsi="黑体" w:eastAsia="黑体"/>
          <w:color w:val="auto"/>
          <w:kern w:val="2"/>
          <w:sz w:val="48"/>
          <w:szCs w:val="24"/>
          <w:lang w:val="zh-CN"/>
        </w:rPr>
      </w:pPr>
    </w:p>
    <w:sdt>
      <w:sdtPr>
        <w:rPr>
          <w:rFonts w:hint="default" w:ascii="宋体" w:hAnsi="宋体" w:eastAsia="宋体" w:cstheme="minorBidi"/>
          <w:sz w:val="44"/>
          <w:szCs w:val="44"/>
        </w:rPr>
        <w:id w:val="147479874"/>
        <w15:color w:val="DBDBDB"/>
        <w:docPartObj>
          <w:docPartGallery w:val="Table of Contents"/>
          <w:docPartUnique/>
        </w:docPartObj>
      </w:sdtPr>
      <w:sdtEndPr>
        <w:rPr>
          <w:rFonts w:hint="eastAsia" w:ascii="黑体" w:hAnsi="黑体" w:eastAsia="黑体" w:cstheme="minorBidi"/>
          <w:b/>
          <w:color w:val="auto"/>
          <w:kern w:val="44"/>
          <w:sz w:val="24"/>
          <w:szCs w:val="24"/>
          <w:lang w:val="zh-CN"/>
        </w:rPr>
      </w:sdtEndPr>
      <w:sdtContent>
        <w:p w14:paraId="4F28F72E">
          <w:pPr>
            <w:spacing w:before="0" w:beforeLines="0" w:after="0" w:afterLines="0" w:line="240" w:lineRule="auto"/>
            <w:ind w:left="0" w:leftChars="0" w:right="0" w:rightChars="0" w:firstLine="0" w:firstLineChars="0"/>
            <w:jc w:val="center"/>
            <w:rPr>
              <w:rFonts w:hint="eastAsia" w:ascii="黑体" w:hAnsi="黑体" w:eastAsia="黑体" w:cs="黑体"/>
              <w:sz w:val="48"/>
              <w:szCs w:val="48"/>
            </w:rPr>
          </w:pPr>
          <w:r>
            <w:rPr>
              <w:rFonts w:hint="eastAsia" w:ascii="黑体" w:hAnsi="黑体" w:eastAsia="黑体" w:cs="黑体"/>
              <w:sz w:val="48"/>
              <w:szCs w:val="48"/>
            </w:rPr>
            <w:t>目录</w:t>
          </w:r>
        </w:p>
        <w:p w14:paraId="6E5DC6CC">
          <w:pPr>
            <w:pStyle w:val="9"/>
            <w:rPr>
              <w:rFonts w:ascii="宋体" w:hAnsi="宋体" w:eastAsia="宋体"/>
              <w:sz w:val="44"/>
              <w:szCs w:val="44"/>
            </w:rPr>
          </w:pPr>
          <w:r>
            <w:rPr>
              <w:rFonts w:hint="eastAsia"/>
              <w:color w:val="auto"/>
              <w:highlight w:val="none"/>
            </w:rPr>
            <w:t>公开时间：20</w:t>
          </w:r>
          <w:r>
            <w:rPr>
              <w:rFonts w:hint="eastAsia"/>
              <w:color w:val="auto"/>
              <w:highlight w:val="none"/>
              <w:lang w:val="en-US" w:eastAsia="zh-CN"/>
            </w:rPr>
            <w:t>24</w:t>
          </w:r>
          <w:r>
            <w:rPr>
              <w:rFonts w:hint="eastAsia"/>
              <w:color w:val="auto"/>
              <w:highlight w:val="none"/>
            </w:rPr>
            <w:t>年</w:t>
          </w:r>
          <w:r>
            <w:rPr>
              <w:rFonts w:hint="eastAsia"/>
              <w:color w:val="auto"/>
              <w:highlight w:val="none"/>
              <w:lang w:val="en-US" w:eastAsia="zh-CN"/>
            </w:rPr>
            <w:t>11</w:t>
          </w:r>
          <w:r>
            <w:rPr>
              <w:rFonts w:hint="eastAsia"/>
              <w:color w:val="auto"/>
              <w:highlight w:val="none"/>
            </w:rPr>
            <w:t>月</w:t>
          </w:r>
          <w:r>
            <w:rPr>
              <w:rFonts w:hint="eastAsia"/>
              <w:color w:val="auto"/>
              <w:highlight w:val="none"/>
              <w:lang w:val="en-US" w:eastAsia="zh-CN"/>
            </w:rPr>
            <w:t xml:space="preserve"> 27</w:t>
          </w:r>
          <w:r>
            <w:rPr>
              <w:rFonts w:hint="eastAsia"/>
              <w:color w:val="auto"/>
              <w:highlight w:val="none"/>
            </w:rPr>
            <w:t>日</w:t>
          </w:r>
        </w:p>
        <w:p w14:paraId="3CC9CC01">
          <w:pPr>
            <w:spacing w:before="0" w:beforeLines="0" w:after="0" w:afterLines="0" w:line="240" w:lineRule="auto"/>
            <w:ind w:left="0" w:leftChars="0" w:right="0" w:rightChars="0" w:firstLine="0" w:firstLineChars="0"/>
            <w:jc w:val="center"/>
            <w:rPr>
              <w:rFonts w:ascii="宋体" w:hAnsi="宋体" w:eastAsia="宋体"/>
              <w:sz w:val="21"/>
            </w:rPr>
          </w:pPr>
        </w:p>
        <w:p w14:paraId="334A394F">
          <w:pPr>
            <w:pStyle w:val="14"/>
            <w:tabs>
              <w:tab w:val="right" w:leader="dot" w:pos="8640"/>
            </w:tabs>
            <w:rPr>
              <w:rFonts w:hint="eastAsia" w:ascii="黑体" w:hAnsi="黑体" w:eastAsia="黑体" w:cs="黑体"/>
              <w:b w:val="0"/>
              <w:bCs/>
              <w:sz w:val="24"/>
              <w:szCs w:val="24"/>
            </w:rPr>
          </w:pPr>
          <w:r>
            <w:rPr>
              <w:rFonts w:hint="eastAsia" w:ascii="宋体" w:hAnsi="宋体" w:eastAsia="宋体" w:cs="宋体"/>
              <w:color w:val="auto"/>
              <w:kern w:val="44"/>
              <w:sz w:val="21"/>
              <w:szCs w:val="21"/>
              <w:lang w:val="zh-CN"/>
            </w:rPr>
            <w:fldChar w:fldCharType="begin"/>
          </w:r>
          <w:r>
            <w:rPr>
              <w:rFonts w:hint="eastAsia" w:ascii="宋体" w:hAnsi="宋体" w:eastAsia="宋体" w:cs="宋体"/>
              <w:color w:val="auto"/>
              <w:kern w:val="44"/>
              <w:sz w:val="21"/>
              <w:szCs w:val="21"/>
              <w:lang w:val="zh-CN"/>
            </w:rPr>
            <w:instrText xml:space="preserve">TOC \o "1-2" \h \u </w:instrText>
          </w:r>
          <w:r>
            <w:rPr>
              <w:rFonts w:hint="eastAsia" w:ascii="宋体" w:hAnsi="宋体" w:eastAsia="宋体" w:cs="宋体"/>
              <w:color w:val="auto"/>
              <w:kern w:val="44"/>
              <w:sz w:val="21"/>
              <w:szCs w:val="21"/>
              <w:lang w:val="zh-CN"/>
            </w:rPr>
            <w:fldChar w:fldCharType="separate"/>
          </w:r>
        </w:p>
        <w:p w14:paraId="5ADAB755">
          <w:pPr>
            <w:pStyle w:val="14"/>
            <w:tabs>
              <w:tab w:val="right" w:leader="dot" w:pos="8640"/>
            </w:tabs>
            <w:rPr>
              <w:rFonts w:hint="eastAsia" w:ascii="黑体" w:hAnsi="黑体" w:eastAsia="黑体" w:cs="黑体"/>
              <w:b w:val="0"/>
              <w:bCs/>
              <w:sz w:val="24"/>
              <w:szCs w:val="24"/>
            </w:rPr>
          </w:pPr>
          <w:r>
            <w:rPr>
              <w:rFonts w:hint="eastAsia" w:ascii="黑体" w:hAnsi="黑体" w:eastAsia="黑体" w:cs="黑体"/>
              <w:b w:val="0"/>
              <w:bCs/>
              <w:color w:val="auto"/>
              <w:kern w:val="44"/>
              <w:sz w:val="24"/>
              <w:szCs w:val="24"/>
              <w:lang w:val="zh-CN"/>
            </w:rPr>
            <w:fldChar w:fldCharType="begin"/>
          </w:r>
          <w:r>
            <w:rPr>
              <w:rFonts w:hint="eastAsia" w:ascii="黑体" w:hAnsi="黑体" w:eastAsia="黑体" w:cs="黑体"/>
              <w:b w:val="0"/>
              <w:bCs/>
              <w:kern w:val="44"/>
              <w:sz w:val="24"/>
              <w:szCs w:val="24"/>
              <w:lang w:val="zh-CN"/>
            </w:rPr>
            <w:instrText xml:space="preserve"> HYPERLINK \l _Toc1776 </w:instrText>
          </w:r>
          <w:r>
            <w:rPr>
              <w:rFonts w:hint="eastAsia" w:ascii="黑体" w:hAnsi="黑体" w:eastAsia="黑体" w:cs="黑体"/>
              <w:b w:val="0"/>
              <w:bCs/>
              <w:kern w:val="44"/>
              <w:sz w:val="24"/>
              <w:szCs w:val="24"/>
              <w:lang w:val="zh-CN"/>
            </w:rPr>
            <w:fldChar w:fldCharType="separate"/>
          </w:r>
          <w:r>
            <w:rPr>
              <w:rFonts w:hint="eastAsia" w:ascii="黑体" w:hAnsi="黑体" w:eastAsia="黑体" w:cs="黑体"/>
              <w:b w:val="0"/>
              <w:bCs/>
              <w:kern w:val="44"/>
              <w:sz w:val="24"/>
              <w:szCs w:val="24"/>
              <w:lang w:val="zh-CN"/>
            </w:rPr>
            <w:t>第一部分 单位概况</w:t>
          </w:r>
          <w:r>
            <w:rPr>
              <w:rFonts w:hint="eastAsia" w:ascii="黑体" w:hAnsi="黑体" w:eastAsia="黑体" w:cs="黑体"/>
              <w:b w:val="0"/>
              <w:bCs/>
              <w:sz w:val="24"/>
              <w:szCs w:val="24"/>
            </w:rPr>
            <w:tab/>
          </w:r>
          <w:r>
            <w:rPr>
              <w:rFonts w:hint="eastAsia" w:ascii="黑体" w:hAnsi="黑体" w:eastAsia="黑体" w:cs="黑体"/>
              <w:b w:val="0"/>
              <w:bCs/>
              <w:sz w:val="24"/>
              <w:szCs w:val="24"/>
            </w:rPr>
            <w:fldChar w:fldCharType="begin"/>
          </w:r>
          <w:r>
            <w:rPr>
              <w:rFonts w:hint="eastAsia" w:ascii="黑体" w:hAnsi="黑体" w:eastAsia="黑体" w:cs="黑体"/>
              <w:b w:val="0"/>
              <w:bCs/>
              <w:sz w:val="24"/>
              <w:szCs w:val="24"/>
            </w:rPr>
            <w:instrText xml:space="preserve"> PAGEREF _Toc1776 \h </w:instrText>
          </w:r>
          <w:r>
            <w:rPr>
              <w:rFonts w:hint="eastAsia" w:ascii="黑体" w:hAnsi="黑体" w:eastAsia="黑体" w:cs="黑体"/>
              <w:b w:val="0"/>
              <w:bCs/>
              <w:sz w:val="24"/>
              <w:szCs w:val="24"/>
            </w:rPr>
            <w:fldChar w:fldCharType="separate"/>
          </w:r>
          <w:r>
            <w:rPr>
              <w:rFonts w:hint="eastAsia" w:ascii="黑体" w:hAnsi="黑体" w:eastAsia="黑体" w:cs="黑体"/>
              <w:b w:val="0"/>
              <w:bCs/>
              <w:sz w:val="24"/>
              <w:szCs w:val="24"/>
            </w:rPr>
            <w:t>3</w:t>
          </w:r>
          <w:r>
            <w:rPr>
              <w:rFonts w:hint="eastAsia" w:ascii="黑体" w:hAnsi="黑体" w:eastAsia="黑体" w:cs="黑体"/>
              <w:b w:val="0"/>
              <w:bCs/>
              <w:sz w:val="24"/>
              <w:szCs w:val="24"/>
            </w:rPr>
            <w:fldChar w:fldCharType="end"/>
          </w:r>
          <w:r>
            <w:rPr>
              <w:rFonts w:hint="eastAsia" w:ascii="黑体" w:hAnsi="黑体" w:eastAsia="黑体" w:cs="黑体"/>
              <w:b w:val="0"/>
              <w:bCs/>
              <w:color w:val="auto"/>
              <w:kern w:val="44"/>
              <w:sz w:val="24"/>
              <w:szCs w:val="24"/>
              <w:lang w:val="zh-CN"/>
            </w:rPr>
            <w:fldChar w:fldCharType="end"/>
          </w:r>
        </w:p>
        <w:p w14:paraId="19885AB8">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_Toc17925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一、主要职责</w:t>
          </w:r>
          <w:r>
            <w:rPr>
              <w:rFonts w:hint="eastAsia" w:ascii="宋体" w:hAnsi="宋体" w:eastAsia="宋体" w:cs="宋体"/>
              <w:sz w:val="21"/>
              <w:szCs w:val="21"/>
            </w:rPr>
            <w:tab/>
          </w:r>
          <w:r>
            <w:rPr>
              <w:rFonts w:hint="eastAsia" w:ascii="宋体" w:hAnsi="宋体" w:eastAsia="宋体" w:cs="宋体"/>
              <w:sz w:val="21"/>
              <w:szCs w:val="21"/>
              <w:lang w:val="en-US" w:eastAsia="zh-CN"/>
            </w:rPr>
            <w:t>3</w:t>
          </w:r>
          <w:r>
            <w:rPr>
              <w:rFonts w:hint="eastAsia" w:ascii="宋体" w:hAnsi="宋体" w:eastAsia="宋体" w:cs="宋体"/>
              <w:color w:val="auto"/>
              <w:kern w:val="44"/>
              <w:sz w:val="21"/>
              <w:szCs w:val="21"/>
              <w:lang w:val="zh-CN"/>
            </w:rPr>
            <w:fldChar w:fldCharType="end"/>
          </w:r>
        </w:p>
        <w:p w14:paraId="5FA13F30">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_Toc7775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二、 机构设置</w:t>
          </w:r>
          <w:r>
            <w:rPr>
              <w:rFonts w:hint="eastAsia" w:ascii="宋体" w:hAnsi="宋体" w:eastAsia="宋体" w:cs="宋体"/>
              <w:sz w:val="21"/>
              <w:szCs w:val="21"/>
            </w:rPr>
            <w:tab/>
          </w:r>
          <w:r>
            <w:rPr>
              <w:rFonts w:hint="eastAsia" w:ascii="宋体" w:hAnsi="宋体" w:eastAsia="宋体" w:cs="宋体"/>
              <w:sz w:val="21"/>
              <w:szCs w:val="21"/>
              <w:lang w:val="en-US" w:eastAsia="zh-CN"/>
            </w:rPr>
            <w:t>4</w:t>
          </w:r>
          <w:r>
            <w:rPr>
              <w:rFonts w:hint="eastAsia" w:ascii="宋体" w:hAnsi="宋体" w:eastAsia="宋体" w:cs="宋体"/>
              <w:color w:val="auto"/>
              <w:kern w:val="44"/>
              <w:sz w:val="21"/>
              <w:szCs w:val="21"/>
              <w:lang w:val="zh-CN"/>
            </w:rPr>
            <w:fldChar w:fldCharType="end"/>
          </w:r>
        </w:p>
        <w:p w14:paraId="5312BD5D">
          <w:pPr>
            <w:pStyle w:val="14"/>
            <w:tabs>
              <w:tab w:val="right" w:leader="dot" w:pos="8640"/>
            </w:tabs>
            <w:rPr>
              <w:rFonts w:hint="eastAsia" w:ascii="宋体" w:hAnsi="宋体" w:eastAsia="宋体" w:cs="宋体"/>
              <w:b/>
              <w:sz w:val="21"/>
              <w:szCs w:val="21"/>
            </w:rPr>
          </w:pPr>
          <w:r>
            <w:rPr>
              <w:rFonts w:hint="eastAsia" w:ascii="宋体" w:hAnsi="宋体" w:eastAsia="宋体" w:cs="宋体"/>
              <w:b/>
              <w:color w:val="auto"/>
              <w:kern w:val="44"/>
              <w:sz w:val="21"/>
              <w:szCs w:val="21"/>
              <w:lang w:val="zh-CN"/>
            </w:rPr>
            <w:fldChar w:fldCharType="begin"/>
          </w:r>
          <w:r>
            <w:rPr>
              <w:rFonts w:hint="eastAsia" w:ascii="宋体" w:hAnsi="宋体" w:eastAsia="宋体" w:cs="宋体"/>
              <w:b/>
              <w:kern w:val="44"/>
              <w:sz w:val="21"/>
              <w:szCs w:val="21"/>
              <w:lang w:val="zh-CN"/>
            </w:rPr>
            <w:instrText xml:space="preserve"> HYPERLINK \l _Toc14133 </w:instrText>
          </w:r>
          <w:r>
            <w:rPr>
              <w:rFonts w:hint="eastAsia" w:ascii="宋体" w:hAnsi="宋体" w:eastAsia="宋体" w:cs="宋体"/>
              <w:b/>
              <w:kern w:val="44"/>
              <w:sz w:val="21"/>
              <w:szCs w:val="21"/>
              <w:lang w:val="zh-CN"/>
            </w:rPr>
            <w:fldChar w:fldCharType="separate"/>
          </w:r>
          <w:r>
            <w:rPr>
              <w:rFonts w:hint="eastAsia" w:ascii="宋体" w:hAnsi="宋体" w:eastAsia="宋体" w:cs="宋体"/>
              <w:b/>
              <w:kern w:val="44"/>
              <w:sz w:val="21"/>
              <w:szCs w:val="21"/>
              <w:lang w:val="zh-CN"/>
            </w:rPr>
            <w:t>第二部分 2022年度单位决算情况说明</w:t>
          </w:r>
          <w:r>
            <w:rPr>
              <w:rFonts w:hint="eastAsia" w:ascii="宋体" w:hAnsi="宋体" w:eastAsia="宋体" w:cs="宋体"/>
              <w:b/>
              <w:sz w:val="21"/>
              <w:szCs w:val="21"/>
            </w:rPr>
            <w:tab/>
          </w:r>
          <w:r>
            <w:rPr>
              <w:rFonts w:hint="eastAsia" w:ascii="宋体" w:hAnsi="宋体" w:eastAsia="宋体" w:cs="宋体"/>
              <w:b/>
              <w:sz w:val="21"/>
              <w:szCs w:val="21"/>
            </w:rPr>
            <w:fldChar w:fldCharType="begin"/>
          </w:r>
          <w:r>
            <w:rPr>
              <w:rFonts w:hint="eastAsia" w:ascii="宋体" w:hAnsi="宋体" w:eastAsia="宋体" w:cs="宋体"/>
              <w:b/>
              <w:sz w:val="21"/>
              <w:szCs w:val="21"/>
            </w:rPr>
            <w:instrText xml:space="preserve"> PAGEREF _Toc14133 \h </w:instrText>
          </w:r>
          <w:r>
            <w:rPr>
              <w:rFonts w:hint="eastAsia" w:ascii="宋体" w:hAnsi="宋体" w:eastAsia="宋体" w:cs="宋体"/>
              <w:b/>
              <w:sz w:val="21"/>
              <w:szCs w:val="21"/>
            </w:rPr>
            <w:fldChar w:fldCharType="separate"/>
          </w:r>
          <w:r>
            <w:rPr>
              <w:rFonts w:hint="eastAsia" w:ascii="宋体" w:hAnsi="宋体" w:eastAsia="宋体" w:cs="宋体"/>
              <w:b/>
              <w:sz w:val="21"/>
              <w:szCs w:val="21"/>
            </w:rPr>
            <w:t>5</w:t>
          </w:r>
          <w:r>
            <w:rPr>
              <w:rFonts w:hint="eastAsia" w:ascii="宋体" w:hAnsi="宋体" w:eastAsia="宋体" w:cs="宋体"/>
              <w:b/>
              <w:sz w:val="21"/>
              <w:szCs w:val="21"/>
            </w:rPr>
            <w:fldChar w:fldCharType="end"/>
          </w:r>
          <w:r>
            <w:rPr>
              <w:rFonts w:hint="eastAsia" w:ascii="宋体" w:hAnsi="宋体" w:eastAsia="宋体" w:cs="宋体"/>
              <w:b/>
              <w:color w:val="auto"/>
              <w:kern w:val="44"/>
              <w:sz w:val="21"/>
              <w:szCs w:val="21"/>
              <w:lang w:val="zh-CN"/>
            </w:rPr>
            <w:fldChar w:fldCharType="end"/>
          </w:r>
        </w:p>
        <w:p w14:paraId="79566958">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_Toc7923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一、收入支出决算总体情况说明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_Toc7923 \h </w:instrText>
          </w:r>
          <w:r>
            <w:rPr>
              <w:rFonts w:hint="eastAsia" w:ascii="宋体" w:hAnsi="宋体" w:eastAsia="宋体" w:cs="宋体"/>
              <w:sz w:val="21"/>
              <w:szCs w:val="21"/>
            </w:rPr>
            <w:fldChar w:fldCharType="separate"/>
          </w:r>
          <w:r>
            <w:rPr>
              <w:rFonts w:hint="eastAsia" w:ascii="宋体" w:hAnsi="宋体" w:eastAsia="宋体" w:cs="宋体"/>
              <w:sz w:val="21"/>
              <w:szCs w:val="21"/>
            </w:rPr>
            <w:t>5</w:t>
          </w:r>
          <w:r>
            <w:rPr>
              <w:rFonts w:hint="eastAsia" w:ascii="宋体" w:hAnsi="宋体" w:eastAsia="宋体" w:cs="宋体"/>
              <w:sz w:val="21"/>
              <w:szCs w:val="21"/>
            </w:rPr>
            <w:fldChar w:fldCharType="end"/>
          </w:r>
          <w:r>
            <w:rPr>
              <w:rFonts w:hint="eastAsia" w:ascii="宋体" w:hAnsi="宋体" w:eastAsia="宋体" w:cs="宋体"/>
              <w:color w:val="auto"/>
              <w:kern w:val="44"/>
              <w:sz w:val="21"/>
              <w:szCs w:val="21"/>
              <w:lang w:val="zh-CN"/>
            </w:rPr>
            <w:fldChar w:fldCharType="end"/>
          </w:r>
        </w:p>
        <w:p w14:paraId="30324A4D">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_Toc18728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二、收入决算情况说明</w:t>
          </w:r>
          <w:r>
            <w:rPr>
              <w:rFonts w:hint="eastAsia" w:ascii="宋体" w:hAnsi="宋体" w:eastAsia="宋体" w:cs="宋体"/>
              <w:sz w:val="21"/>
              <w:szCs w:val="21"/>
            </w:rPr>
            <w:tab/>
          </w:r>
          <w:r>
            <w:rPr>
              <w:rFonts w:hint="eastAsia" w:ascii="宋体" w:hAnsi="宋体" w:eastAsia="宋体" w:cs="宋体"/>
              <w:sz w:val="21"/>
              <w:szCs w:val="21"/>
              <w:lang w:val="en-US" w:eastAsia="zh-CN"/>
            </w:rPr>
            <w:t>5</w:t>
          </w:r>
          <w:r>
            <w:rPr>
              <w:rFonts w:hint="eastAsia" w:ascii="宋体" w:hAnsi="宋体" w:eastAsia="宋体" w:cs="宋体"/>
              <w:color w:val="auto"/>
              <w:kern w:val="44"/>
              <w:sz w:val="21"/>
              <w:szCs w:val="21"/>
              <w:lang w:val="zh-CN"/>
            </w:rPr>
            <w:fldChar w:fldCharType="end"/>
          </w:r>
        </w:p>
        <w:p w14:paraId="3FF47CA6">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_Toc32171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三、支出决算情况说明</w:t>
          </w:r>
          <w:r>
            <w:rPr>
              <w:rFonts w:hint="eastAsia" w:ascii="宋体" w:hAnsi="宋体" w:eastAsia="宋体" w:cs="宋体"/>
              <w:sz w:val="21"/>
              <w:szCs w:val="21"/>
            </w:rPr>
            <w:tab/>
          </w:r>
          <w:r>
            <w:rPr>
              <w:rFonts w:hint="eastAsia" w:ascii="宋体" w:hAnsi="宋体" w:eastAsia="宋体" w:cs="宋体"/>
              <w:sz w:val="21"/>
              <w:szCs w:val="21"/>
            </w:rPr>
            <w:fldChar w:fldCharType="begin"/>
          </w:r>
          <w:r>
            <w:rPr>
              <w:rFonts w:hint="eastAsia" w:ascii="宋体" w:hAnsi="宋体" w:eastAsia="宋体" w:cs="宋体"/>
              <w:sz w:val="21"/>
              <w:szCs w:val="21"/>
            </w:rPr>
            <w:instrText xml:space="preserve"> PAGEREF _Toc32171 \h </w:instrText>
          </w:r>
          <w:r>
            <w:rPr>
              <w:rFonts w:hint="eastAsia" w:ascii="宋体" w:hAnsi="宋体" w:eastAsia="宋体" w:cs="宋体"/>
              <w:sz w:val="21"/>
              <w:szCs w:val="21"/>
            </w:rPr>
            <w:fldChar w:fldCharType="separate"/>
          </w:r>
          <w:r>
            <w:rPr>
              <w:rFonts w:hint="eastAsia" w:ascii="宋体" w:hAnsi="宋体" w:eastAsia="宋体" w:cs="宋体"/>
              <w:sz w:val="21"/>
              <w:szCs w:val="21"/>
            </w:rPr>
            <w:t>6</w:t>
          </w:r>
          <w:r>
            <w:rPr>
              <w:rFonts w:hint="eastAsia" w:ascii="宋体" w:hAnsi="宋体" w:eastAsia="宋体" w:cs="宋体"/>
              <w:sz w:val="21"/>
              <w:szCs w:val="21"/>
            </w:rPr>
            <w:fldChar w:fldCharType="end"/>
          </w:r>
          <w:r>
            <w:rPr>
              <w:rFonts w:hint="eastAsia" w:ascii="宋体" w:hAnsi="宋体" w:eastAsia="宋体" w:cs="宋体"/>
              <w:color w:val="auto"/>
              <w:kern w:val="44"/>
              <w:sz w:val="21"/>
              <w:szCs w:val="21"/>
              <w:lang w:val="zh-CN"/>
            </w:rPr>
            <w:fldChar w:fldCharType="end"/>
          </w:r>
        </w:p>
        <w:p w14:paraId="55977BDE">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_Toc106 </w:instrText>
          </w:r>
          <w:r>
            <w:rPr>
              <w:rFonts w:hint="eastAsia" w:ascii="宋体" w:hAnsi="宋体" w:eastAsia="宋体" w:cs="宋体"/>
              <w:kern w:val="44"/>
              <w:sz w:val="21"/>
              <w:szCs w:val="21"/>
              <w:lang w:val="zh-CN"/>
            </w:rPr>
            <w:fldChar w:fldCharType="separate"/>
          </w:r>
          <w:r>
            <w:rPr>
              <w:rFonts w:hint="eastAsia" w:ascii="宋体" w:hAnsi="宋体" w:eastAsia="宋体" w:cs="宋体"/>
              <w:kern w:val="44"/>
              <w:sz w:val="21"/>
              <w:szCs w:val="21"/>
              <w:lang w:val="zh-CN" w:eastAsia="zh-CN"/>
            </w:rPr>
            <w:t>四</w:t>
          </w:r>
          <w:r>
            <w:rPr>
              <w:rFonts w:hint="eastAsia" w:ascii="宋体" w:hAnsi="宋体" w:eastAsia="宋体" w:cs="宋体"/>
              <w:kern w:val="2"/>
              <w:sz w:val="21"/>
              <w:szCs w:val="21"/>
              <w:lang w:val="zh-CN"/>
            </w:rPr>
            <w:t>、财政拨款收入支出决算总体情况说明</w:t>
          </w:r>
          <w:r>
            <w:rPr>
              <w:rFonts w:hint="eastAsia" w:ascii="宋体" w:hAnsi="宋体" w:eastAsia="宋体" w:cs="宋体"/>
              <w:sz w:val="21"/>
              <w:szCs w:val="21"/>
            </w:rPr>
            <w:tab/>
          </w:r>
          <w:r>
            <w:rPr>
              <w:rFonts w:hint="eastAsia" w:ascii="宋体" w:hAnsi="宋体" w:eastAsia="宋体" w:cs="宋体"/>
              <w:sz w:val="21"/>
              <w:szCs w:val="21"/>
              <w:lang w:val="en-US" w:eastAsia="zh-CN"/>
            </w:rPr>
            <w:t>6</w:t>
          </w:r>
          <w:r>
            <w:rPr>
              <w:rFonts w:hint="eastAsia" w:ascii="宋体" w:hAnsi="宋体" w:eastAsia="宋体" w:cs="宋体"/>
              <w:color w:val="auto"/>
              <w:kern w:val="44"/>
              <w:sz w:val="21"/>
              <w:szCs w:val="21"/>
              <w:lang w:val="zh-CN"/>
            </w:rPr>
            <w:fldChar w:fldCharType="end"/>
          </w:r>
        </w:p>
        <w:p w14:paraId="06F80282">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_Toc10822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五、一般公共预算财政拨款支出决算情况说明</w:t>
          </w:r>
          <w:r>
            <w:rPr>
              <w:rFonts w:hint="eastAsia" w:ascii="宋体" w:hAnsi="宋体" w:eastAsia="宋体" w:cs="宋体"/>
              <w:sz w:val="21"/>
              <w:szCs w:val="21"/>
            </w:rPr>
            <w:tab/>
          </w:r>
          <w:r>
            <w:rPr>
              <w:rFonts w:hint="eastAsia" w:ascii="宋体" w:hAnsi="宋体" w:eastAsia="宋体" w:cs="宋体"/>
              <w:sz w:val="21"/>
              <w:szCs w:val="21"/>
              <w:lang w:val="en-US" w:eastAsia="zh-CN"/>
            </w:rPr>
            <w:t>7</w:t>
          </w:r>
          <w:r>
            <w:rPr>
              <w:rFonts w:hint="eastAsia" w:ascii="宋体" w:hAnsi="宋体" w:eastAsia="宋体" w:cs="宋体"/>
              <w:color w:val="auto"/>
              <w:kern w:val="44"/>
              <w:sz w:val="21"/>
              <w:szCs w:val="21"/>
              <w:lang w:val="zh-CN"/>
            </w:rPr>
            <w:fldChar w:fldCharType="end"/>
          </w:r>
        </w:p>
        <w:p w14:paraId="283AAEA9">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_Toc7578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六、一般公共预算财政拨款基本支出决算情况说明</w:t>
          </w:r>
          <w:r>
            <w:rPr>
              <w:rFonts w:hint="eastAsia" w:ascii="宋体" w:hAnsi="宋体" w:eastAsia="宋体" w:cs="宋体"/>
              <w:sz w:val="21"/>
              <w:szCs w:val="21"/>
            </w:rPr>
            <w:tab/>
          </w:r>
          <w:r>
            <w:rPr>
              <w:rFonts w:hint="eastAsia" w:ascii="宋体" w:hAnsi="宋体" w:cs="宋体"/>
              <w:sz w:val="21"/>
              <w:szCs w:val="21"/>
              <w:lang w:val="en-US" w:eastAsia="zh-CN"/>
            </w:rPr>
            <w:t>8</w:t>
          </w:r>
          <w:r>
            <w:rPr>
              <w:rFonts w:hint="eastAsia" w:ascii="宋体" w:hAnsi="宋体" w:eastAsia="宋体" w:cs="宋体"/>
              <w:color w:val="auto"/>
              <w:kern w:val="44"/>
              <w:sz w:val="21"/>
              <w:szCs w:val="21"/>
              <w:lang w:val="zh-CN"/>
            </w:rPr>
            <w:fldChar w:fldCharType="end"/>
          </w:r>
        </w:p>
        <w:p w14:paraId="0D8F6829">
          <w:pPr>
            <w:pStyle w:val="15"/>
            <w:tabs>
              <w:tab w:val="right" w:leader="dot" w:pos="8640"/>
            </w:tabs>
            <w:rPr>
              <w:rFonts w:hint="eastAsia" w:ascii="宋体" w:hAnsi="宋体" w:eastAsia="宋体" w:cs="宋体"/>
              <w:sz w:val="21"/>
              <w:szCs w:val="21"/>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_Toc6999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七、“三公”经费财政拨款支出决算情况说明</w:t>
          </w:r>
          <w:r>
            <w:rPr>
              <w:rFonts w:hint="eastAsia" w:ascii="宋体" w:hAnsi="宋体" w:eastAsia="宋体" w:cs="宋体"/>
              <w:sz w:val="21"/>
              <w:szCs w:val="21"/>
            </w:rPr>
            <w:tab/>
          </w:r>
          <w:r>
            <w:rPr>
              <w:rFonts w:hint="eastAsia" w:ascii="宋体" w:hAnsi="宋体" w:eastAsia="宋体" w:cs="宋体"/>
              <w:sz w:val="21"/>
              <w:szCs w:val="21"/>
              <w:lang w:val="en-US" w:eastAsia="zh-CN"/>
            </w:rPr>
            <w:t>9</w:t>
          </w:r>
          <w:r>
            <w:rPr>
              <w:rFonts w:hint="eastAsia" w:ascii="宋体" w:hAnsi="宋体" w:eastAsia="宋体" w:cs="宋体"/>
              <w:color w:val="auto"/>
              <w:kern w:val="44"/>
              <w:sz w:val="21"/>
              <w:szCs w:val="21"/>
              <w:lang w:val="zh-CN"/>
            </w:rPr>
            <w:fldChar w:fldCharType="end"/>
          </w:r>
        </w:p>
        <w:p w14:paraId="0B8E5C10">
          <w:pPr>
            <w:pStyle w:val="15"/>
            <w:tabs>
              <w:tab w:val="right" w:leader="dot" w:pos="8640"/>
            </w:tabs>
            <w:rPr>
              <w:rFonts w:hint="eastAsia" w:ascii="宋体" w:hAnsi="宋体" w:eastAsia="宋体" w:cs="宋体"/>
              <w:color w:val="auto"/>
              <w:kern w:val="44"/>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_Toc23463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zh-CN"/>
            </w:rPr>
            <w:t>八、政府性基金预算支出决算情况说明</w:t>
          </w:r>
          <w:r>
            <w:rPr>
              <w:rFonts w:hint="eastAsia" w:ascii="宋体" w:hAnsi="宋体" w:eastAsia="宋体" w:cs="宋体"/>
              <w:sz w:val="21"/>
              <w:szCs w:val="21"/>
            </w:rPr>
            <w:tab/>
          </w:r>
          <w:r>
            <w:rPr>
              <w:rFonts w:hint="eastAsia" w:ascii="宋体" w:hAnsi="宋体" w:eastAsia="宋体" w:cs="宋体"/>
              <w:sz w:val="21"/>
              <w:szCs w:val="21"/>
              <w:lang w:val="en-US" w:eastAsia="zh-CN"/>
            </w:rPr>
            <w:t>1</w:t>
          </w:r>
          <w:r>
            <w:rPr>
              <w:rFonts w:hint="eastAsia" w:ascii="宋体" w:hAnsi="宋体" w:eastAsia="宋体" w:cs="宋体"/>
              <w:color w:val="auto"/>
              <w:kern w:val="44"/>
              <w:sz w:val="21"/>
              <w:szCs w:val="21"/>
              <w:lang w:val="zh-CN"/>
            </w:rPr>
            <w:fldChar w:fldCharType="end"/>
          </w:r>
          <w:r>
            <w:rPr>
              <w:rFonts w:hint="eastAsia" w:ascii="宋体" w:hAnsi="宋体" w:eastAsia="宋体" w:cs="宋体"/>
              <w:color w:val="auto"/>
              <w:kern w:val="44"/>
              <w:sz w:val="21"/>
              <w:szCs w:val="21"/>
              <w:lang w:val="en-US" w:eastAsia="zh-CN"/>
            </w:rPr>
            <w:t>0</w:t>
          </w:r>
        </w:p>
        <w:p w14:paraId="1D05DFB5">
          <w:pPr>
            <w:pStyle w:val="15"/>
            <w:tabs>
              <w:tab w:val="right" w:leader="dot" w:pos="8640"/>
            </w:tabs>
            <w:rPr>
              <w:rFonts w:hint="eastAsia" w:ascii="宋体" w:hAnsi="宋体" w:eastAsia="宋体" w:cs="宋体"/>
              <w:color w:val="auto"/>
              <w:kern w:val="44"/>
              <w:sz w:val="21"/>
              <w:szCs w:val="21"/>
              <w:lang w:val="en-US" w:eastAsia="zh-CN"/>
            </w:rPr>
          </w:pPr>
          <w:r>
            <w:rPr>
              <w:rFonts w:hint="eastAsia" w:ascii="宋体" w:hAnsi="宋体" w:eastAsia="宋体" w:cs="宋体"/>
              <w:color w:val="auto"/>
              <w:kern w:val="44"/>
              <w:sz w:val="21"/>
              <w:szCs w:val="21"/>
              <w:lang w:val="zh-CN"/>
            </w:rPr>
            <w:t>九、国有资本经营预算支出决算情况说明</w:t>
          </w:r>
          <w:r>
            <w:rPr>
              <w:rFonts w:hint="eastAsia" w:ascii="宋体" w:hAnsi="宋体" w:eastAsia="宋体" w:cs="宋体"/>
              <w:sz w:val="21"/>
              <w:szCs w:val="21"/>
            </w:rPr>
            <w:tab/>
          </w:r>
          <w:r>
            <w:rPr>
              <w:rFonts w:hint="eastAsia" w:ascii="宋体" w:hAnsi="宋体" w:eastAsia="宋体" w:cs="宋体"/>
              <w:sz w:val="21"/>
              <w:szCs w:val="21"/>
              <w:lang w:val="en-US" w:eastAsia="zh-CN"/>
            </w:rPr>
            <w:t>10</w:t>
          </w:r>
        </w:p>
        <w:p w14:paraId="3759C260">
          <w:pPr>
            <w:pStyle w:val="15"/>
            <w:tabs>
              <w:tab w:val="right" w:leader="dot" w:pos="8640"/>
            </w:tabs>
            <w:rPr>
              <w:rFonts w:hint="eastAsia" w:ascii="宋体" w:hAnsi="宋体" w:eastAsia="宋体" w:cs="宋体"/>
              <w:color w:val="auto"/>
              <w:kern w:val="44"/>
              <w:sz w:val="21"/>
              <w:szCs w:val="21"/>
              <w:lang w:val="en-US" w:eastAsia="zh-CN"/>
            </w:rPr>
          </w:pPr>
          <w:r>
            <w:rPr>
              <w:rFonts w:hint="eastAsia" w:ascii="宋体" w:hAnsi="宋体" w:eastAsia="宋体" w:cs="宋体"/>
              <w:color w:val="auto"/>
              <w:kern w:val="44"/>
              <w:sz w:val="21"/>
              <w:szCs w:val="21"/>
              <w:lang w:val="zh-CN"/>
            </w:rPr>
            <w:t>十、其他重要事项的情况说明</w:t>
          </w:r>
          <w:r>
            <w:rPr>
              <w:rFonts w:hint="eastAsia" w:ascii="宋体" w:hAnsi="宋体" w:eastAsia="宋体" w:cs="宋体"/>
              <w:sz w:val="21"/>
              <w:szCs w:val="21"/>
            </w:rPr>
            <w:tab/>
          </w:r>
          <w:r>
            <w:rPr>
              <w:rFonts w:hint="eastAsia" w:ascii="宋体" w:hAnsi="宋体" w:eastAsia="宋体" w:cs="宋体"/>
              <w:sz w:val="21"/>
              <w:szCs w:val="21"/>
              <w:lang w:val="en-US" w:eastAsia="zh-CN"/>
            </w:rPr>
            <w:t>10</w:t>
          </w:r>
        </w:p>
        <w:p w14:paraId="20F69B6C">
          <w:pPr>
            <w:pStyle w:val="14"/>
            <w:tabs>
              <w:tab w:val="right" w:leader="dot" w:pos="8640"/>
            </w:tabs>
            <w:rPr>
              <w:rFonts w:hint="eastAsia" w:ascii="宋体" w:hAnsi="宋体" w:cs="宋体"/>
              <w:b/>
              <w:color w:val="auto"/>
              <w:kern w:val="44"/>
              <w:sz w:val="21"/>
              <w:szCs w:val="21"/>
              <w:lang w:val="en-US" w:eastAsia="zh-CN"/>
            </w:rPr>
          </w:pPr>
          <w:r>
            <w:rPr>
              <w:rFonts w:hint="eastAsia" w:ascii="宋体" w:hAnsi="宋体" w:eastAsia="宋体" w:cs="宋体"/>
              <w:b/>
              <w:color w:val="auto"/>
              <w:kern w:val="44"/>
              <w:sz w:val="21"/>
              <w:szCs w:val="21"/>
              <w:lang w:val="zh-CN"/>
            </w:rPr>
            <w:fldChar w:fldCharType="begin"/>
          </w:r>
          <w:r>
            <w:rPr>
              <w:rFonts w:hint="eastAsia" w:ascii="宋体" w:hAnsi="宋体" w:eastAsia="宋体" w:cs="宋体"/>
              <w:b/>
              <w:kern w:val="44"/>
              <w:sz w:val="21"/>
              <w:szCs w:val="21"/>
              <w:lang w:val="zh-CN"/>
            </w:rPr>
            <w:instrText xml:space="preserve"> HYPERLINK \l _Toc27666 </w:instrText>
          </w:r>
          <w:r>
            <w:rPr>
              <w:rFonts w:hint="eastAsia" w:ascii="宋体" w:hAnsi="宋体" w:eastAsia="宋体" w:cs="宋体"/>
              <w:b/>
              <w:kern w:val="44"/>
              <w:sz w:val="21"/>
              <w:szCs w:val="21"/>
              <w:lang w:val="zh-CN"/>
            </w:rPr>
            <w:fldChar w:fldCharType="separate"/>
          </w:r>
          <w:r>
            <w:rPr>
              <w:rFonts w:hint="eastAsia" w:ascii="宋体" w:hAnsi="宋体" w:eastAsia="宋体" w:cs="宋体"/>
              <w:b/>
              <w:kern w:val="2"/>
              <w:sz w:val="21"/>
              <w:szCs w:val="21"/>
              <w:lang w:val="zh-CN"/>
            </w:rPr>
            <w:t>第三部分 名</w:t>
          </w:r>
          <w:r>
            <w:rPr>
              <w:rFonts w:hint="eastAsia" w:ascii="宋体" w:hAnsi="宋体" w:eastAsia="宋体" w:cs="宋体"/>
              <w:b/>
              <w:kern w:val="44"/>
              <w:sz w:val="21"/>
              <w:szCs w:val="21"/>
              <w:lang w:val="zh-CN"/>
            </w:rPr>
            <w:t>词解释</w:t>
          </w:r>
          <w:r>
            <w:rPr>
              <w:rFonts w:hint="eastAsia" w:ascii="宋体" w:hAnsi="宋体" w:eastAsia="宋体" w:cs="宋体"/>
              <w:b/>
              <w:sz w:val="21"/>
              <w:szCs w:val="21"/>
            </w:rPr>
            <w:tab/>
          </w:r>
          <w:r>
            <w:rPr>
              <w:rFonts w:hint="eastAsia" w:ascii="宋体" w:hAnsi="宋体" w:eastAsia="宋体" w:cs="宋体"/>
              <w:b/>
              <w:sz w:val="21"/>
              <w:szCs w:val="21"/>
              <w:lang w:val="en-US" w:eastAsia="zh-CN"/>
            </w:rPr>
            <w:t>1</w:t>
          </w:r>
          <w:r>
            <w:rPr>
              <w:rFonts w:hint="eastAsia" w:ascii="宋体" w:hAnsi="宋体" w:eastAsia="宋体" w:cs="宋体"/>
              <w:b/>
              <w:color w:val="auto"/>
              <w:kern w:val="44"/>
              <w:sz w:val="21"/>
              <w:szCs w:val="21"/>
              <w:lang w:val="zh-CN"/>
            </w:rPr>
            <w:fldChar w:fldCharType="end"/>
          </w:r>
          <w:r>
            <w:rPr>
              <w:rFonts w:hint="eastAsia" w:ascii="宋体" w:hAnsi="宋体" w:cs="宋体"/>
              <w:b/>
              <w:color w:val="auto"/>
              <w:kern w:val="44"/>
              <w:sz w:val="21"/>
              <w:szCs w:val="21"/>
              <w:lang w:val="en-US" w:eastAsia="zh-CN"/>
            </w:rPr>
            <w:t>2</w:t>
          </w:r>
        </w:p>
        <w:p w14:paraId="63707658">
          <w:pPr>
            <w:pStyle w:val="14"/>
            <w:tabs>
              <w:tab w:val="right" w:leader="dot" w:pos="8640"/>
            </w:tabs>
            <w:rPr>
              <w:rFonts w:hint="eastAsia" w:ascii="宋体" w:hAnsi="宋体" w:eastAsia="宋体" w:cs="宋体"/>
              <w:b/>
              <w:sz w:val="21"/>
              <w:szCs w:val="21"/>
              <w:lang w:val="en-US" w:eastAsia="zh-CN"/>
            </w:rPr>
          </w:pPr>
          <w:r>
            <w:rPr>
              <w:rFonts w:hint="eastAsia" w:ascii="宋体" w:hAnsi="宋体" w:eastAsia="宋体" w:cs="宋体"/>
              <w:b/>
              <w:color w:val="auto"/>
              <w:kern w:val="44"/>
              <w:sz w:val="21"/>
              <w:szCs w:val="21"/>
              <w:lang w:val="zh-CN"/>
            </w:rPr>
            <w:fldChar w:fldCharType="begin"/>
          </w:r>
          <w:r>
            <w:rPr>
              <w:rFonts w:hint="eastAsia" w:ascii="宋体" w:hAnsi="宋体" w:eastAsia="宋体" w:cs="宋体"/>
              <w:b/>
              <w:kern w:val="44"/>
              <w:sz w:val="21"/>
              <w:szCs w:val="21"/>
              <w:lang w:val="zh-CN"/>
            </w:rPr>
            <w:instrText xml:space="preserve"> HYPERLINK \l _Toc27666 </w:instrText>
          </w:r>
          <w:r>
            <w:rPr>
              <w:rFonts w:hint="eastAsia" w:ascii="宋体" w:hAnsi="宋体" w:eastAsia="宋体" w:cs="宋体"/>
              <w:b/>
              <w:kern w:val="44"/>
              <w:sz w:val="21"/>
              <w:szCs w:val="21"/>
              <w:lang w:val="zh-CN"/>
            </w:rPr>
            <w:fldChar w:fldCharType="separate"/>
          </w:r>
          <w:r>
            <w:rPr>
              <w:rFonts w:hint="eastAsia" w:ascii="宋体" w:hAnsi="宋体" w:eastAsia="宋体" w:cs="宋体"/>
              <w:b/>
              <w:kern w:val="2"/>
              <w:sz w:val="21"/>
              <w:szCs w:val="21"/>
              <w:lang w:val="zh-CN"/>
            </w:rPr>
            <w:t>第</w:t>
          </w:r>
          <w:r>
            <w:rPr>
              <w:rFonts w:hint="eastAsia" w:ascii="宋体" w:hAnsi="宋体" w:cs="宋体"/>
              <w:b/>
              <w:kern w:val="2"/>
              <w:sz w:val="21"/>
              <w:szCs w:val="21"/>
              <w:lang w:val="zh-CN"/>
            </w:rPr>
            <w:t>四</w:t>
          </w:r>
          <w:r>
            <w:rPr>
              <w:rFonts w:hint="eastAsia" w:ascii="宋体" w:hAnsi="宋体" w:eastAsia="宋体" w:cs="宋体"/>
              <w:b/>
              <w:kern w:val="2"/>
              <w:sz w:val="21"/>
              <w:szCs w:val="21"/>
              <w:lang w:val="zh-CN"/>
            </w:rPr>
            <w:t xml:space="preserve">部分 </w:t>
          </w:r>
          <w:r>
            <w:rPr>
              <w:rFonts w:hint="eastAsia" w:ascii="宋体" w:hAnsi="宋体" w:cs="宋体"/>
              <w:b/>
              <w:kern w:val="2"/>
              <w:sz w:val="21"/>
              <w:szCs w:val="21"/>
              <w:lang w:val="zh-CN"/>
            </w:rPr>
            <w:t>附件</w:t>
          </w:r>
          <w:r>
            <w:rPr>
              <w:rFonts w:hint="eastAsia" w:ascii="宋体" w:hAnsi="宋体" w:eastAsia="宋体" w:cs="宋体"/>
              <w:b/>
              <w:sz w:val="21"/>
              <w:szCs w:val="21"/>
            </w:rPr>
            <w:tab/>
          </w:r>
          <w:r>
            <w:rPr>
              <w:rFonts w:hint="eastAsia" w:ascii="宋体" w:hAnsi="宋体" w:eastAsia="宋体" w:cs="宋体"/>
              <w:b/>
              <w:sz w:val="21"/>
              <w:szCs w:val="21"/>
              <w:lang w:val="en-US" w:eastAsia="zh-CN"/>
            </w:rPr>
            <w:t>1</w:t>
          </w:r>
          <w:r>
            <w:rPr>
              <w:rFonts w:hint="eastAsia" w:ascii="宋体" w:hAnsi="宋体" w:eastAsia="宋体" w:cs="宋体"/>
              <w:b/>
              <w:color w:val="auto"/>
              <w:kern w:val="44"/>
              <w:sz w:val="21"/>
              <w:szCs w:val="21"/>
              <w:lang w:val="zh-CN"/>
            </w:rPr>
            <w:fldChar w:fldCharType="end"/>
          </w:r>
          <w:r>
            <w:rPr>
              <w:rFonts w:hint="eastAsia" w:ascii="宋体" w:hAnsi="宋体" w:cs="宋体"/>
              <w:b/>
              <w:color w:val="auto"/>
              <w:kern w:val="44"/>
              <w:sz w:val="21"/>
              <w:szCs w:val="21"/>
              <w:lang w:val="en-US" w:eastAsia="zh-CN"/>
            </w:rPr>
            <w:t>5</w:t>
          </w:r>
        </w:p>
        <w:p w14:paraId="5AA46DBF">
          <w:pPr>
            <w:pStyle w:val="14"/>
            <w:tabs>
              <w:tab w:val="right" w:leader="dot" w:pos="8640"/>
            </w:tabs>
            <w:rPr>
              <w:rFonts w:hint="eastAsia" w:ascii="宋体" w:hAnsi="宋体" w:cs="宋体"/>
              <w:b/>
              <w:color w:val="auto"/>
              <w:kern w:val="44"/>
              <w:sz w:val="21"/>
              <w:szCs w:val="21"/>
              <w:lang w:val="en-US" w:eastAsia="zh-CN"/>
            </w:rPr>
          </w:pPr>
          <w:r>
            <w:rPr>
              <w:rFonts w:hint="eastAsia" w:ascii="宋体" w:hAnsi="宋体" w:eastAsia="宋体" w:cs="宋体"/>
              <w:b/>
              <w:color w:val="auto"/>
              <w:kern w:val="44"/>
              <w:sz w:val="21"/>
              <w:szCs w:val="21"/>
              <w:lang w:val="zh-CN"/>
            </w:rPr>
            <w:fldChar w:fldCharType="begin"/>
          </w:r>
          <w:r>
            <w:rPr>
              <w:rFonts w:hint="eastAsia" w:ascii="宋体" w:hAnsi="宋体" w:eastAsia="宋体" w:cs="宋体"/>
              <w:b/>
              <w:kern w:val="44"/>
              <w:sz w:val="21"/>
              <w:szCs w:val="21"/>
              <w:lang w:val="zh-CN"/>
            </w:rPr>
            <w:instrText xml:space="preserve"> HYPERLINK \l _Toc27666 </w:instrText>
          </w:r>
          <w:r>
            <w:rPr>
              <w:rFonts w:hint="eastAsia" w:ascii="宋体" w:hAnsi="宋体" w:eastAsia="宋体" w:cs="宋体"/>
              <w:b/>
              <w:kern w:val="44"/>
              <w:sz w:val="21"/>
              <w:szCs w:val="21"/>
              <w:lang w:val="zh-CN"/>
            </w:rPr>
            <w:fldChar w:fldCharType="separate"/>
          </w:r>
          <w:r>
            <w:rPr>
              <w:rFonts w:hint="eastAsia" w:ascii="宋体" w:hAnsi="宋体" w:eastAsia="宋体" w:cs="宋体"/>
              <w:b/>
              <w:kern w:val="2"/>
              <w:sz w:val="21"/>
              <w:szCs w:val="21"/>
              <w:lang w:val="zh-CN"/>
            </w:rPr>
            <w:t>第</w:t>
          </w:r>
          <w:r>
            <w:rPr>
              <w:rFonts w:hint="eastAsia" w:ascii="宋体" w:hAnsi="宋体" w:cs="宋体"/>
              <w:b/>
              <w:kern w:val="2"/>
              <w:sz w:val="21"/>
              <w:szCs w:val="21"/>
              <w:lang w:val="zh-CN"/>
            </w:rPr>
            <w:t>五</w:t>
          </w:r>
          <w:r>
            <w:rPr>
              <w:rFonts w:hint="eastAsia" w:ascii="宋体" w:hAnsi="宋体" w:eastAsia="宋体" w:cs="宋体"/>
              <w:b/>
              <w:kern w:val="2"/>
              <w:sz w:val="21"/>
              <w:szCs w:val="21"/>
              <w:lang w:val="zh-CN"/>
            </w:rPr>
            <w:t xml:space="preserve">部分 </w:t>
          </w:r>
          <w:r>
            <w:rPr>
              <w:rFonts w:hint="eastAsia" w:ascii="宋体" w:hAnsi="宋体" w:cs="宋体"/>
              <w:b/>
              <w:kern w:val="2"/>
              <w:sz w:val="21"/>
              <w:szCs w:val="21"/>
              <w:lang w:val="zh-CN"/>
            </w:rPr>
            <w:t>附表</w:t>
          </w:r>
          <w:r>
            <w:rPr>
              <w:rFonts w:hint="eastAsia" w:ascii="宋体" w:hAnsi="宋体" w:eastAsia="宋体" w:cs="宋体"/>
              <w:b/>
              <w:sz w:val="21"/>
              <w:szCs w:val="21"/>
            </w:rPr>
            <w:tab/>
          </w:r>
          <w:r>
            <w:rPr>
              <w:rFonts w:hint="eastAsia" w:ascii="宋体" w:hAnsi="宋体" w:cs="宋体"/>
              <w:b/>
              <w:sz w:val="21"/>
              <w:szCs w:val="21"/>
              <w:lang w:val="en-US" w:eastAsia="zh-CN"/>
            </w:rPr>
            <w:t>33</w:t>
          </w:r>
          <w:r>
            <w:rPr>
              <w:rFonts w:hint="eastAsia" w:ascii="宋体" w:hAnsi="宋体" w:eastAsia="宋体" w:cs="宋体"/>
              <w:b/>
              <w:color w:val="auto"/>
              <w:kern w:val="44"/>
              <w:sz w:val="21"/>
              <w:szCs w:val="21"/>
              <w:lang w:val="zh-CN"/>
            </w:rPr>
            <w:fldChar w:fldCharType="end"/>
          </w:r>
        </w:p>
        <w:p w14:paraId="28A552E9">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_Toc3309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一、收入支出决算总表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7F8A48E7">
          <w:pPr>
            <w:pStyle w:val="15"/>
            <w:tabs>
              <w:tab w:val="right" w:leader="dot" w:pos="8640"/>
            </w:tabs>
            <w:rPr>
              <w:rFonts w:hint="default"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_Toc8567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二、收入决算表</w:t>
          </w:r>
          <w:r>
            <w:rPr>
              <w:rFonts w:hint="eastAsia" w:ascii="宋体" w:hAnsi="宋体" w:eastAsia="宋体" w:cs="宋体"/>
              <w:sz w:val="21"/>
              <w:szCs w:val="21"/>
            </w:rPr>
            <w:tab/>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33</w:t>
          </w:r>
        </w:p>
        <w:p w14:paraId="45C4AF79">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_Toc30267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三、支出决算表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57F8C6A2">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_Toc6586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四、财政拨款收入支出决算总表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31D81622">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_Toc32521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五、财政拨款支出决算明细表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161D1DDF">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_Toc36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六、一般公共预算财政拨款支出决算表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16434E79">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_Toc18539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七、一般公共预算财政拨款支出决算明细表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6ECB26E7">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_Toc12478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八、一般公共预算财政拨款基本支出决算表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2B7075C8">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_Toc2174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九、一般公共预算财政拨款项目支出决算表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52DBB1CA">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_Toc4736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十、政府性基金预算财政拨款收入支出决算表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2CC7B561">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_Toc13927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十一、国有资本经营预算财政拨款收入支出决算表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25D514FF">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_Toc25568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十二、国有资本经营预算财政拨款支出决算表</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02ED4693">
          <w:pPr>
            <w:pStyle w:val="15"/>
            <w:tabs>
              <w:tab w:val="right" w:leader="dot" w:pos="8640"/>
            </w:tabs>
            <w:rPr>
              <w:rFonts w:hint="eastAsia" w:ascii="宋体" w:hAnsi="宋体" w:eastAsia="宋体" w:cs="宋体"/>
              <w:sz w:val="21"/>
              <w:szCs w:val="21"/>
              <w:lang w:val="en-US" w:eastAsia="zh-CN"/>
            </w:rPr>
          </w:pPr>
          <w:r>
            <w:rPr>
              <w:rFonts w:hint="eastAsia" w:ascii="宋体" w:hAnsi="宋体" w:eastAsia="宋体" w:cs="宋体"/>
              <w:color w:val="auto"/>
              <w:kern w:val="44"/>
              <w:sz w:val="21"/>
              <w:szCs w:val="21"/>
              <w:lang w:val="zh-CN"/>
            </w:rPr>
            <w:fldChar w:fldCharType="begin"/>
          </w:r>
          <w:r>
            <w:rPr>
              <w:rFonts w:hint="eastAsia" w:ascii="宋体" w:hAnsi="宋体" w:eastAsia="宋体" w:cs="宋体"/>
              <w:kern w:val="44"/>
              <w:sz w:val="21"/>
              <w:szCs w:val="21"/>
              <w:lang w:val="zh-CN"/>
            </w:rPr>
            <w:instrText xml:space="preserve"> HYPERLINK \l _Toc13081 </w:instrText>
          </w:r>
          <w:r>
            <w:rPr>
              <w:rFonts w:hint="eastAsia" w:ascii="宋体" w:hAnsi="宋体" w:eastAsia="宋体" w:cs="宋体"/>
              <w:kern w:val="44"/>
              <w:sz w:val="21"/>
              <w:szCs w:val="21"/>
              <w:lang w:val="zh-CN"/>
            </w:rPr>
            <w:fldChar w:fldCharType="separate"/>
          </w:r>
          <w:r>
            <w:rPr>
              <w:rFonts w:hint="eastAsia" w:ascii="宋体" w:hAnsi="宋体" w:eastAsia="宋体" w:cs="宋体"/>
              <w:kern w:val="2"/>
              <w:sz w:val="21"/>
              <w:szCs w:val="21"/>
              <w:lang w:val="en-US"/>
            </w:rPr>
            <w:t>十三、财政拨款“三公”经费支出决算</w:t>
          </w:r>
          <w:r>
            <w:rPr>
              <w:rFonts w:hint="eastAsia" w:ascii="宋体" w:hAnsi="宋体" w:eastAsia="宋体" w:cs="宋体"/>
              <w:sz w:val="21"/>
              <w:szCs w:val="21"/>
            </w:rPr>
            <w:tab/>
          </w:r>
          <w:r>
            <w:rPr>
              <w:rFonts w:hint="eastAsia" w:ascii="宋体" w:hAnsi="宋体" w:cs="宋体"/>
              <w:sz w:val="21"/>
              <w:szCs w:val="21"/>
              <w:lang w:val="en-US" w:eastAsia="zh-CN"/>
            </w:rPr>
            <w:t>3</w:t>
          </w:r>
          <w:r>
            <w:rPr>
              <w:rFonts w:hint="eastAsia" w:ascii="宋体" w:hAnsi="宋体" w:eastAsia="宋体" w:cs="宋体"/>
              <w:color w:val="auto"/>
              <w:kern w:val="44"/>
              <w:sz w:val="21"/>
              <w:szCs w:val="21"/>
              <w:lang w:val="zh-CN"/>
            </w:rPr>
            <w:fldChar w:fldCharType="end"/>
          </w:r>
          <w:r>
            <w:rPr>
              <w:rFonts w:hint="eastAsia" w:ascii="宋体" w:hAnsi="宋体" w:cs="宋体"/>
              <w:color w:val="auto"/>
              <w:kern w:val="44"/>
              <w:sz w:val="21"/>
              <w:szCs w:val="21"/>
              <w:lang w:val="en-US" w:eastAsia="zh-CN"/>
            </w:rPr>
            <w:t>3</w:t>
          </w:r>
        </w:p>
        <w:p w14:paraId="3DA18EF3">
          <w:pPr>
            <w:pStyle w:val="5"/>
            <w:keepNext/>
            <w:keepLines/>
            <w:spacing w:beforeLines="0" w:afterLines="0" w:line="240" w:lineRule="auto"/>
            <w:jc w:val="both"/>
            <w:outlineLvl w:val="9"/>
            <w:rPr>
              <w:rFonts w:hint="eastAsia" w:ascii="黑体" w:hAnsi="黑体" w:eastAsia="黑体"/>
              <w:color w:val="auto"/>
              <w:kern w:val="44"/>
              <w:sz w:val="44"/>
              <w:szCs w:val="24"/>
              <w:lang w:val="zh-CN"/>
            </w:rPr>
          </w:pPr>
          <w:r>
            <w:rPr>
              <w:rFonts w:hint="eastAsia" w:ascii="宋体" w:hAnsi="宋体" w:eastAsia="宋体" w:cs="宋体"/>
              <w:b/>
              <w:color w:val="auto"/>
              <w:kern w:val="44"/>
              <w:sz w:val="21"/>
              <w:szCs w:val="21"/>
              <w:lang w:val="zh-CN"/>
            </w:rPr>
            <w:fldChar w:fldCharType="end"/>
          </w:r>
        </w:p>
      </w:sdtContent>
    </w:sdt>
    <w:p w14:paraId="01712298">
      <w:pPr>
        <w:pStyle w:val="5"/>
        <w:keepNext/>
        <w:keepLines/>
        <w:spacing w:before="340" w:beforeLines="0" w:after="330" w:afterLines="0" w:line="576" w:lineRule="auto"/>
        <w:jc w:val="center"/>
        <w:rPr>
          <w:rFonts w:hint="eastAsia" w:ascii="黑体" w:hAnsi="黑体" w:eastAsia="黑体"/>
          <w:b/>
          <w:color w:val="auto"/>
          <w:kern w:val="44"/>
          <w:sz w:val="44"/>
          <w:szCs w:val="24"/>
          <w:lang w:val="zh-CN"/>
        </w:rPr>
      </w:pPr>
      <w:bookmarkStart w:id="1" w:name="_Toc1776"/>
      <w:r>
        <w:rPr>
          <w:rFonts w:hint="eastAsia" w:ascii="黑体" w:hAnsi="黑体" w:eastAsia="黑体"/>
          <w:color w:val="auto"/>
          <w:kern w:val="44"/>
          <w:sz w:val="44"/>
          <w:szCs w:val="24"/>
          <w:lang w:val="zh-CN"/>
        </w:rPr>
        <w:t>第一部分 单位概况</w:t>
      </w:r>
      <w:bookmarkEnd w:id="1"/>
    </w:p>
    <w:p w14:paraId="341080EC">
      <w:pPr>
        <w:pStyle w:val="6"/>
        <w:keepNext/>
        <w:keepLines/>
        <w:pageBreakBefore w:val="0"/>
        <w:widowControl w:val="0"/>
        <w:kinsoku/>
        <w:wordWrap/>
        <w:overflowPunct/>
        <w:topLinePunct w:val="0"/>
        <w:autoSpaceDE w:val="0"/>
        <w:autoSpaceDN w:val="0"/>
        <w:bidi w:val="0"/>
        <w:adjustRightInd w:val="0"/>
        <w:snapToGrid/>
        <w:spacing w:before="260" w:beforeLines="0" w:after="260" w:afterLines="0" w:line="576" w:lineRule="exact"/>
        <w:ind w:firstLine="592" w:firstLineChars="200"/>
        <w:jc w:val="both"/>
        <w:textAlignment w:val="auto"/>
        <w:rPr>
          <w:rFonts w:hint="eastAsia" w:ascii="黑体" w:hAnsi="黑体" w:eastAsia="黑体"/>
          <w:color w:val="auto"/>
          <w:kern w:val="2"/>
          <w:sz w:val="32"/>
          <w:szCs w:val="24"/>
          <w:lang w:val="zh-CN"/>
        </w:rPr>
      </w:pPr>
      <w:bookmarkStart w:id="2" w:name="_Toc17925"/>
      <w:r>
        <w:rPr>
          <w:rFonts w:hint="eastAsia" w:ascii="黑体" w:hAnsi="黑体" w:eastAsia="黑体"/>
          <w:color w:val="000000"/>
          <w:kern w:val="2"/>
          <w:sz w:val="32"/>
          <w:szCs w:val="24"/>
          <w:lang w:val="zh-CN"/>
        </w:rPr>
        <w:t>一、主要</w:t>
      </w:r>
      <w:r>
        <w:rPr>
          <w:rFonts w:hint="eastAsia" w:ascii="黑体" w:hAnsi="黑体" w:eastAsia="黑体"/>
          <w:color w:val="auto"/>
          <w:kern w:val="2"/>
          <w:sz w:val="32"/>
          <w:szCs w:val="24"/>
          <w:lang w:val="zh-CN"/>
        </w:rPr>
        <w:t>职责</w:t>
      </w:r>
      <w:bookmarkEnd w:id="2"/>
    </w:p>
    <w:p w14:paraId="16A525D6">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sz w:val="32"/>
          <w:szCs w:val="32"/>
        </w:rPr>
      </w:pPr>
      <w:r>
        <w:rPr>
          <w:rFonts w:hint="eastAsia" w:ascii="仿宋" w:hAnsi="仿宋" w:eastAsia="仿宋" w:cs="仿宋"/>
          <w:sz w:val="32"/>
          <w:szCs w:val="32"/>
        </w:rPr>
        <w:t>1.负责贯彻党的教育方针，坚持社会主义办学方向，对学生进行德育、智育、体育、美育和劳动教育等方面教育</w:t>
      </w:r>
    </w:p>
    <w:p w14:paraId="5F03D8CD">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sz w:val="32"/>
          <w:szCs w:val="32"/>
        </w:rPr>
      </w:pPr>
      <w:r>
        <w:rPr>
          <w:rFonts w:hint="eastAsia" w:ascii="仿宋" w:hAnsi="仿宋" w:eastAsia="仿宋" w:cs="仿宋"/>
          <w:sz w:val="32"/>
          <w:szCs w:val="32"/>
        </w:rPr>
        <w:t>2.负责制定配合各级人民政府依法动员适龄儿童、少年入学，严格控制学生辍学，依法保证适龄儿童接受九年义务教育。</w:t>
      </w:r>
    </w:p>
    <w:p w14:paraId="04D672AC">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sz w:val="32"/>
          <w:szCs w:val="32"/>
        </w:rPr>
      </w:pPr>
      <w:r>
        <w:rPr>
          <w:rFonts w:hint="eastAsia" w:ascii="仿宋" w:hAnsi="仿宋" w:eastAsia="仿宋" w:cs="仿宋"/>
          <w:sz w:val="32"/>
          <w:szCs w:val="32"/>
        </w:rPr>
        <w:t>3.负责制定学校教育发展规划，并抓好组织实施和落实工作。</w:t>
      </w:r>
    </w:p>
    <w:p w14:paraId="4983572F">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color w:val="FF0000"/>
          <w:sz w:val="32"/>
          <w:szCs w:val="32"/>
        </w:rPr>
      </w:pPr>
      <w:r>
        <w:rPr>
          <w:rFonts w:hint="eastAsia" w:ascii="仿宋" w:hAnsi="仿宋" w:eastAsia="仿宋" w:cs="仿宋"/>
          <w:sz w:val="32"/>
          <w:szCs w:val="32"/>
        </w:rPr>
        <w:t>4</w:t>
      </w:r>
      <w:r>
        <w:rPr>
          <w:rFonts w:hint="eastAsia" w:ascii="仿宋" w:hAnsi="仿宋" w:eastAsia="仿宋" w:cs="仿宋"/>
          <w:sz w:val="32"/>
          <w:szCs w:val="32"/>
          <w:lang w:eastAsia="zh-CN"/>
        </w:rPr>
        <w:t>.</w:t>
      </w:r>
      <w:r>
        <w:rPr>
          <w:rFonts w:hint="eastAsia" w:ascii="仿宋" w:hAnsi="仿宋" w:eastAsia="仿宋" w:cs="仿宋"/>
          <w:sz w:val="32"/>
          <w:szCs w:val="32"/>
        </w:rPr>
        <w:t>负责依据国家教育部门有关教学计划、课程设置等方面规定，决定和实施本校的教学计划，教学评比，集体备课，对学生进行统一考核、考试等。</w:t>
      </w:r>
    </w:p>
    <w:p w14:paraId="18E33C8A">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5</w:t>
      </w:r>
      <w:r>
        <w:rPr>
          <w:rFonts w:hint="eastAsia" w:ascii="仿宋" w:hAnsi="仿宋" w:eastAsia="仿宋" w:cs="仿宋"/>
          <w:sz w:val="32"/>
          <w:szCs w:val="32"/>
        </w:rPr>
        <w:t>.负责学籍管理工作。</w:t>
      </w:r>
    </w:p>
    <w:p w14:paraId="044FD9F1">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6</w:t>
      </w:r>
      <w:r>
        <w:rPr>
          <w:rFonts w:hint="eastAsia" w:ascii="仿宋" w:hAnsi="仿宋" w:eastAsia="仿宋" w:cs="仿宋"/>
          <w:sz w:val="32"/>
          <w:szCs w:val="32"/>
        </w:rPr>
        <w:t>.负责聘任、培训、考核教师。</w:t>
      </w:r>
    </w:p>
    <w:p w14:paraId="18DA6560">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仿宋"/>
          <w:sz w:val="32"/>
          <w:szCs w:val="32"/>
        </w:rPr>
      </w:pPr>
      <w:r>
        <w:rPr>
          <w:rFonts w:hint="eastAsia" w:ascii="仿宋" w:hAnsi="仿宋" w:eastAsia="仿宋" w:cs="仿宋"/>
          <w:sz w:val="32"/>
          <w:szCs w:val="32"/>
          <w:lang w:val="en-US" w:eastAsia="zh-CN"/>
        </w:rPr>
        <w:t>7</w:t>
      </w:r>
      <w:r>
        <w:rPr>
          <w:rFonts w:hint="eastAsia" w:ascii="仿宋" w:hAnsi="仿宋" w:eastAsia="仿宋" w:cs="仿宋"/>
          <w:sz w:val="32"/>
          <w:szCs w:val="32"/>
        </w:rPr>
        <w:t>.负责科学管理、合理使用学校的设施和经费，并积极筹措资金，改善办学条件。</w:t>
      </w:r>
    </w:p>
    <w:p w14:paraId="1C3B87D7">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方正楷体简体"/>
          <w:sz w:val="32"/>
          <w:szCs w:val="32"/>
        </w:rPr>
      </w:pPr>
      <w:r>
        <w:rPr>
          <w:rFonts w:hint="eastAsia" w:ascii="仿宋" w:hAnsi="仿宋" w:eastAsia="仿宋" w:cs="仿宋"/>
          <w:sz w:val="32"/>
          <w:szCs w:val="32"/>
          <w:lang w:val="en-US" w:eastAsia="zh-CN"/>
        </w:rPr>
        <w:t>8</w:t>
      </w:r>
      <w:r>
        <w:rPr>
          <w:rFonts w:hint="eastAsia" w:ascii="仿宋" w:hAnsi="仿宋" w:eastAsia="仿宋" w:cs="仿宋"/>
          <w:sz w:val="32"/>
          <w:szCs w:val="32"/>
        </w:rPr>
        <w:t>.</w:t>
      </w:r>
      <w:r>
        <w:rPr>
          <w:rFonts w:hint="eastAsia" w:ascii="仿宋_GB2312" w:hAnsi="宋体" w:eastAsia="仿宋_GB2312" w:cs="方正楷体简体"/>
          <w:b/>
          <w:sz w:val="32"/>
          <w:szCs w:val="32"/>
        </w:rPr>
        <w:t xml:space="preserve"> </w:t>
      </w:r>
      <w:r>
        <w:rPr>
          <w:rFonts w:hint="eastAsia" w:ascii="仿宋" w:hAnsi="仿宋" w:eastAsia="仿宋" w:cs="方正楷体简体"/>
          <w:sz w:val="32"/>
          <w:szCs w:val="32"/>
        </w:rPr>
        <w:t>进一步</w:t>
      </w:r>
      <w:r>
        <w:rPr>
          <w:rFonts w:hint="eastAsia" w:ascii="仿宋" w:hAnsi="仿宋" w:eastAsia="仿宋" w:cs="方正楷体简体"/>
          <w:kern w:val="0"/>
          <w:sz w:val="32"/>
          <w:szCs w:val="32"/>
        </w:rPr>
        <w:t>转变行政班子成员工作作风，外树形象、内强素质</w:t>
      </w:r>
      <w:r>
        <w:rPr>
          <w:rFonts w:hint="eastAsia" w:ascii="仿宋" w:hAnsi="仿宋" w:eastAsia="仿宋" w:cs="方正楷体简体"/>
          <w:sz w:val="32"/>
          <w:szCs w:val="32"/>
        </w:rPr>
        <w:t>。</w:t>
      </w:r>
    </w:p>
    <w:p w14:paraId="60A072F7">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ascii="仿宋" w:hAnsi="仿宋" w:eastAsia="仿宋" w:cs="方正楷体简体"/>
          <w:kern w:val="0"/>
          <w:sz w:val="32"/>
          <w:szCs w:val="32"/>
        </w:rPr>
      </w:pPr>
      <w:r>
        <w:rPr>
          <w:rFonts w:hint="eastAsia" w:ascii="仿宋" w:hAnsi="仿宋" w:eastAsia="仿宋" w:cs="方正楷体简体"/>
          <w:sz w:val="32"/>
          <w:szCs w:val="32"/>
          <w:lang w:val="en-US" w:eastAsia="zh-CN"/>
        </w:rPr>
        <w:t>9.</w:t>
      </w:r>
      <w:r>
        <w:rPr>
          <w:rFonts w:hint="eastAsia" w:ascii="仿宋" w:hAnsi="仿宋" w:eastAsia="仿宋" w:cs="方正楷体简体"/>
          <w:kern w:val="0"/>
          <w:sz w:val="32"/>
          <w:szCs w:val="32"/>
        </w:rPr>
        <w:t>加强党建促师德工作。</w:t>
      </w:r>
    </w:p>
    <w:p w14:paraId="1620EFCB">
      <w:pPr>
        <w:keepNext w:val="0"/>
        <w:keepLines w:val="0"/>
        <w:pageBreakBefore w:val="0"/>
        <w:widowControl w:val="0"/>
        <w:kinsoku/>
        <w:wordWrap/>
        <w:overflowPunct/>
        <w:topLinePunct w:val="0"/>
        <w:autoSpaceDE w:val="0"/>
        <w:autoSpaceDN w:val="0"/>
        <w:bidi w:val="0"/>
        <w:adjustRightInd w:val="0"/>
        <w:snapToGrid/>
        <w:spacing w:line="600" w:lineRule="exact"/>
        <w:ind w:firstLine="592" w:firstLineChars="200"/>
        <w:textAlignment w:val="auto"/>
        <w:rPr>
          <w:rFonts w:hint="eastAsia"/>
          <w:sz w:val="32"/>
          <w:szCs w:val="32"/>
          <w:lang w:val="zh-CN"/>
        </w:rPr>
      </w:pPr>
      <w:r>
        <w:rPr>
          <w:rFonts w:hint="eastAsia" w:ascii="仿宋" w:hAnsi="仿宋" w:eastAsia="仿宋" w:cs="方正楷体简体"/>
          <w:kern w:val="0"/>
          <w:sz w:val="32"/>
          <w:szCs w:val="32"/>
          <w:lang w:val="en-US" w:eastAsia="zh-CN"/>
        </w:rPr>
        <w:t>10.</w:t>
      </w:r>
      <w:r>
        <w:rPr>
          <w:rFonts w:hint="eastAsia" w:ascii="仿宋" w:hAnsi="仿宋" w:eastAsia="仿宋" w:cs="仿宋_GB2312"/>
          <w:kern w:val="0"/>
          <w:sz w:val="32"/>
          <w:szCs w:val="32"/>
          <w:lang w:val="zh-CN"/>
        </w:rPr>
        <w:t>加强残疾儿童送教上门工作。</w:t>
      </w:r>
    </w:p>
    <w:p w14:paraId="50945965">
      <w:pPr>
        <w:pStyle w:val="6"/>
        <w:keepNext/>
        <w:keepLines/>
        <w:pageBreakBefore w:val="0"/>
        <w:widowControl w:val="0"/>
        <w:numPr>
          <w:ilvl w:val="0"/>
          <w:numId w:val="0"/>
        </w:numPr>
        <w:kinsoku/>
        <w:wordWrap/>
        <w:overflowPunct/>
        <w:topLinePunct w:val="0"/>
        <w:autoSpaceDE w:val="0"/>
        <w:autoSpaceDN w:val="0"/>
        <w:bidi w:val="0"/>
        <w:adjustRightInd w:val="0"/>
        <w:snapToGrid/>
        <w:spacing w:before="260" w:beforeLines="0" w:after="260" w:afterLines="0" w:line="576" w:lineRule="exact"/>
        <w:ind w:firstLine="592" w:firstLineChars="200"/>
        <w:jc w:val="both"/>
        <w:textAlignment w:val="auto"/>
        <w:outlineLvl w:val="1"/>
        <w:rPr>
          <w:rFonts w:hint="eastAsia" w:ascii="黑体" w:hAnsi="黑体" w:eastAsia="黑体"/>
          <w:color w:val="auto"/>
          <w:kern w:val="2"/>
          <w:sz w:val="32"/>
          <w:szCs w:val="24"/>
          <w:lang w:val="zh-CN"/>
        </w:rPr>
      </w:pPr>
      <w:bookmarkStart w:id="3" w:name="_Toc7775"/>
      <w:r>
        <w:rPr>
          <w:rFonts w:hint="eastAsia" w:ascii="黑体" w:hAnsi="黑体" w:eastAsia="黑体"/>
          <w:color w:val="000000"/>
          <w:kern w:val="2"/>
          <w:sz w:val="32"/>
          <w:szCs w:val="24"/>
          <w:lang w:val="en-US" w:eastAsia="zh-CN"/>
        </w:rPr>
        <w:t>二、</w:t>
      </w:r>
      <w:r>
        <w:rPr>
          <w:rFonts w:hint="eastAsia" w:ascii="黑体" w:hAnsi="黑体" w:eastAsia="黑体"/>
          <w:color w:val="000000"/>
          <w:kern w:val="2"/>
          <w:sz w:val="32"/>
          <w:szCs w:val="24"/>
          <w:lang w:val="zh-CN"/>
        </w:rPr>
        <w:t>机</w:t>
      </w:r>
      <w:r>
        <w:rPr>
          <w:rFonts w:hint="eastAsia" w:ascii="黑体" w:hAnsi="黑体" w:eastAsia="黑体"/>
          <w:color w:val="auto"/>
          <w:kern w:val="2"/>
          <w:sz w:val="32"/>
          <w:szCs w:val="24"/>
          <w:lang w:val="zh-CN"/>
        </w:rPr>
        <w:t>构设置</w:t>
      </w:r>
      <w:bookmarkEnd w:id="3"/>
    </w:p>
    <w:p w14:paraId="4D1E1D21">
      <w:pPr>
        <w:spacing w:line="600" w:lineRule="exact"/>
        <w:ind w:firstLine="592" w:firstLineChars="200"/>
        <w:rPr>
          <w:rFonts w:hint="eastAsia" w:ascii="仿宋" w:hAnsi="仿宋" w:eastAsia="仿宋" w:cs="方正楷体简体"/>
          <w:kern w:val="0"/>
          <w:sz w:val="32"/>
          <w:szCs w:val="32"/>
        </w:rPr>
      </w:pPr>
      <w:r>
        <w:rPr>
          <w:rFonts w:hint="eastAsia" w:ascii="仿宋" w:hAnsi="仿宋" w:eastAsia="仿宋" w:cs="方正楷体简体"/>
          <w:kern w:val="0"/>
          <w:sz w:val="32"/>
          <w:szCs w:val="32"/>
        </w:rPr>
        <w:t>峨边彝族自治县</w:t>
      </w:r>
      <w:r>
        <w:rPr>
          <w:rFonts w:hint="eastAsia" w:ascii="仿宋" w:hAnsi="仿宋" w:eastAsia="仿宋" w:cs="方正楷体简体"/>
          <w:kern w:val="0"/>
          <w:sz w:val="32"/>
          <w:szCs w:val="32"/>
          <w:lang w:val="en-US" w:eastAsia="zh-CN"/>
        </w:rPr>
        <w:t>哈曲</w:t>
      </w:r>
      <w:r>
        <w:rPr>
          <w:rFonts w:hint="eastAsia" w:ascii="仿宋" w:hAnsi="仿宋" w:eastAsia="仿宋" w:cs="方正楷体简体"/>
          <w:kern w:val="0"/>
          <w:sz w:val="32"/>
          <w:szCs w:val="32"/>
        </w:rPr>
        <w:t>乡中心小学</w:t>
      </w:r>
      <w:r>
        <w:rPr>
          <w:rFonts w:hint="eastAsia" w:ascii="仿宋" w:hAnsi="仿宋" w:eastAsia="仿宋" w:cs="方正楷体简体"/>
          <w:kern w:val="0"/>
          <w:sz w:val="32"/>
          <w:szCs w:val="32"/>
          <w:lang w:val="en-US" w:eastAsia="zh-CN"/>
        </w:rPr>
        <w:t>属于县教育局</w:t>
      </w:r>
      <w:r>
        <w:rPr>
          <w:rFonts w:hint="eastAsia" w:ascii="仿宋" w:hAnsi="仿宋" w:eastAsia="仿宋" w:cs="方正楷体简体"/>
          <w:kern w:val="0"/>
          <w:sz w:val="32"/>
          <w:szCs w:val="32"/>
        </w:rPr>
        <w:t>下设</w:t>
      </w:r>
      <w:r>
        <w:rPr>
          <w:rFonts w:hint="eastAsia" w:ascii="仿宋" w:hAnsi="仿宋" w:eastAsia="仿宋" w:cs="方正楷体简体"/>
          <w:kern w:val="0"/>
          <w:sz w:val="32"/>
          <w:szCs w:val="32"/>
          <w:lang w:val="en-US" w:eastAsia="zh-CN"/>
        </w:rPr>
        <w:t>二级事业单位，下设：</w:t>
      </w:r>
      <w:r>
        <w:rPr>
          <w:rFonts w:hint="eastAsia" w:ascii="仿宋" w:hAnsi="仿宋" w:eastAsia="仿宋" w:cs="方正楷体简体"/>
          <w:kern w:val="0"/>
          <w:sz w:val="32"/>
          <w:szCs w:val="32"/>
        </w:rPr>
        <w:t>校长办、办公室、教导处、安办、工会、少队。</w:t>
      </w:r>
    </w:p>
    <w:p w14:paraId="674BEA05">
      <w:pPr>
        <w:spacing w:line="600" w:lineRule="exact"/>
        <w:ind w:firstLine="592" w:firstLineChars="200"/>
        <w:rPr>
          <w:rFonts w:hint="eastAsia" w:ascii="黑体" w:hAnsi="黑体" w:eastAsia="黑体"/>
          <w:color w:val="000000"/>
          <w:kern w:val="44"/>
          <w:sz w:val="32"/>
          <w:szCs w:val="32"/>
          <w:lang w:val="zh-CN"/>
        </w:rPr>
      </w:pPr>
    </w:p>
    <w:p w14:paraId="2D21F9E0">
      <w:pPr>
        <w:spacing w:line="600" w:lineRule="exact"/>
        <w:ind w:firstLine="832" w:firstLineChars="200"/>
        <w:rPr>
          <w:rFonts w:hint="eastAsia" w:ascii="黑体" w:hAnsi="黑体" w:eastAsia="黑体"/>
          <w:color w:val="000000"/>
          <w:kern w:val="44"/>
          <w:sz w:val="44"/>
          <w:szCs w:val="24"/>
          <w:lang w:val="zh-CN"/>
        </w:rPr>
      </w:pPr>
    </w:p>
    <w:p w14:paraId="066EF44A">
      <w:pPr>
        <w:spacing w:line="600" w:lineRule="exact"/>
        <w:ind w:firstLine="832" w:firstLineChars="200"/>
        <w:rPr>
          <w:rFonts w:hint="eastAsia" w:ascii="黑体" w:hAnsi="黑体" w:eastAsia="黑体"/>
          <w:color w:val="000000"/>
          <w:kern w:val="44"/>
          <w:sz w:val="44"/>
          <w:szCs w:val="24"/>
          <w:lang w:val="zh-CN"/>
        </w:rPr>
      </w:pPr>
    </w:p>
    <w:p w14:paraId="119FF4AE">
      <w:pPr>
        <w:spacing w:line="600" w:lineRule="exact"/>
        <w:ind w:firstLine="832" w:firstLineChars="200"/>
        <w:rPr>
          <w:rFonts w:hint="eastAsia" w:ascii="黑体" w:hAnsi="黑体" w:eastAsia="黑体"/>
          <w:color w:val="000000"/>
          <w:kern w:val="44"/>
          <w:sz w:val="44"/>
          <w:szCs w:val="24"/>
          <w:lang w:val="zh-CN"/>
        </w:rPr>
      </w:pPr>
    </w:p>
    <w:p w14:paraId="69826362">
      <w:pPr>
        <w:spacing w:line="600" w:lineRule="exact"/>
        <w:ind w:firstLine="832" w:firstLineChars="200"/>
        <w:rPr>
          <w:rFonts w:hint="eastAsia" w:ascii="黑体" w:hAnsi="黑体" w:eastAsia="黑体"/>
          <w:color w:val="000000"/>
          <w:kern w:val="44"/>
          <w:sz w:val="44"/>
          <w:szCs w:val="24"/>
          <w:lang w:val="zh-CN"/>
        </w:rPr>
      </w:pPr>
    </w:p>
    <w:p w14:paraId="7C55E0FB">
      <w:pPr>
        <w:spacing w:line="600" w:lineRule="exact"/>
        <w:ind w:firstLine="832" w:firstLineChars="200"/>
        <w:rPr>
          <w:rFonts w:hint="eastAsia" w:ascii="黑体" w:hAnsi="黑体" w:eastAsia="黑体"/>
          <w:color w:val="000000"/>
          <w:kern w:val="44"/>
          <w:sz w:val="44"/>
          <w:szCs w:val="24"/>
          <w:lang w:val="zh-CN"/>
        </w:rPr>
      </w:pPr>
    </w:p>
    <w:p w14:paraId="19C7BE8C">
      <w:pPr>
        <w:spacing w:line="600" w:lineRule="exact"/>
        <w:ind w:firstLine="832" w:firstLineChars="200"/>
        <w:rPr>
          <w:rFonts w:hint="eastAsia" w:ascii="黑体" w:hAnsi="黑体" w:eastAsia="黑体"/>
          <w:color w:val="000000"/>
          <w:kern w:val="44"/>
          <w:sz w:val="44"/>
          <w:szCs w:val="24"/>
          <w:lang w:val="zh-CN"/>
        </w:rPr>
      </w:pPr>
    </w:p>
    <w:p w14:paraId="55D24465">
      <w:pPr>
        <w:spacing w:line="600" w:lineRule="exact"/>
        <w:ind w:firstLine="832" w:firstLineChars="200"/>
        <w:rPr>
          <w:rFonts w:hint="eastAsia" w:ascii="黑体" w:hAnsi="黑体" w:eastAsia="黑体"/>
          <w:color w:val="000000"/>
          <w:kern w:val="44"/>
          <w:sz w:val="44"/>
          <w:szCs w:val="24"/>
          <w:lang w:val="zh-CN"/>
        </w:rPr>
      </w:pPr>
    </w:p>
    <w:p w14:paraId="11604AF0">
      <w:pPr>
        <w:spacing w:line="600" w:lineRule="exact"/>
        <w:ind w:firstLine="832" w:firstLineChars="200"/>
        <w:rPr>
          <w:rFonts w:hint="eastAsia" w:ascii="黑体" w:hAnsi="黑体" w:eastAsia="黑体"/>
          <w:color w:val="000000"/>
          <w:kern w:val="44"/>
          <w:sz w:val="44"/>
          <w:szCs w:val="24"/>
          <w:lang w:val="zh-CN"/>
        </w:rPr>
      </w:pPr>
    </w:p>
    <w:p w14:paraId="4C74109D">
      <w:pPr>
        <w:spacing w:line="600" w:lineRule="exact"/>
        <w:ind w:firstLine="832" w:firstLineChars="200"/>
        <w:rPr>
          <w:rFonts w:hint="eastAsia" w:ascii="黑体" w:hAnsi="黑体" w:eastAsia="黑体"/>
          <w:color w:val="000000"/>
          <w:kern w:val="44"/>
          <w:sz w:val="44"/>
          <w:szCs w:val="24"/>
          <w:lang w:val="zh-CN"/>
        </w:rPr>
      </w:pPr>
    </w:p>
    <w:p w14:paraId="55CC601B">
      <w:pPr>
        <w:spacing w:line="600" w:lineRule="exact"/>
        <w:ind w:firstLine="832" w:firstLineChars="200"/>
        <w:rPr>
          <w:rFonts w:hint="eastAsia" w:ascii="黑体" w:hAnsi="黑体" w:eastAsia="黑体"/>
          <w:color w:val="000000"/>
          <w:kern w:val="44"/>
          <w:sz w:val="44"/>
          <w:szCs w:val="24"/>
          <w:lang w:val="zh-CN"/>
        </w:rPr>
      </w:pPr>
    </w:p>
    <w:p w14:paraId="425BE146">
      <w:pPr>
        <w:spacing w:line="600" w:lineRule="exact"/>
        <w:jc w:val="center"/>
        <w:outlineLvl w:val="0"/>
        <w:rPr>
          <w:rFonts w:hint="eastAsia" w:ascii="黑体" w:hAnsi="黑体" w:eastAsia="黑体"/>
          <w:color w:val="000000"/>
          <w:kern w:val="44"/>
          <w:sz w:val="44"/>
          <w:szCs w:val="24"/>
          <w:lang w:val="zh-CN"/>
        </w:rPr>
      </w:pPr>
      <w:bookmarkStart w:id="4" w:name="_Toc14133"/>
    </w:p>
    <w:p w14:paraId="77AA081F">
      <w:pPr>
        <w:pStyle w:val="2"/>
        <w:rPr>
          <w:rFonts w:hint="eastAsia" w:ascii="黑体" w:hAnsi="黑体" w:eastAsia="黑体"/>
          <w:color w:val="000000"/>
          <w:kern w:val="44"/>
          <w:sz w:val="44"/>
          <w:szCs w:val="24"/>
          <w:lang w:val="zh-CN"/>
        </w:rPr>
      </w:pPr>
    </w:p>
    <w:p w14:paraId="0BF8F1D4">
      <w:pPr>
        <w:pStyle w:val="3"/>
        <w:rPr>
          <w:rFonts w:hint="eastAsia" w:ascii="黑体" w:hAnsi="黑体" w:eastAsia="黑体"/>
          <w:color w:val="000000"/>
          <w:kern w:val="44"/>
          <w:sz w:val="44"/>
          <w:szCs w:val="24"/>
          <w:lang w:val="zh-CN"/>
        </w:rPr>
      </w:pPr>
    </w:p>
    <w:p w14:paraId="6DF5CAAE">
      <w:pPr>
        <w:pStyle w:val="3"/>
        <w:rPr>
          <w:rFonts w:hint="eastAsia" w:ascii="黑体" w:hAnsi="黑体" w:eastAsia="黑体"/>
          <w:color w:val="000000"/>
          <w:kern w:val="44"/>
          <w:sz w:val="44"/>
          <w:szCs w:val="24"/>
          <w:lang w:val="zh-CN"/>
        </w:rPr>
      </w:pPr>
    </w:p>
    <w:p w14:paraId="487FE316">
      <w:pPr>
        <w:spacing w:line="600" w:lineRule="exact"/>
        <w:jc w:val="center"/>
        <w:outlineLvl w:val="0"/>
        <w:rPr>
          <w:rFonts w:hint="eastAsia" w:ascii="黑体" w:hAnsi="黑体" w:eastAsia="黑体"/>
          <w:color w:val="000000"/>
          <w:kern w:val="44"/>
          <w:sz w:val="44"/>
          <w:szCs w:val="24"/>
          <w:lang w:val="zh-CN"/>
        </w:rPr>
      </w:pPr>
    </w:p>
    <w:p w14:paraId="4606A320">
      <w:pPr>
        <w:spacing w:line="600" w:lineRule="exact"/>
        <w:jc w:val="center"/>
        <w:outlineLvl w:val="0"/>
        <w:rPr>
          <w:rFonts w:hint="eastAsia" w:ascii="黑体" w:hAnsi="黑体" w:eastAsia="黑体"/>
          <w:color w:val="000000"/>
          <w:kern w:val="44"/>
          <w:sz w:val="44"/>
          <w:szCs w:val="24"/>
          <w:lang w:val="zh-CN"/>
        </w:rPr>
      </w:pPr>
    </w:p>
    <w:p w14:paraId="12E80CBD">
      <w:pPr>
        <w:spacing w:line="600" w:lineRule="exact"/>
        <w:jc w:val="center"/>
        <w:outlineLvl w:val="0"/>
        <w:rPr>
          <w:rFonts w:hint="eastAsia" w:ascii="黑体" w:hAnsi="黑体" w:eastAsia="黑体"/>
          <w:color w:val="000000"/>
          <w:kern w:val="44"/>
          <w:sz w:val="44"/>
          <w:szCs w:val="24"/>
          <w:lang w:val="zh-CN"/>
        </w:rPr>
      </w:pPr>
    </w:p>
    <w:p w14:paraId="730D9556">
      <w:pPr>
        <w:spacing w:line="600" w:lineRule="exact"/>
        <w:jc w:val="center"/>
        <w:outlineLvl w:val="0"/>
        <w:rPr>
          <w:rFonts w:hint="eastAsia" w:ascii="Times New Roman" w:hAnsi="Times New Roman" w:eastAsia="Times New Roman"/>
          <w:b/>
          <w:color w:val="auto"/>
          <w:kern w:val="44"/>
          <w:sz w:val="44"/>
          <w:szCs w:val="24"/>
          <w:lang w:val="zh-CN"/>
        </w:rPr>
      </w:pPr>
      <w:r>
        <w:rPr>
          <w:rFonts w:hint="eastAsia" w:ascii="黑体" w:hAnsi="黑体" w:eastAsia="黑体"/>
          <w:color w:val="000000"/>
          <w:kern w:val="44"/>
          <w:sz w:val="44"/>
          <w:szCs w:val="24"/>
          <w:lang w:val="zh-CN"/>
        </w:rPr>
        <w:t>第二部分</w:t>
      </w:r>
      <w:r>
        <w:rPr>
          <w:rFonts w:hint="eastAsia" w:ascii="黑体" w:hAnsi="黑体" w:eastAsia="黑体"/>
          <w:b/>
          <w:color w:val="000000"/>
          <w:kern w:val="44"/>
          <w:sz w:val="44"/>
          <w:szCs w:val="24"/>
          <w:lang w:val="zh-CN"/>
        </w:rPr>
        <w:t xml:space="preserve"> </w:t>
      </w:r>
      <w:r>
        <w:rPr>
          <w:rFonts w:hint="eastAsia" w:ascii="黑体" w:hAnsi="黑体" w:eastAsia="黑体"/>
          <w:color w:val="auto"/>
          <w:kern w:val="44"/>
          <w:sz w:val="44"/>
          <w:szCs w:val="24"/>
          <w:lang w:val="zh-CN"/>
        </w:rPr>
        <w:t>202</w:t>
      </w:r>
      <w:r>
        <w:rPr>
          <w:rFonts w:hint="eastAsia" w:ascii="黑体" w:hAnsi="黑体" w:eastAsia="黑体"/>
          <w:color w:val="auto"/>
          <w:kern w:val="44"/>
          <w:sz w:val="44"/>
          <w:szCs w:val="24"/>
          <w:lang w:val="en-US" w:eastAsia="zh-CN"/>
        </w:rPr>
        <w:t>4</w:t>
      </w:r>
      <w:r>
        <w:rPr>
          <w:rFonts w:hint="eastAsia" w:ascii="黑体" w:hAnsi="黑体" w:eastAsia="黑体"/>
          <w:color w:val="auto"/>
          <w:kern w:val="44"/>
          <w:sz w:val="44"/>
          <w:szCs w:val="24"/>
          <w:lang w:val="zh-CN"/>
        </w:rPr>
        <w:t>年度单位决算情况说明</w:t>
      </w:r>
      <w:bookmarkEnd w:id="4"/>
    </w:p>
    <w:p w14:paraId="3F0F6853">
      <w:pPr>
        <w:keepNext/>
        <w:keepLines/>
        <w:spacing w:beforeLines="0" w:afterLines="0" w:line="576" w:lineRule="exact"/>
        <w:jc w:val="both"/>
        <w:outlineLvl w:val="1"/>
        <w:rPr>
          <w:rFonts w:hint="eastAsia" w:ascii="黑体" w:hAnsi="黑体" w:eastAsia="黑体"/>
          <w:color w:val="000000"/>
          <w:kern w:val="2"/>
          <w:sz w:val="32"/>
          <w:szCs w:val="24"/>
          <w:lang w:val="zh-CN"/>
        </w:rPr>
      </w:pPr>
      <w:bookmarkStart w:id="5" w:name="_Toc7923"/>
    </w:p>
    <w:p w14:paraId="7EF4BFA6">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592" w:firstLineChars="200"/>
        <w:jc w:val="both"/>
        <w:textAlignment w:val="auto"/>
        <w:outlineLvl w:val="1"/>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一、收</w:t>
      </w:r>
      <w:r>
        <w:rPr>
          <w:rFonts w:hint="eastAsia" w:ascii="黑体" w:hAnsi="黑体" w:eastAsia="黑体"/>
          <w:color w:val="auto"/>
          <w:kern w:val="2"/>
          <w:sz w:val="32"/>
          <w:szCs w:val="24"/>
          <w:lang w:val="zh-CN"/>
        </w:rPr>
        <w:t>入支出决算总体情况说明</w:t>
      </w:r>
      <w:bookmarkEnd w:id="5"/>
    </w:p>
    <w:p w14:paraId="0D3DA391">
      <w:pPr>
        <w:spacing w:beforeLines="0" w:afterLines="0" w:line="576" w:lineRule="exact"/>
        <w:ind w:firstLine="640"/>
        <w:jc w:val="both"/>
        <w:rPr>
          <w:rFonts w:hint="eastAsia" w:ascii="仿宋" w:hAnsi="仿宋" w:eastAsia="仿宋" w:cs="仿宋"/>
          <w:color w:val="auto"/>
          <w:kern w:val="2"/>
          <w:sz w:val="32"/>
          <w:szCs w:val="24"/>
          <w:highlight w:val="none"/>
          <w:lang w:val="en-US"/>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年度收、支总计</w:t>
      </w:r>
      <w:r>
        <w:rPr>
          <w:rFonts w:hint="eastAsia" w:ascii="仿宋" w:hAnsi="仿宋" w:eastAsia="仿宋" w:cs="仿宋"/>
          <w:color w:val="000000"/>
          <w:kern w:val="2"/>
          <w:sz w:val="32"/>
          <w:szCs w:val="24"/>
          <w:lang w:val="en-US" w:eastAsia="zh-CN"/>
        </w:rPr>
        <w:t>339.07</w:t>
      </w:r>
      <w:r>
        <w:rPr>
          <w:rFonts w:hint="eastAsia" w:ascii="仿宋" w:hAnsi="仿宋" w:eastAsia="仿宋" w:cs="仿宋"/>
          <w:color w:val="000000"/>
          <w:kern w:val="2"/>
          <w:sz w:val="32"/>
          <w:szCs w:val="24"/>
          <w:lang w:val="zh-CN"/>
        </w:rPr>
        <w:t>万元。与202</w:t>
      </w:r>
      <w:r>
        <w:rPr>
          <w:rFonts w:hint="eastAsia" w:ascii="仿宋" w:hAnsi="仿宋" w:eastAsia="仿宋" w:cs="仿宋"/>
          <w:color w:val="000000"/>
          <w:kern w:val="2"/>
          <w:sz w:val="32"/>
          <w:szCs w:val="24"/>
          <w:lang w:val="en-US" w:eastAsia="zh-CN"/>
        </w:rPr>
        <w:t>3</w:t>
      </w:r>
      <w:r>
        <w:rPr>
          <w:rFonts w:hint="eastAsia" w:ascii="仿宋" w:hAnsi="仿宋" w:eastAsia="仿宋" w:cs="仿宋"/>
          <w:color w:val="000000"/>
          <w:kern w:val="2"/>
          <w:sz w:val="32"/>
          <w:szCs w:val="24"/>
          <w:lang w:val="zh-CN"/>
        </w:rPr>
        <w:t>年相比，收、支总计各</w:t>
      </w:r>
      <w:r>
        <w:rPr>
          <w:rFonts w:hint="eastAsia" w:ascii="仿宋" w:hAnsi="仿宋" w:eastAsia="仿宋" w:cs="仿宋"/>
          <w:color w:val="000000"/>
          <w:kern w:val="2"/>
          <w:sz w:val="32"/>
          <w:szCs w:val="24"/>
          <w:lang w:val="en-US" w:eastAsia="zh-CN"/>
        </w:rPr>
        <w:t>减少44.32</w:t>
      </w:r>
      <w:r>
        <w:rPr>
          <w:rFonts w:hint="eastAsia" w:ascii="仿宋" w:hAnsi="仿宋" w:eastAsia="仿宋" w:cs="仿宋"/>
          <w:color w:val="000000"/>
          <w:kern w:val="2"/>
          <w:sz w:val="32"/>
          <w:szCs w:val="24"/>
          <w:lang w:val="zh-CN"/>
        </w:rPr>
        <w:t>万元，</w:t>
      </w:r>
      <w:r>
        <w:rPr>
          <w:rFonts w:hint="eastAsia" w:ascii="仿宋" w:hAnsi="仿宋" w:eastAsia="仿宋" w:cs="仿宋"/>
          <w:color w:val="000000"/>
          <w:kern w:val="2"/>
          <w:sz w:val="32"/>
          <w:szCs w:val="24"/>
          <w:lang w:val="en-US" w:eastAsia="zh-CN"/>
        </w:rPr>
        <w:t>减少13</w:t>
      </w:r>
      <w:r>
        <w:rPr>
          <w:rFonts w:hint="eastAsia" w:ascii="仿宋" w:hAnsi="仿宋" w:eastAsia="仿宋" w:cs="仿宋"/>
          <w:color w:val="000000"/>
          <w:kern w:val="2"/>
          <w:sz w:val="32"/>
          <w:szCs w:val="24"/>
          <w:highlight w:val="none"/>
          <w:lang w:val="zh-CN"/>
        </w:rPr>
        <w:t>%。</w:t>
      </w:r>
      <w:r>
        <w:rPr>
          <w:rFonts w:hint="eastAsia" w:ascii="仿宋" w:hAnsi="仿宋" w:eastAsia="仿宋" w:cs="仿宋"/>
          <w:color w:val="000000"/>
          <w:kern w:val="2"/>
          <w:sz w:val="32"/>
          <w:szCs w:val="24"/>
          <w:lang w:val="zh-CN"/>
        </w:rPr>
        <w:t>主要变动原因是</w:t>
      </w:r>
      <w:r>
        <w:rPr>
          <w:rFonts w:hint="eastAsia" w:ascii="仿宋" w:hAnsi="仿宋" w:eastAsia="仿宋" w:cs="仿宋"/>
          <w:color w:val="000000"/>
          <w:kern w:val="2"/>
          <w:sz w:val="32"/>
          <w:szCs w:val="24"/>
          <w:highlight w:val="none"/>
          <w:lang w:val="zh-CN"/>
        </w:rPr>
        <w:t>项目支出</w:t>
      </w:r>
      <w:r>
        <w:rPr>
          <w:rFonts w:hint="eastAsia" w:ascii="仿宋" w:hAnsi="仿宋" w:eastAsia="仿宋" w:cs="仿宋"/>
          <w:color w:val="000000"/>
          <w:kern w:val="2"/>
          <w:sz w:val="32"/>
          <w:szCs w:val="24"/>
          <w:highlight w:val="none"/>
          <w:lang w:val="en-US" w:eastAsia="zh-CN"/>
        </w:rPr>
        <w:t>减少</w:t>
      </w:r>
      <w:r>
        <w:rPr>
          <w:rFonts w:hint="eastAsia" w:ascii="仿宋" w:hAnsi="仿宋" w:eastAsia="仿宋" w:cs="仿宋"/>
          <w:color w:val="000000"/>
          <w:kern w:val="2"/>
          <w:sz w:val="32"/>
          <w:szCs w:val="24"/>
          <w:highlight w:val="none"/>
          <w:lang w:val="zh-CN"/>
        </w:rPr>
        <w:t>。</w:t>
      </w:r>
    </w:p>
    <w:p w14:paraId="5F27AB72">
      <w:pPr>
        <w:spacing w:beforeLines="0" w:afterLines="0" w:line="600" w:lineRule="exact"/>
        <w:ind w:firstLine="640"/>
        <w:jc w:val="both"/>
        <w:rPr>
          <w:rFonts w:hint="eastAsia" w:ascii="仿宋" w:hAnsi="仿宋" w:eastAsia="仿宋" w:cs="仿宋"/>
          <w:color w:val="auto"/>
          <w:kern w:val="2"/>
          <w:sz w:val="32"/>
          <w:szCs w:val="24"/>
          <w:lang w:val="en-US"/>
        </w:rPr>
      </w:pPr>
      <w:r>
        <w:rPr>
          <w:rFonts w:hint="eastAsia" w:ascii="仿宋" w:hAnsi="仿宋" w:eastAsia="仿宋" w:cs="仿宋"/>
          <w:color w:val="000000"/>
          <w:sz w:val="32"/>
          <w:szCs w:val="32"/>
        </w:rPr>
        <w:drawing>
          <wp:anchor distT="0" distB="0" distL="114300" distR="114300" simplePos="0" relativeHeight="251659264" behindDoc="0" locked="0" layoutInCell="1" allowOverlap="1">
            <wp:simplePos x="0" y="0"/>
            <wp:positionH relativeFrom="column">
              <wp:posOffset>212090</wp:posOffset>
            </wp:positionH>
            <wp:positionV relativeFrom="paragraph">
              <wp:posOffset>132715</wp:posOffset>
            </wp:positionV>
            <wp:extent cx="4667885" cy="1761490"/>
            <wp:effectExtent l="4445" t="5080" r="13970" b="5080"/>
            <wp:wrapNone/>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anchor>
        </w:drawing>
      </w:r>
    </w:p>
    <w:p w14:paraId="7C3DDCCB">
      <w:pPr>
        <w:spacing w:beforeLines="0" w:afterLines="0" w:line="600" w:lineRule="exact"/>
        <w:ind w:firstLine="640"/>
        <w:jc w:val="both"/>
        <w:rPr>
          <w:rFonts w:hint="eastAsia" w:ascii="仿宋" w:hAnsi="仿宋" w:eastAsia="仿宋"/>
          <w:color w:val="auto"/>
          <w:kern w:val="2"/>
          <w:sz w:val="32"/>
          <w:szCs w:val="24"/>
          <w:lang w:val="en-US"/>
        </w:rPr>
      </w:pPr>
    </w:p>
    <w:p w14:paraId="72275895">
      <w:pPr>
        <w:spacing w:beforeLines="0" w:afterLines="0" w:line="600" w:lineRule="exact"/>
        <w:ind w:firstLine="640"/>
        <w:jc w:val="both"/>
        <w:rPr>
          <w:rFonts w:hint="eastAsia" w:ascii="仿宋" w:hAnsi="仿宋" w:eastAsia="仿宋"/>
          <w:color w:val="auto"/>
          <w:kern w:val="2"/>
          <w:sz w:val="32"/>
          <w:szCs w:val="24"/>
          <w:lang w:val="en-US"/>
        </w:rPr>
      </w:pPr>
    </w:p>
    <w:p w14:paraId="0F0D0C91">
      <w:pPr>
        <w:spacing w:beforeLines="0" w:afterLines="0" w:line="600" w:lineRule="exact"/>
        <w:ind w:firstLine="640"/>
        <w:jc w:val="both"/>
        <w:rPr>
          <w:rFonts w:hint="eastAsia" w:ascii="仿宋" w:hAnsi="仿宋" w:eastAsia="仿宋"/>
          <w:color w:val="auto"/>
          <w:kern w:val="2"/>
          <w:sz w:val="32"/>
          <w:szCs w:val="24"/>
          <w:lang w:val="en-US"/>
        </w:rPr>
      </w:pPr>
    </w:p>
    <w:p w14:paraId="6CACDC40">
      <w:pPr>
        <w:spacing w:beforeLines="0" w:afterLines="0" w:line="600" w:lineRule="exact"/>
        <w:ind w:firstLine="640"/>
        <w:jc w:val="both"/>
        <w:rPr>
          <w:rFonts w:hint="eastAsia" w:ascii="仿宋" w:hAnsi="仿宋" w:eastAsia="仿宋"/>
          <w:color w:val="auto"/>
          <w:kern w:val="2"/>
          <w:sz w:val="32"/>
          <w:szCs w:val="24"/>
          <w:lang w:val="en-US"/>
        </w:rPr>
      </w:pPr>
    </w:p>
    <w:p w14:paraId="224F2AD2">
      <w:pPr>
        <w:spacing w:beforeLines="0" w:afterLines="0" w:line="600" w:lineRule="exact"/>
        <w:ind w:firstLine="640"/>
        <w:jc w:val="both"/>
        <w:rPr>
          <w:rFonts w:hint="eastAsia" w:ascii="仿宋" w:hAnsi="仿宋" w:eastAsia="仿宋"/>
          <w:color w:val="auto"/>
          <w:kern w:val="2"/>
          <w:sz w:val="32"/>
          <w:szCs w:val="24"/>
          <w:lang w:val="en-US"/>
        </w:rPr>
      </w:pPr>
    </w:p>
    <w:p w14:paraId="5EA62B4C">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592" w:firstLineChars="200"/>
        <w:jc w:val="both"/>
        <w:textAlignment w:val="auto"/>
        <w:outlineLvl w:val="1"/>
        <w:rPr>
          <w:rFonts w:hint="eastAsia" w:ascii="黑体" w:hAnsi="黑体" w:eastAsia="黑体"/>
          <w:color w:val="auto"/>
          <w:kern w:val="2"/>
          <w:sz w:val="32"/>
          <w:szCs w:val="24"/>
          <w:lang w:val="zh-CN"/>
        </w:rPr>
      </w:pPr>
      <w:bookmarkStart w:id="6" w:name="_Toc18728"/>
      <w:r>
        <w:rPr>
          <w:rFonts w:hint="eastAsia" w:ascii="黑体" w:hAnsi="黑体" w:eastAsia="黑体"/>
          <w:color w:val="000000"/>
          <w:kern w:val="2"/>
          <w:sz w:val="32"/>
          <w:szCs w:val="24"/>
          <w:lang w:val="zh-CN"/>
        </w:rPr>
        <w:t>二、收</w:t>
      </w:r>
      <w:r>
        <w:rPr>
          <w:rFonts w:hint="eastAsia" w:ascii="黑体" w:hAnsi="黑体" w:eastAsia="黑体"/>
          <w:color w:val="auto"/>
          <w:kern w:val="2"/>
          <w:sz w:val="32"/>
          <w:szCs w:val="24"/>
          <w:lang w:val="zh-CN"/>
        </w:rPr>
        <w:t>入决算情况说明</w:t>
      </w:r>
      <w:bookmarkEnd w:id="6"/>
    </w:p>
    <w:p w14:paraId="5F408DEE">
      <w:pPr>
        <w:keepNext/>
        <w:keepLines/>
        <w:spacing w:beforeLines="0" w:afterLines="0" w:line="576" w:lineRule="exact"/>
        <w:ind w:firstLine="640"/>
        <w:jc w:val="both"/>
        <w:rPr>
          <w:rFonts w:hint="eastAsia" w:ascii="仿宋" w:hAnsi="仿宋" w:eastAsia="仿宋" w:cs="仿宋"/>
          <w:color w:val="auto"/>
          <w:kern w:val="2"/>
          <w:sz w:val="32"/>
          <w:szCs w:val="24"/>
          <w:highlight w:val="none"/>
          <w:lang w:val="en-US"/>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年本年收入合计</w:t>
      </w:r>
      <w:r>
        <w:rPr>
          <w:rFonts w:hint="eastAsia" w:ascii="仿宋" w:hAnsi="仿宋" w:eastAsia="仿宋" w:cs="仿宋"/>
          <w:color w:val="000000"/>
          <w:kern w:val="2"/>
          <w:sz w:val="32"/>
          <w:szCs w:val="24"/>
          <w:lang w:val="en-US" w:eastAsia="zh-CN"/>
        </w:rPr>
        <w:t>339.07</w:t>
      </w:r>
      <w:r>
        <w:rPr>
          <w:rFonts w:hint="eastAsia" w:ascii="仿宋" w:hAnsi="仿宋" w:eastAsia="仿宋" w:cs="仿宋"/>
          <w:color w:val="000000"/>
          <w:kern w:val="2"/>
          <w:sz w:val="32"/>
          <w:szCs w:val="24"/>
          <w:lang w:val="zh-CN"/>
        </w:rPr>
        <w:t>万元，其中：一般公共预算财政拨款收入</w:t>
      </w:r>
      <w:r>
        <w:rPr>
          <w:rFonts w:hint="eastAsia" w:ascii="仿宋" w:hAnsi="仿宋" w:eastAsia="仿宋" w:cs="仿宋"/>
          <w:color w:val="000000"/>
          <w:kern w:val="2"/>
          <w:sz w:val="32"/>
          <w:szCs w:val="24"/>
          <w:lang w:val="en-US" w:eastAsia="zh-CN"/>
        </w:rPr>
        <w:t>331.67</w:t>
      </w:r>
      <w:r>
        <w:rPr>
          <w:rFonts w:hint="eastAsia" w:ascii="仿宋" w:hAnsi="仿宋" w:eastAsia="仿宋" w:cs="仿宋"/>
          <w:color w:val="000000"/>
          <w:kern w:val="2"/>
          <w:sz w:val="32"/>
          <w:szCs w:val="24"/>
          <w:lang w:val="zh-CN"/>
        </w:rPr>
        <w:t>万元，</w:t>
      </w:r>
      <w:r>
        <w:rPr>
          <w:rFonts w:hint="eastAsia" w:ascii="仿宋" w:hAnsi="仿宋" w:eastAsia="仿宋" w:cs="仿宋"/>
          <w:color w:val="000000"/>
          <w:kern w:val="2"/>
          <w:sz w:val="32"/>
          <w:szCs w:val="24"/>
          <w:highlight w:val="none"/>
          <w:lang w:val="zh-CN"/>
        </w:rPr>
        <w:t>占97.</w:t>
      </w:r>
      <w:r>
        <w:rPr>
          <w:rFonts w:hint="eastAsia" w:ascii="仿宋" w:hAnsi="仿宋" w:eastAsia="仿宋" w:cs="仿宋"/>
          <w:color w:val="000000"/>
          <w:kern w:val="2"/>
          <w:sz w:val="32"/>
          <w:szCs w:val="24"/>
          <w:highlight w:val="none"/>
          <w:lang w:val="en-US" w:eastAsia="zh-CN"/>
        </w:rPr>
        <w:t>9</w:t>
      </w:r>
      <w:r>
        <w:rPr>
          <w:rFonts w:hint="eastAsia" w:ascii="仿宋" w:hAnsi="仿宋" w:eastAsia="仿宋" w:cs="仿宋"/>
          <w:color w:val="000000"/>
          <w:kern w:val="2"/>
          <w:sz w:val="32"/>
          <w:szCs w:val="24"/>
          <w:highlight w:val="none"/>
          <w:lang w:val="zh-CN"/>
        </w:rPr>
        <w:t>%；</w:t>
      </w:r>
      <w:r>
        <w:rPr>
          <w:rFonts w:hint="eastAsia" w:ascii="仿宋" w:hAnsi="仿宋" w:eastAsia="仿宋" w:cs="仿宋"/>
          <w:color w:val="000000"/>
          <w:kern w:val="2"/>
          <w:sz w:val="32"/>
          <w:szCs w:val="24"/>
          <w:lang w:val="zh-CN"/>
        </w:rPr>
        <w:t>其他收入</w:t>
      </w:r>
      <w:r>
        <w:rPr>
          <w:rFonts w:hint="eastAsia" w:ascii="仿宋" w:hAnsi="仿宋" w:eastAsia="仿宋" w:cs="仿宋"/>
          <w:color w:val="000000"/>
          <w:kern w:val="2"/>
          <w:sz w:val="32"/>
          <w:szCs w:val="24"/>
          <w:lang w:val="en-US" w:eastAsia="zh-CN"/>
        </w:rPr>
        <w:t>7.4</w:t>
      </w:r>
      <w:r>
        <w:rPr>
          <w:rFonts w:hint="eastAsia" w:ascii="仿宋" w:hAnsi="仿宋" w:eastAsia="仿宋" w:cs="仿宋"/>
          <w:color w:val="000000"/>
          <w:kern w:val="2"/>
          <w:sz w:val="32"/>
          <w:szCs w:val="24"/>
          <w:lang w:val="zh-CN"/>
        </w:rPr>
        <w:t>万</w:t>
      </w:r>
      <w:r>
        <w:rPr>
          <w:rFonts w:hint="eastAsia" w:ascii="仿宋" w:hAnsi="仿宋" w:eastAsia="仿宋" w:cs="仿宋"/>
          <w:color w:val="000000"/>
          <w:kern w:val="2"/>
          <w:sz w:val="32"/>
          <w:szCs w:val="24"/>
          <w:highlight w:val="none"/>
          <w:lang w:val="zh-CN"/>
        </w:rPr>
        <w:t>元，占2.</w:t>
      </w:r>
      <w:r>
        <w:rPr>
          <w:rFonts w:hint="eastAsia" w:ascii="仿宋" w:hAnsi="仿宋" w:eastAsia="仿宋" w:cs="仿宋"/>
          <w:color w:val="000000"/>
          <w:kern w:val="2"/>
          <w:sz w:val="32"/>
          <w:szCs w:val="24"/>
          <w:highlight w:val="none"/>
          <w:lang w:val="en-US" w:eastAsia="zh-CN"/>
        </w:rPr>
        <w:t>1</w:t>
      </w:r>
      <w:r>
        <w:rPr>
          <w:rFonts w:hint="eastAsia" w:ascii="仿宋" w:hAnsi="仿宋" w:eastAsia="仿宋" w:cs="仿宋"/>
          <w:color w:val="000000"/>
          <w:kern w:val="2"/>
          <w:sz w:val="32"/>
          <w:szCs w:val="24"/>
          <w:highlight w:val="none"/>
          <w:lang w:val="zh-CN"/>
        </w:rPr>
        <w:t>%。</w:t>
      </w:r>
    </w:p>
    <w:p w14:paraId="5CD60D99">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0288" behindDoc="0" locked="0" layoutInCell="1" allowOverlap="1">
            <wp:simplePos x="0" y="0"/>
            <wp:positionH relativeFrom="column">
              <wp:posOffset>836295</wp:posOffset>
            </wp:positionH>
            <wp:positionV relativeFrom="paragraph">
              <wp:posOffset>60325</wp:posOffset>
            </wp:positionV>
            <wp:extent cx="4302125" cy="1945005"/>
            <wp:effectExtent l="5080" t="4445" r="17145" b="12700"/>
            <wp:wrapNone/>
            <wp:docPr id="6"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p w14:paraId="4529CD17">
      <w:pPr>
        <w:spacing w:beforeLines="0" w:afterLines="0" w:line="600" w:lineRule="exact"/>
        <w:ind w:firstLine="640"/>
        <w:jc w:val="both"/>
        <w:rPr>
          <w:rFonts w:hint="eastAsia" w:ascii="仿宋" w:hAnsi="仿宋" w:eastAsia="仿宋"/>
          <w:color w:val="auto"/>
          <w:kern w:val="2"/>
          <w:sz w:val="32"/>
          <w:szCs w:val="24"/>
          <w:lang w:val="en-US"/>
        </w:rPr>
      </w:pPr>
    </w:p>
    <w:p w14:paraId="1BCEA318">
      <w:pPr>
        <w:pStyle w:val="2"/>
        <w:rPr>
          <w:rFonts w:hint="eastAsia"/>
          <w:lang w:val="en-US"/>
        </w:rPr>
      </w:pPr>
    </w:p>
    <w:p w14:paraId="6A695B70">
      <w:pPr>
        <w:spacing w:beforeLines="0" w:afterLines="0" w:line="600" w:lineRule="exact"/>
        <w:ind w:firstLine="640"/>
        <w:jc w:val="both"/>
        <w:rPr>
          <w:rFonts w:hint="eastAsia" w:ascii="仿宋" w:hAnsi="仿宋" w:eastAsia="仿宋"/>
          <w:color w:val="auto"/>
          <w:kern w:val="2"/>
          <w:sz w:val="32"/>
          <w:szCs w:val="24"/>
          <w:lang w:val="en-US"/>
        </w:rPr>
      </w:pPr>
    </w:p>
    <w:p w14:paraId="265830E5">
      <w:pPr>
        <w:pStyle w:val="2"/>
        <w:rPr>
          <w:rFonts w:hint="eastAsia" w:ascii="仿宋" w:hAnsi="仿宋" w:eastAsia="仿宋"/>
          <w:color w:val="auto"/>
          <w:kern w:val="2"/>
          <w:sz w:val="32"/>
          <w:szCs w:val="24"/>
          <w:lang w:val="en-US"/>
        </w:rPr>
      </w:pPr>
    </w:p>
    <w:p w14:paraId="716C9B1E">
      <w:pPr>
        <w:pStyle w:val="3"/>
        <w:rPr>
          <w:rFonts w:hint="eastAsia"/>
          <w:lang w:val="en-US"/>
        </w:rPr>
      </w:pPr>
    </w:p>
    <w:p w14:paraId="3158A4DE">
      <w:pPr>
        <w:keepNext/>
        <w:keepLines/>
        <w:pageBreakBefore w:val="0"/>
        <w:widowControl w:val="0"/>
        <w:numPr>
          <w:ilvl w:val="0"/>
          <w:numId w:val="0"/>
        </w:numPr>
        <w:kinsoku/>
        <w:wordWrap/>
        <w:overflowPunct/>
        <w:topLinePunct w:val="0"/>
        <w:autoSpaceDE w:val="0"/>
        <w:autoSpaceDN w:val="0"/>
        <w:bidi w:val="0"/>
        <w:adjustRightInd w:val="0"/>
        <w:snapToGrid/>
        <w:spacing w:beforeLines="0" w:afterLines="0" w:line="576" w:lineRule="exact"/>
        <w:ind w:firstLine="592" w:firstLineChars="200"/>
        <w:jc w:val="both"/>
        <w:textAlignment w:val="auto"/>
        <w:outlineLvl w:val="1"/>
        <w:rPr>
          <w:rFonts w:hint="eastAsia"/>
          <w:lang w:val="zh-CN"/>
        </w:rPr>
      </w:pPr>
      <w:bookmarkStart w:id="7" w:name="_Toc32171"/>
      <w:r>
        <w:rPr>
          <w:rFonts w:hint="eastAsia" w:ascii="黑体" w:hAnsi="黑体" w:eastAsia="黑体"/>
          <w:color w:val="000000"/>
          <w:kern w:val="2"/>
          <w:sz w:val="32"/>
          <w:szCs w:val="24"/>
          <w:highlight w:val="none"/>
          <w:lang w:val="zh-CN"/>
        </w:rPr>
        <w:t>三、支</w:t>
      </w:r>
      <w:r>
        <w:rPr>
          <w:rFonts w:hint="eastAsia" w:ascii="黑体" w:hAnsi="黑体" w:eastAsia="黑体"/>
          <w:color w:val="auto"/>
          <w:kern w:val="2"/>
          <w:sz w:val="32"/>
          <w:szCs w:val="24"/>
          <w:highlight w:val="none"/>
          <w:lang w:val="zh-CN"/>
        </w:rPr>
        <w:t>出决算情况说明</w:t>
      </w:r>
      <w:bookmarkEnd w:id="7"/>
    </w:p>
    <w:p w14:paraId="1C0BD017">
      <w:pPr>
        <w:keepNext/>
        <w:keepLines/>
        <w:spacing w:beforeLines="0" w:afterLines="0" w:line="576" w:lineRule="exact"/>
        <w:ind w:firstLine="640"/>
        <w:jc w:val="both"/>
        <w:rPr>
          <w:rFonts w:hint="eastAsia" w:ascii="仿宋" w:hAnsi="仿宋" w:eastAsia="仿宋" w:cs="仿宋"/>
          <w:color w:val="auto"/>
          <w:kern w:val="2"/>
          <w:sz w:val="32"/>
          <w:szCs w:val="24"/>
          <w:lang w:val="en-US"/>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年本年支出合计</w:t>
      </w:r>
      <w:r>
        <w:rPr>
          <w:rFonts w:hint="eastAsia" w:ascii="仿宋" w:hAnsi="仿宋" w:eastAsia="仿宋" w:cs="仿宋"/>
          <w:color w:val="000000"/>
          <w:kern w:val="2"/>
          <w:sz w:val="32"/>
          <w:szCs w:val="24"/>
          <w:lang w:val="en-US" w:eastAsia="zh-CN"/>
        </w:rPr>
        <w:t>339.07</w:t>
      </w:r>
      <w:r>
        <w:rPr>
          <w:rFonts w:hint="eastAsia" w:ascii="仿宋" w:hAnsi="仿宋" w:eastAsia="仿宋" w:cs="仿宋"/>
          <w:color w:val="000000"/>
          <w:kern w:val="2"/>
          <w:sz w:val="32"/>
          <w:szCs w:val="24"/>
          <w:lang w:val="zh-CN"/>
        </w:rPr>
        <w:t>万元，其中：基本支出</w:t>
      </w:r>
      <w:r>
        <w:rPr>
          <w:rFonts w:hint="eastAsia" w:ascii="仿宋" w:hAnsi="仿宋" w:eastAsia="仿宋" w:cs="仿宋"/>
          <w:color w:val="000000"/>
          <w:kern w:val="2"/>
          <w:sz w:val="32"/>
          <w:szCs w:val="24"/>
          <w:lang w:val="en-US" w:eastAsia="zh-CN"/>
        </w:rPr>
        <w:t>218.8</w:t>
      </w:r>
      <w:r>
        <w:rPr>
          <w:rFonts w:hint="eastAsia" w:ascii="仿宋" w:hAnsi="仿宋" w:eastAsia="仿宋" w:cs="仿宋"/>
          <w:color w:val="000000"/>
          <w:kern w:val="2"/>
          <w:sz w:val="32"/>
          <w:szCs w:val="24"/>
          <w:lang w:val="zh-CN"/>
        </w:rPr>
        <w:t>万元，占</w:t>
      </w:r>
      <w:r>
        <w:rPr>
          <w:rFonts w:hint="eastAsia" w:ascii="仿宋" w:hAnsi="仿宋" w:eastAsia="仿宋" w:cs="仿宋"/>
          <w:color w:val="000000"/>
          <w:kern w:val="2"/>
          <w:sz w:val="32"/>
          <w:szCs w:val="24"/>
          <w:lang w:val="en-US" w:eastAsia="zh-CN"/>
        </w:rPr>
        <w:t>64.53</w:t>
      </w:r>
      <w:r>
        <w:rPr>
          <w:rFonts w:hint="eastAsia" w:ascii="仿宋" w:hAnsi="仿宋" w:eastAsia="仿宋" w:cs="仿宋"/>
          <w:color w:val="000000"/>
          <w:kern w:val="2"/>
          <w:sz w:val="32"/>
          <w:szCs w:val="24"/>
          <w:lang w:val="zh-CN"/>
        </w:rPr>
        <w:t>%；项目支出</w:t>
      </w:r>
      <w:r>
        <w:rPr>
          <w:rFonts w:hint="eastAsia" w:ascii="仿宋" w:hAnsi="仿宋" w:eastAsia="仿宋" w:cs="仿宋"/>
          <w:color w:val="000000"/>
          <w:kern w:val="2"/>
          <w:sz w:val="32"/>
          <w:szCs w:val="24"/>
          <w:lang w:val="en-US" w:eastAsia="zh-CN"/>
        </w:rPr>
        <w:t>120.27</w:t>
      </w:r>
      <w:r>
        <w:rPr>
          <w:rFonts w:hint="eastAsia" w:ascii="仿宋" w:hAnsi="仿宋" w:eastAsia="仿宋" w:cs="仿宋"/>
          <w:color w:val="000000"/>
          <w:kern w:val="2"/>
          <w:sz w:val="32"/>
          <w:szCs w:val="24"/>
          <w:lang w:val="zh-CN"/>
        </w:rPr>
        <w:t>万元，占</w:t>
      </w:r>
      <w:r>
        <w:rPr>
          <w:rFonts w:hint="eastAsia" w:ascii="仿宋" w:hAnsi="仿宋" w:eastAsia="仿宋" w:cs="仿宋"/>
          <w:color w:val="000000"/>
          <w:kern w:val="2"/>
          <w:sz w:val="32"/>
          <w:szCs w:val="24"/>
          <w:lang w:val="en-US" w:eastAsia="zh-CN"/>
        </w:rPr>
        <w:t>35.47</w:t>
      </w:r>
      <w:r>
        <w:rPr>
          <w:rFonts w:hint="eastAsia" w:ascii="仿宋" w:hAnsi="仿宋" w:eastAsia="仿宋" w:cs="仿宋"/>
          <w:color w:val="000000"/>
          <w:kern w:val="2"/>
          <w:sz w:val="32"/>
          <w:szCs w:val="24"/>
          <w:lang w:val="zh-CN"/>
        </w:rPr>
        <w:t>%。</w:t>
      </w:r>
    </w:p>
    <w:p w14:paraId="0F0F97D6">
      <w:pPr>
        <w:spacing w:beforeLines="0" w:afterLines="0" w:line="600" w:lineRule="exact"/>
        <w:ind w:firstLine="640"/>
        <w:jc w:val="both"/>
        <w:rPr>
          <w:rFonts w:hint="eastAsia" w:ascii="仿宋" w:hAnsi="仿宋" w:eastAsia="仿宋"/>
          <w:color w:val="auto"/>
          <w:kern w:val="2"/>
          <w:sz w:val="32"/>
          <w:szCs w:val="24"/>
          <w:lang w:val="en-US"/>
        </w:rPr>
      </w:pPr>
      <w:r>
        <w:rPr>
          <w:rFonts w:ascii="仿宋" w:hAnsi="仿宋" w:eastAsia="仿宋"/>
          <w:color w:val="000000" w:themeColor="text1"/>
          <w:sz w:val="32"/>
          <w:szCs w:val="32"/>
          <w14:textFill>
            <w14:solidFill>
              <w14:schemeClr w14:val="tx1"/>
            </w14:solidFill>
          </w14:textFill>
        </w:rPr>
        <w:drawing>
          <wp:anchor distT="0" distB="0" distL="114300" distR="114300" simplePos="0" relativeHeight="251661312" behindDoc="0" locked="0" layoutInCell="1" allowOverlap="1">
            <wp:simplePos x="0" y="0"/>
            <wp:positionH relativeFrom="column">
              <wp:posOffset>678180</wp:posOffset>
            </wp:positionH>
            <wp:positionV relativeFrom="paragraph">
              <wp:posOffset>93345</wp:posOffset>
            </wp:positionV>
            <wp:extent cx="3538855" cy="1807845"/>
            <wp:effectExtent l="4445" t="4445" r="19050" b="16510"/>
            <wp:wrapNone/>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anchor>
        </w:drawing>
      </w:r>
    </w:p>
    <w:p w14:paraId="5D38F859">
      <w:pPr>
        <w:spacing w:beforeLines="0" w:afterLines="0" w:line="600" w:lineRule="exact"/>
        <w:ind w:firstLine="640"/>
        <w:jc w:val="both"/>
        <w:rPr>
          <w:rFonts w:hint="eastAsia" w:ascii="仿宋" w:hAnsi="仿宋" w:eastAsia="仿宋"/>
          <w:color w:val="auto"/>
          <w:kern w:val="2"/>
          <w:sz w:val="32"/>
          <w:szCs w:val="24"/>
          <w:lang w:val="en-US"/>
        </w:rPr>
      </w:pPr>
    </w:p>
    <w:p w14:paraId="703F1D6E">
      <w:pPr>
        <w:spacing w:beforeLines="0" w:afterLines="0" w:line="600" w:lineRule="exact"/>
        <w:ind w:firstLine="640"/>
        <w:jc w:val="both"/>
        <w:rPr>
          <w:rFonts w:hint="eastAsia" w:ascii="仿宋" w:hAnsi="仿宋" w:eastAsia="仿宋"/>
          <w:color w:val="auto"/>
          <w:kern w:val="2"/>
          <w:sz w:val="32"/>
          <w:szCs w:val="24"/>
          <w:lang w:val="en-US"/>
        </w:rPr>
      </w:pPr>
    </w:p>
    <w:p w14:paraId="19ACF043">
      <w:pPr>
        <w:spacing w:beforeLines="0" w:afterLines="0" w:line="600" w:lineRule="exact"/>
        <w:ind w:firstLine="640"/>
        <w:jc w:val="both"/>
        <w:rPr>
          <w:rFonts w:hint="eastAsia" w:ascii="仿宋" w:hAnsi="仿宋" w:eastAsia="仿宋"/>
          <w:color w:val="auto"/>
          <w:kern w:val="2"/>
          <w:sz w:val="32"/>
          <w:szCs w:val="24"/>
          <w:lang w:val="en-US"/>
        </w:rPr>
      </w:pPr>
    </w:p>
    <w:p w14:paraId="6AB77C9E">
      <w:pPr>
        <w:spacing w:beforeLines="0" w:afterLines="0" w:line="600" w:lineRule="exact"/>
        <w:ind w:firstLine="640"/>
        <w:jc w:val="both"/>
        <w:rPr>
          <w:rFonts w:hint="eastAsia" w:ascii="仿宋" w:hAnsi="仿宋" w:eastAsia="仿宋"/>
          <w:color w:val="auto"/>
          <w:kern w:val="2"/>
          <w:sz w:val="32"/>
          <w:szCs w:val="24"/>
          <w:lang w:val="en-US"/>
        </w:rPr>
      </w:pPr>
    </w:p>
    <w:p w14:paraId="13F58134">
      <w:pPr>
        <w:keepNext/>
        <w:keepLines/>
        <w:pageBreakBefore w:val="0"/>
        <w:widowControl w:val="0"/>
        <w:kinsoku/>
        <w:wordWrap/>
        <w:overflowPunct/>
        <w:topLinePunct w:val="0"/>
        <w:autoSpaceDE w:val="0"/>
        <w:autoSpaceDN w:val="0"/>
        <w:bidi w:val="0"/>
        <w:adjustRightInd w:val="0"/>
        <w:snapToGrid/>
        <w:spacing w:beforeLines="0" w:afterLines="0" w:line="576" w:lineRule="exact"/>
        <w:ind w:firstLine="592" w:firstLineChars="200"/>
        <w:jc w:val="both"/>
        <w:textAlignment w:val="auto"/>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四、财</w:t>
      </w:r>
      <w:r>
        <w:rPr>
          <w:rFonts w:hint="eastAsia" w:ascii="黑体" w:hAnsi="黑体" w:eastAsia="黑体"/>
          <w:color w:val="auto"/>
          <w:kern w:val="2"/>
          <w:sz w:val="32"/>
          <w:szCs w:val="24"/>
          <w:lang w:val="zh-CN"/>
        </w:rPr>
        <w:t>政拨款收入支出决算总体情况说明</w:t>
      </w:r>
    </w:p>
    <w:p w14:paraId="5068F3D7">
      <w:pPr>
        <w:spacing w:beforeLines="0" w:afterLines="0" w:line="576" w:lineRule="exact"/>
        <w:ind w:firstLine="640"/>
        <w:jc w:val="both"/>
        <w:rPr>
          <w:rFonts w:hint="eastAsia" w:ascii="仿宋" w:hAnsi="仿宋" w:eastAsia="仿宋" w:cs="仿宋"/>
          <w:color w:val="auto"/>
          <w:kern w:val="2"/>
          <w:sz w:val="32"/>
          <w:szCs w:val="24"/>
          <w:highlight w:val="none"/>
          <w:lang w:val="en-US"/>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年财政拨款收、支总计</w:t>
      </w:r>
      <w:r>
        <w:rPr>
          <w:rFonts w:hint="eastAsia" w:ascii="仿宋" w:hAnsi="仿宋" w:eastAsia="仿宋" w:cs="仿宋"/>
          <w:color w:val="000000"/>
          <w:kern w:val="2"/>
          <w:sz w:val="32"/>
          <w:szCs w:val="24"/>
          <w:lang w:val="en-US" w:eastAsia="zh-CN"/>
        </w:rPr>
        <w:t>339.07</w:t>
      </w:r>
      <w:r>
        <w:rPr>
          <w:rFonts w:hint="eastAsia" w:ascii="仿宋" w:hAnsi="仿宋" w:eastAsia="仿宋" w:cs="仿宋"/>
          <w:color w:val="000000"/>
          <w:kern w:val="2"/>
          <w:sz w:val="32"/>
          <w:szCs w:val="24"/>
          <w:lang w:val="zh-CN"/>
        </w:rPr>
        <w:t>万元。与202</w:t>
      </w:r>
      <w:r>
        <w:rPr>
          <w:rFonts w:hint="eastAsia" w:ascii="仿宋" w:hAnsi="仿宋" w:eastAsia="仿宋" w:cs="仿宋"/>
          <w:color w:val="000000"/>
          <w:kern w:val="2"/>
          <w:sz w:val="32"/>
          <w:szCs w:val="24"/>
          <w:lang w:val="en-US" w:eastAsia="zh-CN"/>
        </w:rPr>
        <w:t>3</w:t>
      </w:r>
      <w:r>
        <w:rPr>
          <w:rFonts w:hint="eastAsia" w:ascii="仿宋" w:hAnsi="仿宋" w:eastAsia="仿宋" w:cs="仿宋"/>
          <w:color w:val="000000"/>
          <w:kern w:val="2"/>
          <w:sz w:val="32"/>
          <w:szCs w:val="24"/>
          <w:lang w:val="zh-CN"/>
        </w:rPr>
        <w:t>年相比，财政拨款收、支总计各</w:t>
      </w:r>
      <w:r>
        <w:rPr>
          <w:rFonts w:hint="eastAsia" w:ascii="仿宋" w:hAnsi="仿宋" w:eastAsia="仿宋" w:cs="仿宋"/>
          <w:color w:val="000000"/>
          <w:kern w:val="2"/>
          <w:sz w:val="32"/>
          <w:szCs w:val="24"/>
          <w:lang w:val="en-US" w:eastAsia="zh-CN"/>
        </w:rPr>
        <w:t>减少44.32</w:t>
      </w:r>
      <w:r>
        <w:rPr>
          <w:rFonts w:hint="eastAsia" w:ascii="仿宋" w:hAnsi="仿宋" w:eastAsia="仿宋" w:cs="仿宋"/>
          <w:color w:val="000000"/>
          <w:kern w:val="2"/>
          <w:sz w:val="32"/>
          <w:szCs w:val="24"/>
          <w:lang w:val="zh-CN"/>
        </w:rPr>
        <w:t>万元，</w:t>
      </w:r>
      <w:r>
        <w:rPr>
          <w:rFonts w:hint="eastAsia" w:ascii="仿宋" w:hAnsi="仿宋" w:eastAsia="仿宋" w:cs="仿宋"/>
          <w:color w:val="000000"/>
          <w:kern w:val="2"/>
          <w:sz w:val="32"/>
          <w:szCs w:val="24"/>
          <w:lang w:val="en-US" w:eastAsia="zh-CN"/>
        </w:rPr>
        <w:t>减少13</w:t>
      </w:r>
      <w:r>
        <w:rPr>
          <w:rFonts w:hint="eastAsia" w:ascii="仿宋" w:hAnsi="仿宋" w:eastAsia="仿宋" w:cs="仿宋"/>
          <w:color w:val="000000"/>
          <w:kern w:val="2"/>
          <w:sz w:val="32"/>
          <w:szCs w:val="24"/>
          <w:highlight w:val="none"/>
          <w:lang w:val="zh-CN"/>
        </w:rPr>
        <w:t>%。主要变动原因是项目支出</w:t>
      </w:r>
      <w:r>
        <w:rPr>
          <w:rFonts w:hint="eastAsia" w:ascii="仿宋" w:hAnsi="仿宋" w:eastAsia="仿宋" w:cs="仿宋"/>
          <w:color w:val="000000"/>
          <w:kern w:val="2"/>
          <w:sz w:val="32"/>
          <w:szCs w:val="24"/>
          <w:highlight w:val="none"/>
          <w:lang w:val="en-US" w:eastAsia="zh-CN"/>
        </w:rPr>
        <w:t>减少</w:t>
      </w:r>
      <w:r>
        <w:rPr>
          <w:rFonts w:hint="eastAsia" w:ascii="仿宋" w:hAnsi="仿宋" w:eastAsia="仿宋" w:cs="仿宋"/>
          <w:color w:val="000000"/>
          <w:kern w:val="2"/>
          <w:sz w:val="32"/>
          <w:szCs w:val="24"/>
          <w:highlight w:val="none"/>
          <w:lang w:val="zh-CN"/>
        </w:rPr>
        <w:t>。</w:t>
      </w:r>
    </w:p>
    <w:p w14:paraId="69EC4E17">
      <w:pPr>
        <w:spacing w:beforeLines="0" w:afterLines="0" w:line="600" w:lineRule="exact"/>
        <w:ind w:firstLine="640"/>
        <w:jc w:val="both"/>
        <w:rPr>
          <w:rFonts w:hint="eastAsia" w:ascii="仿宋" w:hAnsi="仿宋" w:eastAsia="仿宋" w:cs="仿宋"/>
          <w:color w:val="auto"/>
          <w:kern w:val="2"/>
          <w:sz w:val="32"/>
          <w:szCs w:val="24"/>
          <w:lang w:val="en-US"/>
        </w:rPr>
      </w:pPr>
    </w:p>
    <w:p w14:paraId="3AB3EA59">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_GB2312" w:eastAsia="仿宋_GB2312"/>
          <w:color w:val="000000"/>
          <w:sz w:val="32"/>
          <w:szCs w:val="32"/>
        </w:rPr>
        <w:drawing>
          <wp:anchor distT="0" distB="0" distL="114300" distR="114300" simplePos="0" relativeHeight="251662336" behindDoc="0" locked="0" layoutInCell="1" allowOverlap="1">
            <wp:simplePos x="0" y="0"/>
            <wp:positionH relativeFrom="column">
              <wp:posOffset>426085</wp:posOffset>
            </wp:positionH>
            <wp:positionV relativeFrom="paragraph">
              <wp:posOffset>25400</wp:posOffset>
            </wp:positionV>
            <wp:extent cx="4735195" cy="2014220"/>
            <wp:effectExtent l="4445" t="4445" r="22860" b="19685"/>
            <wp:wrapNone/>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anchor>
        </w:drawing>
      </w:r>
    </w:p>
    <w:p w14:paraId="6A516238">
      <w:pPr>
        <w:spacing w:beforeLines="0" w:afterLines="0" w:line="600" w:lineRule="exact"/>
        <w:ind w:firstLine="640"/>
        <w:jc w:val="both"/>
        <w:rPr>
          <w:rFonts w:hint="eastAsia" w:ascii="仿宋" w:hAnsi="仿宋" w:eastAsia="仿宋"/>
          <w:color w:val="auto"/>
          <w:kern w:val="2"/>
          <w:sz w:val="32"/>
          <w:szCs w:val="24"/>
          <w:lang w:val="en-US"/>
        </w:rPr>
      </w:pPr>
    </w:p>
    <w:p w14:paraId="1A17B1F9">
      <w:pPr>
        <w:spacing w:beforeLines="0" w:afterLines="0" w:line="600" w:lineRule="exact"/>
        <w:ind w:firstLine="640"/>
        <w:jc w:val="both"/>
        <w:rPr>
          <w:rFonts w:hint="eastAsia" w:ascii="仿宋" w:hAnsi="仿宋" w:eastAsia="仿宋"/>
          <w:color w:val="auto"/>
          <w:kern w:val="2"/>
          <w:sz w:val="32"/>
          <w:szCs w:val="24"/>
          <w:lang w:val="en-US"/>
        </w:rPr>
      </w:pPr>
    </w:p>
    <w:p w14:paraId="60ABD449">
      <w:pPr>
        <w:spacing w:beforeLines="0" w:afterLines="0" w:line="600" w:lineRule="exact"/>
        <w:ind w:firstLine="640"/>
        <w:jc w:val="both"/>
        <w:rPr>
          <w:rFonts w:hint="eastAsia" w:ascii="仿宋" w:hAnsi="仿宋" w:eastAsia="仿宋"/>
          <w:color w:val="auto"/>
          <w:kern w:val="2"/>
          <w:sz w:val="32"/>
          <w:szCs w:val="24"/>
          <w:lang w:val="en-US"/>
        </w:rPr>
      </w:pPr>
    </w:p>
    <w:p w14:paraId="72B226AD">
      <w:pPr>
        <w:keepNext/>
        <w:keepLines/>
        <w:spacing w:beforeLines="0" w:afterLines="0" w:line="576" w:lineRule="exact"/>
        <w:jc w:val="both"/>
        <w:rPr>
          <w:rFonts w:hint="eastAsia" w:ascii="黑体" w:hAnsi="黑体" w:eastAsia="黑体"/>
          <w:color w:val="auto"/>
          <w:kern w:val="2"/>
          <w:sz w:val="32"/>
          <w:szCs w:val="24"/>
          <w:lang w:val="zh-CN"/>
        </w:rPr>
      </w:pPr>
      <w:r>
        <w:rPr>
          <w:rFonts w:hint="eastAsia" w:ascii="黑体" w:hAnsi="黑体" w:eastAsia="黑体"/>
          <w:color w:val="000000"/>
          <w:kern w:val="2"/>
          <w:sz w:val="32"/>
          <w:szCs w:val="24"/>
          <w:lang w:val="zh-CN"/>
        </w:rPr>
        <w:t>五、</w:t>
      </w:r>
      <w:r>
        <w:rPr>
          <w:rFonts w:hint="eastAsia" w:ascii="黑体" w:hAnsi="黑体" w:eastAsia="黑体"/>
          <w:b/>
          <w:color w:val="000000"/>
          <w:kern w:val="2"/>
          <w:sz w:val="32"/>
          <w:szCs w:val="24"/>
          <w:lang w:val="zh-CN"/>
        </w:rPr>
        <w:t>一</w:t>
      </w:r>
      <w:r>
        <w:rPr>
          <w:rFonts w:hint="eastAsia" w:ascii="黑体" w:hAnsi="黑体" w:eastAsia="黑体"/>
          <w:color w:val="auto"/>
          <w:kern w:val="2"/>
          <w:sz w:val="32"/>
          <w:szCs w:val="24"/>
          <w:lang w:val="zh-CN"/>
        </w:rPr>
        <w:t>般公共预算财政拨款支出决算情况说明</w:t>
      </w:r>
    </w:p>
    <w:p w14:paraId="2C0D16BC">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highlight w:val="none"/>
          <w:lang w:val="zh-CN"/>
        </w:rPr>
        <w:t>（一）一般公</w:t>
      </w:r>
      <w:r>
        <w:rPr>
          <w:rFonts w:hint="eastAsia" w:ascii="楷体" w:hAnsi="楷体" w:eastAsia="楷体" w:cs="楷体"/>
          <w:b w:val="0"/>
          <w:bCs/>
          <w:color w:val="000000"/>
          <w:kern w:val="2"/>
          <w:sz w:val="32"/>
          <w:szCs w:val="24"/>
          <w:lang w:val="zh-CN"/>
        </w:rPr>
        <w:t>共预算财政拨款支出决算总体情况</w:t>
      </w:r>
    </w:p>
    <w:p w14:paraId="5D115CB1">
      <w:pPr>
        <w:keepNext/>
        <w:keepLines/>
        <w:spacing w:beforeLines="0" w:afterLines="0" w:line="576" w:lineRule="exact"/>
        <w:ind w:firstLine="640"/>
        <w:jc w:val="both"/>
        <w:rPr>
          <w:rFonts w:hint="eastAsia" w:ascii="仿宋_GB2312" w:hAnsi="仿宋_GB2312" w:eastAsia="仿宋_GB2312"/>
          <w:color w:val="000000"/>
          <w:kern w:val="2"/>
          <w:sz w:val="32"/>
          <w:szCs w:val="24"/>
          <w:lang w:val="zh-CN"/>
        </w:rPr>
      </w:pPr>
      <w:r>
        <w:rPr>
          <w:rFonts w:hint="eastAsia" w:ascii="仿宋_GB2312" w:hAnsi="仿宋_GB2312" w:eastAsia="仿宋_GB2312"/>
          <w:color w:val="000000"/>
          <w:kern w:val="2"/>
          <w:sz w:val="32"/>
          <w:szCs w:val="24"/>
          <w:lang w:val="zh-CN"/>
        </w:rPr>
        <w:t>202</w:t>
      </w:r>
      <w:r>
        <w:rPr>
          <w:rFonts w:hint="eastAsia" w:ascii="仿宋_GB2312" w:hAnsi="仿宋_GB2312" w:eastAsia="仿宋_GB2312"/>
          <w:color w:val="000000"/>
          <w:kern w:val="2"/>
          <w:sz w:val="32"/>
          <w:szCs w:val="24"/>
          <w:lang w:val="en-US" w:eastAsia="zh-CN"/>
        </w:rPr>
        <w:t>4</w:t>
      </w:r>
      <w:r>
        <w:rPr>
          <w:rFonts w:hint="eastAsia" w:ascii="仿宋_GB2312" w:hAnsi="仿宋_GB2312" w:eastAsia="仿宋_GB2312"/>
          <w:color w:val="000000"/>
          <w:kern w:val="2"/>
          <w:sz w:val="32"/>
          <w:szCs w:val="24"/>
          <w:lang w:val="zh-CN"/>
        </w:rPr>
        <w:t>年一般公共预算财政拨款支出</w:t>
      </w:r>
      <w:r>
        <w:rPr>
          <w:rFonts w:hint="eastAsia" w:ascii="仿宋_GB2312" w:hAnsi="仿宋_GB2312" w:eastAsia="仿宋_GB2312"/>
          <w:color w:val="000000"/>
          <w:kern w:val="2"/>
          <w:sz w:val="32"/>
          <w:szCs w:val="24"/>
          <w:lang w:val="en-US" w:eastAsia="zh-CN"/>
        </w:rPr>
        <w:t>331.67</w:t>
      </w:r>
      <w:r>
        <w:rPr>
          <w:rFonts w:hint="eastAsia" w:ascii="仿宋_GB2312" w:hAnsi="仿宋_GB2312" w:eastAsia="仿宋_GB2312"/>
          <w:color w:val="000000"/>
          <w:kern w:val="2"/>
          <w:sz w:val="32"/>
          <w:szCs w:val="24"/>
          <w:lang w:val="zh-CN"/>
        </w:rPr>
        <w:t>万元，占本年支出合计</w:t>
      </w:r>
      <w:r>
        <w:rPr>
          <w:rFonts w:hint="eastAsia" w:ascii="仿宋_GB2312" w:hAnsi="仿宋_GB2312" w:eastAsia="仿宋_GB2312"/>
          <w:color w:val="000000"/>
          <w:kern w:val="2"/>
          <w:sz w:val="32"/>
          <w:szCs w:val="24"/>
          <w:highlight w:val="none"/>
          <w:lang w:val="zh-CN"/>
        </w:rPr>
        <w:t>的97.</w:t>
      </w:r>
      <w:r>
        <w:rPr>
          <w:rFonts w:hint="eastAsia" w:ascii="仿宋_GB2312" w:hAnsi="仿宋_GB2312" w:eastAsia="仿宋_GB2312"/>
          <w:color w:val="000000"/>
          <w:kern w:val="2"/>
          <w:sz w:val="32"/>
          <w:szCs w:val="24"/>
          <w:highlight w:val="none"/>
          <w:lang w:val="en-US" w:eastAsia="zh-CN"/>
        </w:rPr>
        <w:t>8</w:t>
      </w:r>
      <w:r>
        <w:rPr>
          <w:rFonts w:hint="eastAsia" w:ascii="仿宋_GB2312" w:hAnsi="仿宋_GB2312" w:eastAsia="仿宋_GB2312"/>
          <w:color w:val="000000"/>
          <w:kern w:val="2"/>
          <w:sz w:val="32"/>
          <w:szCs w:val="24"/>
          <w:highlight w:val="none"/>
          <w:lang w:val="zh-CN"/>
        </w:rPr>
        <w:t>%。与202</w:t>
      </w:r>
      <w:r>
        <w:rPr>
          <w:rFonts w:hint="eastAsia" w:ascii="仿宋_GB2312" w:hAnsi="仿宋_GB2312" w:eastAsia="仿宋_GB2312"/>
          <w:color w:val="000000"/>
          <w:kern w:val="2"/>
          <w:sz w:val="32"/>
          <w:szCs w:val="24"/>
          <w:highlight w:val="none"/>
          <w:lang w:val="en-US" w:eastAsia="zh-CN"/>
        </w:rPr>
        <w:t>3</w:t>
      </w:r>
      <w:r>
        <w:rPr>
          <w:rFonts w:hint="eastAsia" w:ascii="仿宋_GB2312" w:hAnsi="仿宋_GB2312" w:eastAsia="仿宋_GB2312"/>
          <w:color w:val="000000"/>
          <w:kern w:val="2"/>
          <w:sz w:val="32"/>
          <w:szCs w:val="24"/>
          <w:highlight w:val="none"/>
          <w:lang w:val="zh-CN"/>
        </w:rPr>
        <w:t>年相比，一般公共预算财政拨款支出</w:t>
      </w:r>
      <w:r>
        <w:rPr>
          <w:rFonts w:hint="eastAsia" w:ascii="仿宋_GB2312" w:hAnsi="仿宋_GB2312" w:eastAsia="仿宋_GB2312"/>
          <w:color w:val="000000"/>
          <w:kern w:val="2"/>
          <w:sz w:val="32"/>
          <w:szCs w:val="24"/>
          <w:highlight w:val="none"/>
          <w:lang w:val="en-US" w:eastAsia="zh-CN"/>
        </w:rPr>
        <w:t>减少16.34</w:t>
      </w:r>
      <w:r>
        <w:rPr>
          <w:rFonts w:hint="eastAsia" w:ascii="仿宋_GB2312" w:hAnsi="仿宋_GB2312" w:eastAsia="仿宋_GB2312"/>
          <w:color w:val="000000"/>
          <w:kern w:val="2"/>
          <w:sz w:val="32"/>
          <w:szCs w:val="24"/>
          <w:highlight w:val="none"/>
          <w:lang w:val="zh-CN"/>
        </w:rPr>
        <w:t>万元，</w:t>
      </w:r>
      <w:r>
        <w:rPr>
          <w:rFonts w:hint="eastAsia" w:ascii="仿宋_GB2312" w:hAnsi="仿宋_GB2312" w:eastAsia="仿宋_GB2312"/>
          <w:color w:val="000000"/>
          <w:kern w:val="2"/>
          <w:sz w:val="32"/>
          <w:szCs w:val="24"/>
          <w:highlight w:val="none"/>
          <w:lang w:val="en-US" w:eastAsia="zh-CN"/>
        </w:rPr>
        <w:t>减少4.9</w:t>
      </w:r>
      <w:r>
        <w:rPr>
          <w:rFonts w:hint="eastAsia" w:ascii="仿宋_GB2312" w:hAnsi="仿宋_GB2312" w:eastAsia="仿宋_GB2312"/>
          <w:color w:val="000000"/>
          <w:kern w:val="2"/>
          <w:sz w:val="32"/>
          <w:szCs w:val="24"/>
          <w:highlight w:val="none"/>
          <w:lang w:val="zh-CN"/>
        </w:rPr>
        <w:t>%。主</w:t>
      </w:r>
      <w:r>
        <w:rPr>
          <w:rFonts w:hint="eastAsia" w:ascii="仿宋_GB2312" w:hAnsi="仿宋_GB2312" w:eastAsia="仿宋_GB2312"/>
          <w:color w:val="000000"/>
          <w:kern w:val="2"/>
          <w:sz w:val="32"/>
          <w:szCs w:val="24"/>
          <w:lang w:val="zh-CN"/>
        </w:rPr>
        <w:t>要变动原因是</w:t>
      </w:r>
      <w:r>
        <w:rPr>
          <w:rFonts w:hint="eastAsia" w:ascii="仿宋" w:hAnsi="仿宋" w:eastAsia="仿宋" w:cs="仿宋"/>
          <w:color w:val="000000"/>
          <w:kern w:val="2"/>
          <w:sz w:val="32"/>
          <w:szCs w:val="24"/>
          <w:highlight w:val="none"/>
          <w:lang w:val="zh-CN"/>
        </w:rPr>
        <w:t>项目支出</w:t>
      </w:r>
      <w:r>
        <w:rPr>
          <w:rFonts w:hint="eastAsia" w:ascii="仿宋_GB2312" w:hAnsi="仿宋_GB2312" w:eastAsia="仿宋_GB2312"/>
          <w:color w:val="000000"/>
          <w:kern w:val="2"/>
          <w:sz w:val="32"/>
          <w:szCs w:val="24"/>
          <w:lang w:val="en-US" w:eastAsia="zh-CN"/>
        </w:rPr>
        <w:t>减少</w:t>
      </w:r>
      <w:r>
        <w:rPr>
          <w:rFonts w:hint="eastAsia" w:ascii="仿宋_GB2312" w:hAnsi="仿宋_GB2312" w:eastAsia="仿宋_GB2312"/>
          <w:color w:val="000000"/>
          <w:kern w:val="2"/>
          <w:sz w:val="32"/>
          <w:szCs w:val="24"/>
          <w:lang w:val="zh-CN"/>
        </w:rPr>
        <w:t>。</w:t>
      </w:r>
    </w:p>
    <w:p w14:paraId="71FD7B55">
      <w:pPr>
        <w:spacing w:beforeLines="0" w:afterLines="0" w:line="600" w:lineRule="exact"/>
        <w:ind w:firstLine="640"/>
        <w:jc w:val="both"/>
        <w:rPr>
          <w:rFonts w:hint="eastAsia" w:ascii="仿宋" w:hAnsi="仿宋" w:eastAsia="仿宋"/>
          <w:color w:val="auto"/>
          <w:kern w:val="2"/>
          <w:sz w:val="32"/>
          <w:szCs w:val="24"/>
          <w:lang w:val="en-US"/>
        </w:rPr>
      </w:pPr>
      <w:r>
        <w:rPr>
          <w:rFonts w:hint="eastAsia" w:ascii="仿宋" w:hAnsi="仿宋" w:eastAsia="仿宋"/>
          <w:color w:val="000000" w:themeColor="text1"/>
          <w:sz w:val="32"/>
          <w:szCs w:val="32"/>
          <w14:textFill>
            <w14:solidFill>
              <w14:schemeClr w14:val="tx1"/>
            </w14:solidFill>
          </w14:textFill>
        </w:rPr>
        <w:drawing>
          <wp:anchor distT="0" distB="0" distL="114300" distR="114300" simplePos="0" relativeHeight="251663360" behindDoc="0" locked="0" layoutInCell="1" allowOverlap="1">
            <wp:simplePos x="0" y="0"/>
            <wp:positionH relativeFrom="column">
              <wp:posOffset>303530</wp:posOffset>
            </wp:positionH>
            <wp:positionV relativeFrom="paragraph">
              <wp:posOffset>339725</wp:posOffset>
            </wp:positionV>
            <wp:extent cx="4485640" cy="1964690"/>
            <wp:effectExtent l="4445" t="4445" r="5715" b="12065"/>
            <wp:wrapNone/>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anchor>
        </w:drawing>
      </w:r>
    </w:p>
    <w:p w14:paraId="25B17EC8">
      <w:pPr>
        <w:spacing w:beforeLines="0" w:afterLines="0" w:line="600" w:lineRule="exact"/>
        <w:ind w:firstLine="640"/>
        <w:jc w:val="both"/>
        <w:rPr>
          <w:rFonts w:hint="eastAsia" w:ascii="仿宋" w:hAnsi="仿宋" w:eastAsia="仿宋"/>
          <w:color w:val="auto"/>
          <w:kern w:val="2"/>
          <w:sz w:val="32"/>
          <w:szCs w:val="24"/>
          <w:lang w:val="en-US"/>
        </w:rPr>
      </w:pPr>
    </w:p>
    <w:p w14:paraId="521FB026">
      <w:pPr>
        <w:spacing w:beforeLines="0" w:afterLines="0" w:line="600" w:lineRule="exact"/>
        <w:ind w:firstLine="640"/>
        <w:jc w:val="both"/>
        <w:rPr>
          <w:rFonts w:hint="eastAsia" w:ascii="仿宋" w:hAnsi="仿宋" w:eastAsia="仿宋"/>
          <w:color w:val="auto"/>
          <w:kern w:val="2"/>
          <w:sz w:val="32"/>
          <w:szCs w:val="24"/>
          <w:lang w:val="en-US"/>
        </w:rPr>
      </w:pPr>
    </w:p>
    <w:p w14:paraId="2DAF069C">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lang w:val="zh-CN"/>
        </w:rPr>
      </w:pPr>
    </w:p>
    <w:p w14:paraId="59F09D31">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lang w:val="zh-CN"/>
        </w:rPr>
      </w:pPr>
    </w:p>
    <w:p w14:paraId="347D17F6">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lang w:val="zh-CN"/>
        </w:rPr>
      </w:pPr>
      <w:r>
        <w:rPr>
          <w:rFonts w:hint="eastAsia" w:ascii="仿宋_GB2312" w:hAnsi="仿宋_GB2312" w:eastAsia="仿宋_GB2312"/>
          <w:b/>
          <w:color w:val="000000"/>
          <w:kern w:val="2"/>
          <w:sz w:val="32"/>
          <w:szCs w:val="24"/>
          <w:lang w:val="zh-CN"/>
        </w:rPr>
        <w:t>（二）一般公共预算财政拨款支出决算结构情况。</w:t>
      </w:r>
    </w:p>
    <w:p w14:paraId="2311DC94">
      <w:pPr>
        <w:keepNext/>
        <w:keepLines/>
        <w:spacing w:beforeLines="0" w:afterLines="0" w:line="576" w:lineRule="exact"/>
        <w:ind w:firstLine="592" w:firstLineChars="200"/>
        <w:jc w:val="both"/>
        <w:rPr>
          <w:rFonts w:hint="eastAsia" w:ascii="仿宋_GB2312" w:hAnsi="仿宋_GB2312" w:eastAsia="仿宋_GB2312"/>
          <w:b/>
          <w:color w:val="000000"/>
          <w:kern w:val="2"/>
          <w:sz w:val="32"/>
          <w:szCs w:val="24"/>
          <w:highlight w:val="none"/>
          <w:lang w:val="zh-CN"/>
        </w:rPr>
      </w:pPr>
    </w:p>
    <w:p w14:paraId="742FF304">
      <w:pPr>
        <w:numPr>
          <w:ilvl w:val="0"/>
          <w:numId w:val="1"/>
        </w:numPr>
        <w:spacing w:line="600" w:lineRule="exact"/>
        <w:ind w:firstLine="592" w:firstLineChars="200"/>
        <w:outlineLvl w:val="2"/>
        <w:rPr>
          <w:rFonts w:hint="eastAsia" w:ascii="楷体" w:hAnsi="楷体" w:eastAsia="楷体" w:cs="楷体"/>
          <w:b w:val="0"/>
          <w:bCs/>
          <w:color w:val="auto"/>
          <w:sz w:val="32"/>
          <w:szCs w:val="32"/>
          <w:highlight w:val="none"/>
        </w:rPr>
      </w:pPr>
      <w:bookmarkStart w:id="8" w:name="_Toc15377211"/>
      <w:r>
        <w:rPr>
          <w:rFonts w:hint="eastAsia" w:ascii="楷体" w:hAnsi="楷体" w:eastAsia="楷体" w:cs="楷体"/>
          <w:b w:val="0"/>
          <w:bCs/>
          <w:color w:val="auto"/>
          <w:sz w:val="32"/>
          <w:szCs w:val="32"/>
          <w:highlight w:val="none"/>
        </w:rPr>
        <w:t>一般公共预算财政拨款支出决算结构情况</w:t>
      </w:r>
      <w:bookmarkEnd w:id="8"/>
    </w:p>
    <w:p w14:paraId="7E27FD47">
      <w:pPr>
        <w:keepNext/>
        <w:keepLines/>
        <w:spacing w:beforeLines="0" w:afterLines="0" w:line="576" w:lineRule="exact"/>
        <w:ind w:firstLine="592" w:firstLineChars="200"/>
        <w:jc w:val="both"/>
        <w:rPr>
          <w:rFonts w:hint="eastAsia" w:ascii="仿宋_GB2312" w:hAnsi="仿宋_GB2312" w:eastAsia="仿宋_GB2312"/>
          <w:color w:val="000000"/>
          <w:kern w:val="2"/>
          <w:sz w:val="32"/>
          <w:szCs w:val="24"/>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年一般公共预算财政拨款支出</w:t>
      </w:r>
      <w:r>
        <w:rPr>
          <w:rFonts w:hint="eastAsia" w:ascii="仿宋" w:hAnsi="仿宋" w:eastAsia="仿宋" w:cs="仿宋"/>
          <w:color w:val="000000"/>
          <w:kern w:val="2"/>
          <w:sz w:val="32"/>
          <w:szCs w:val="24"/>
          <w:lang w:val="en-US" w:eastAsia="zh-CN"/>
        </w:rPr>
        <w:t>331.67</w:t>
      </w:r>
      <w:r>
        <w:rPr>
          <w:rFonts w:hint="eastAsia" w:ascii="仿宋" w:hAnsi="仿宋" w:eastAsia="仿宋" w:cs="仿宋"/>
          <w:color w:val="000000"/>
          <w:kern w:val="2"/>
          <w:sz w:val="32"/>
          <w:szCs w:val="24"/>
          <w:lang w:val="zh-CN"/>
        </w:rPr>
        <w:t>万元，主要用于以下方面： 教育支出</w:t>
      </w:r>
      <w:r>
        <w:rPr>
          <w:rFonts w:hint="eastAsia" w:ascii="仿宋" w:hAnsi="仿宋" w:eastAsia="仿宋" w:cs="仿宋"/>
          <w:color w:val="000000"/>
          <w:kern w:val="2"/>
          <w:sz w:val="32"/>
          <w:szCs w:val="24"/>
          <w:lang w:val="en-US" w:eastAsia="zh-CN"/>
        </w:rPr>
        <w:t>286.43</w:t>
      </w:r>
      <w:r>
        <w:rPr>
          <w:rFonts w:hint="eastAsia" w:ascii="仿宋" w:hAnsi="仿宋" w:eastAsia="仿宋" w:cs="仿宋"/>
          <w:color w:val="000000"/>
          <w:kern w:val="2"/>
          <w:sz w:val="32"/>
          <w:szCs w:val="24"/>
          <w:lang w:val="zh-CN"/>
        </w:rPr>
        <w:t>万元，占</w:t>
      </w:r>
      <w:r>
        <w:rPr>
          <w:rFonts w:hint="eastAsia" w:ascii="仿宋" w:hAnsi="仿宋" w:eastAsia="仿宋" w:cs="仿宋"/>
          <w:color w:val="000000"/>
          <w:kern w:val="2"/>
          <w:sz w:val="32"/>
          <w:szCs w:val="24"/>
          <w:lang w:val="en-US" w:eastAsia="zh-CN"/>
        </w:rPr>
        <w:t>86.35</w:t>
      </w:r>
      <w:r>
        <w:rPr>
          <w:rFonts w:hint="eastAsia" w:ascii="仿宋" w:hAnsi="仿宋" w:eastAsia="仿宋" w:cs="仿宋"/>
          <w:color w:val="000000"/>
          <w:kern w:val="2"/>
          <w:sz w:val="32"/>
          <w:szCs w:val="24"/>
          <w:lang w:val="zh-CN"/>
        </w:rPr>
        <w:t>%；社会保障和就业支出</w:t>
      </w:r>
      <w:r>
        <w:rPr>
          <w:rFonts w:hint="eastAsia" w:ascii="仿宋" w:hAnsi="仿宋" w:eastAsia="仿宋" w:cs="仿宋"/>
          <w:color w:val="000000"/>
          <w:kern w:val="2"/>
          <w:sz w:val="32"/>
          <w:szCs w:val="24"/>
          <w:lang w:val="en-US" w:eastAsia="zh-CN"/>
        </w:rPr>
        <w:t>24.37</w:t>
      </w:r>
      <w:r>
        <w:rPr>
          <w:rFonts w:hint="eastAsia" w:ascii="仿宋" w:hAnsi="仿宋" w:eastAsia="仿宋" w:cs="仿宋"/>
          <w:color w:val="000000"/>
          <w:kern w:val="2"/>
          <w:sz w:val="32"/>
          <w:szCs w:val="24"/>
          <w:lang w:val="zh-CN"/>
        </w:rPr>
        <w:t>万元，占</w:t>
      </w:r>
      <w:r>
        <w:rPr>
          <w:rFonts w:hint="eastAsia" w:ascii="仿宋" w:hAnsi="仿宋" w:eastAsia="仿宋" w:cs="仿宋"/>
          <w:color w:val="000000"/>
          <w:kern w:val="2"/>
          <w:sz w:val="32"/>
          <w:szCs w:val="24"/>
          <w:lang w:val="en-US" w:eastAsia="zh-CN"/>
        </w:rPr>
        <w:t>7.34</w:t>
      </w:r>
      <w:r>
        <w:rPr>
          <w:rFonts w:hint="eastAsia" w:ascii="仿宋" w:hAnsi="仿宋" w:eastAsia="仿宋" w:cs="仿宋"/>
          <w:color w:val="000000"/>
          <w:kern w:val="2"/>
          <w:sz w:val="32"/>
          <w:szCs w:val="24"/>
          <w:lang w:val="zh-CN"/>
        </w:rPr>
        <w:t>%；卫生健康支</w:t>
      </w:r>
      <w:r>
        <w:rPr>
          <w:rFonts w:hint="eastAsia" w:ascii="仿宋" w:hAnsi="仿宋" w:eastAsia="仿宋" w:cs="仿宋"/>
          <w:color w:val="000000"/>
          <w:kern w:val="2"/>
          <w:sz w:val="32"/>
          <w:szCs w:val="24"/>
          <w:lang w:val="en-US" w:eastAsia="zh-CN"/>
        </w:rPr>
        <w:t>出6.06</w:t>
      </w:r>
      <w:r>
        <w:rPr>
          <w:rFonts w:hint="eastAsia" w:ascii="仿宋" w:hAnsi="仿宋" w:eastAsia="仿宋" w:cs="仿宋"/>
          <w:color w:val="000000"/>
          <w:kern w:val="2"/>
          <w:sz w:val="32"/>
          <w:szCs w:val="24"/>
          <w:lang w:val="zh-CN"/>
        </w:rPr>
        <w:t>万元，</w:t>
      </w:r>
      <w:r>
        <w:rPr>
          <w:rFonts w:hint="eastAsia" w:ascii="仿宋" w:hAnsi="仿宋" w:eastAsia="仿宋" w:cs="仿宋"/>
          <w:color w:val="000000"/>
          <w:kern w:val="2"/>
          <w:sz w:val="32"/>
          <w:szCs w:val="24"/>
          <w:highlight w:val="none"/>
          <w:lang w:val="zh-CN"/>
        </w:rPr>
        <w:t>占1.8%；</w:t>
      </w:r>
      <w:r>
        <w:rPr>
          <w:rFonts w:hint="eastAsia" w:ascii="仿宋" w:hAnsi="仿宋" w:eastAsia="仿宋" w:cs="仿宋"/>
          <w:color w:val="000000"/>
          <w:kern w:val="2"/>
          <w:sz w:val="32"/>
          <w:szCs w:val="24"/>
          <w:lang w:val="zh-CN"/>
        </w:rPr>
        <w:t>住房保障支出14</w:t>
      </w:r>
      <w:r>
        <w:rPr>
          <w:rFonts w:hint="eastAsia" w:ascii="仿宋" w:hAnsi="仿宋" w:eastAsia="仿宋" w:cs="仿宋"/>
          <w:color w:val="000000"/>
          <w:kern w:val="2"/>
          <w:sz w:val="32"/>
          <w:szCs w:val="24"/>
          <w:lang w:val="en-US" w:eastAsia="zh-CN"/>
        </w:rPr>
        <w:t>.81</w:t>
      </w:r>
      <w:r>
        <w:rPr>
          <w:rFonts w:hint="eastAsia" w:ascii="仿宋" w:hAnsi="仿宋" w:eastAsia="仿宋" w:cs="仿宋"/>
          <w:color w:val="000000"/>
          <w:kern w:val="2"/>
          <w:sz w:val="32"/>
          <w:szCs w:val="24"/>
          <w:lang w:val="zh-CN"/>
        </w:rPr>
        <w:t>万元，占4.</w:t>
      </w:r>
      <w:r>
        <w:rPr>
          <w:rFonts w:hint="eastAsia" w:ascii="仿宋" w:hAnsi="仿宋" w:eastAsia="仿宋" w:cs="仿宋"/>
          <w:color w:val="000000"/>
          <w:kern w:val="2"/>
          <w:sz w:val="32"/>
          <w:szCs w:val="24"/>
          <w:lang w:val="en-US" w:eastAsia="zh-CN"/>
        </w:rPr>
        <w:t>51</w:t>
      </w:r>
      <w:r>
        <w:rPr>
          <w:rFonts w:hint="eastAsia" w:ascii="仿宋" w:hAnsi="仿宋" w:eastAsia="仿宋" w:cs="仿宋"/>
          <w:color w:val="000000"/>
          <w:kern w:val="2"/>
          <w:sz w:val="32"/>
          <w:szCs w:val="24"/>
          <w:lang w:val="zh-CN"/>
        </w:rPr>
        <w:t>%；</w:t>
      </w:r>
    </w:p>
    <w:p w14:paraId="495FA145">
      <w:pPr>
        <w:spacing w:beforeLines="0" w:afterLines="0" w:line="600" w:lineRule="exact"/>
        <w:ind w:firstLine="640"/>
        <w:jc w:val="both"/>
        <w:rPr>
          <w:rFonts w:hint="eastAsia" w:ascii="仿宋_GB2312" w:hAnsi="仿宋_GB2312" w:eastAsia="仿宋_GB2312"/>
          <w:b/>
          <w:color w:val="000000"/>
          <w:kern w:val="2"/>
          <w:sz w:val="32"/>
          <w:szCs w:val="24"/>
          <w:lang w:val="zh-CN"/>
        </w:rPr>
      </w:pPr>
      <w:r>
        <w:rPr>
          <w:rFonts w:ascii="仿宋" w:hAnsi="仿宋" w:eastAsia="仿宋"/>
          <w:color w:val="000000"/>
          <w:sz w:val="32"/>
          <w:szCs w:val="32"/>
        </w:rPr>
        <w:drawing>
          <wp:anchor distT="0" distB="0" distL="114300" distR="114300" simplePos="0" relativeHeight="251664384" behindDoc="0" locked="0" layoutInCell="1" allowOverlap="1">
            <wp:simplePos x="0" y="0"/>
            <wp:positionH relativeFrom="column">
              <wp:posOffset>561975</wp:posOffset>
            </wp:positionH>
            <wp:positionV relativeFrom="paragraph">
              <wp:posOffset>295910</wp:posOffset>
            </wp:positionV>
            <wp:extent cx="4088765" cy="2236470"/>
            <wp:effectExtent l="4445" t="4445" r="21590" b="6985"/>
            <wp:wrapNone/>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anchor>
        </w:drawing>
      </w:r>
    </w:p>
    <w:p w14:paraId="33CFAE68">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584A4040">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4AAAD180">
      <w:pPr>
        <w:spacing w:beforeLines="0" w:afterLines="0" w:line="600" w:lineRule="exact"/>
        <w:ind w:firstLine="640"/>
        <w:jc w:val="both"/>
        <w:rPr>
          <w:rFonts w:hint="eastAsia" w:ascii="仿宋_GB2312" w:hAnsi="仿宋_GB2312" w:eastAsia="仿宋_GB2312"/>
          <w:b/>
          <w:color w:val="000000"/>
          <w:kern w:val="2"/>
          <w:sz w:val="32"/>
          <w:szCs w:val="24"/>
          <w:lang w:val="zh-CN"/>
        </w:rPr>
      </w:pPr>
    </w:p>
    <w:p w14:paraId="3409BCD8">
      <w:pPr>
        <w:rPr>
          <w:rFonts w:hint="eastAsia"/>
          <w:lang w:val="zh-CN"/>
        </w:rPr>
      </w:pPr>
    </w:p>
    <w:p w14:paraId="0632E7BA">
      <w:pPr>
        <w:numPr>
          <w:ilvl w:val="0"/>
          <w:numId w:val="1"/>
        </w:numPr>
        <w:spacing w:line="600" w:lineRule="exact"/>
        <w:ind w:firstLine="592" w:firstLineChars="200"/>
        <w:outlineLvl w:val="2"/>
        <w:rPr>
          <w:rFonts w:hint="eastAsia" w:ascii="楷体" w:hAnsi="楷体" w:eastAsia="楷体" w:cs="楷体"/>
          <w:b w:val="0"/>
          <w:bCs/>
          <w:color w:val="auto"/>
          <w:sz w:val="32"/>
          <w:szCs w:val="32"/>
          <w:highlight w:val="none"/>
          <w:lang w:val="zh-CN"/>
        </w:rPr>
      </w:pPr>
      <w:r>
        <w:rPr>
          <w:rFonts w:hint="eastAsia" w:ascii="楷体" w:hAnsi="楷体" w:eastAsia="楷体" w:cs="楷体"/>
          <w:b w:val="0"/>
          <w:bCs/>
          <w:color w:val="auto"/>
          <w:sz w:val="32"/>
          <w:szCs w:val="32"/>
          <w:highlight w:val="none"/>
          <w:lang w:val="zh-CN"/>
        </w:rPr>
        <w:t>一般公共预算财政拨款支出决算具体情况</w:t>
      </w:r>
    </w:p>
    <w:p w14:paraId="7DC2F34A">
      <w:pPr>
        <w:numPr>
          <w:ilvl w:val="0"/>
          <w:numId w:val="0"/>
        </w:numPr>
        <w:spacing w:beforeLines="0" w:afterLines="0" w:line="600" w:lineRule="exact"/>
        <w:ind w:firstLine="592" w:firstLineChars="200"/>
        <w:jc w:val="both"/>
        <w:rPr>
          <w:rFonts w:hint="eastAsia" w:ascii="仿宋" w:hAnsi="仿宋" w:eastAsia="仿宋" w:cs="仿宋"/>
          <w:b w:val="0"/>
          <w:bCs/>
          <w:color w:val="000000"/>
          <w:kern w:val="2"/>
          <w:sz w:val="32"/>
          <w:szCs w:val="32"/>
          <w:lang w:val="zh-CN"/>
        </w:rPr>
      </w:pPr>
      <w:r>
        <w:rPr>
          <w:rFonts w:hint="eastAsia" w:ascii="仿宋" w:hAnsi="仿宋" w:eastAsia="仿宋" w:cs="仿宋"/>
          <w:b w:val="0"/>
          <w:bCs/>
          <w:color w:val="auto"/>
          <w:kern w:val="2"/>
          <w:sz w:val="32"/>
          <w:szCs w:val="32"/>
          <w:highlight w:val="none"/>
          <w:lang w:val="zh-CN"/>
        </w:rPr>
        <w:t>202</w:t>
      </w:r>
      <w:r>
        <w:rPr>
          <w:rFonts w:hint="eastAsia" w:ascii="仿宋" w:hAnsi="仿宋" w:eastAsia="仿宋" w:cs="仿宋"/>
          <w:b w:val="0"/>
          <w:bCs/>
          <w:color w:val="auto"/>
          <w:kern w:val="2"/>
          <w:sz w:val="32"/>
          <w:szCs w:val="32"/>
          <w:highlight w:val="none"/>
          <w:lang w:val="en-US" w:eastAsia="zh-CN"/>
        </w:rPr>
        <w:t>4</w:t>
      </w:r>
      <w:r>
        <w:rPr>
          <w:rFonts w:hint="eastAsia" w:ascii="仿宋" w:hAnsi="仿宋" w:eastAsia="仿宋" w:cs="仿宋"/>
          <w:b w:val="0"/>
          <w:bCs/>
          <w:color w:val="auto"/>
          <w:kern w:val="2"/>
          <w:sz w:val="32"/>
          <w:szCs w:val="32"/>
          <w:highlight w:val="none"/>
          <w:lang w:val="zh-CN"/>
        </w:rPr>
        <w:t>年一般公共预算支出决算数为</w:t>
      </w:r>
      <w:r>
        <w:rPr>
          <w:rFonts w:hint="eastAsia" w:ascii="仿宋" w:hAnsi="仿宋" w:eastAsia="仿宋" w:cs="仿宋"/>
          <w:b w:val="0"/>
          <w:bCs/>
          <w:color w:val="auto"/>
          <w:kern w:val="2"/>
          <w:sz w:val="32"/>
          <w:szCs w:val="32"/>
          <w:highlight w:val="none"/>
          <w:lang w:val="en-US" w:eastAsia="zh-CN"/>
        </w:rPr>
        <w:t>331.67万</w:t>
      </w:r>
      <w:r>
        <w:rPr>
          <w:rFonts w:hint="eastAsia" w:ascii="仿宋" w:hAnsi="仿宋" w:eastAsia="仿宋" w:cs="仿宋"/>
          <w:b w:val="0"/>
          <w:bCs/>
          <w:color w:val="auto"/>
          <w:kern w:val="2"/>
          <w:sz w:val="32"/>
          <w:szCs w:val="32"/>
          <w:highlight w:val="none"/>
          <w:lang w:val="zh-CN"/>
        </w:rPr>
        <w:t>元，</w:t>
      </w:r>
      <w:r>
        <w:rPr>
          <w:rFonts w:hint="eastAsia" w:ascii="仿宋" w:hAnsi="仿宋" w:eastAsia="仿宋" w:cs="仿宋"/>
          <w:b w:val="0"/>
          <w:bCs/>
          <w:color w:val="auto"/>
          <w:kern w:val="2"/>
          <w:sz w:val="32"/>
          <w:szCs w:val="32"/>
          <w:lang w:val="zh-CN"/>
        </w:rPr>
        <w:t>完成预算</w:t>
      </w:r>
      <w:r>
        <w:rPr>
          <w:rFonts w:hint="eastAsia" w:ascii="仿宋" w:hAnsi="仿宋" w:eastAsia="仿宋" w:cs="仿宋"/>
          <w:b w:val="0"/>
          <w:bCs/>
          <w:color w:val="auto"/>
          <w:kern w:val="2"/>
          <w:sz w:val="32"/>
          <w:szCs w:val="32"/>
          <w:lang w:val="en-US" w:eastAsia="zh-CN"/>
        </w:rPr>
        <w:t>100</w:t>
      </w:r>
      <w:r>
        <w:rPr>
          <w:rFonts w:hint="eastAsia" w:ascii="仿宋" w:hAnsi="仿宋" w:eastAsia="仿宋" w:cs="仿宋"/>
          <w:b w:val="0"/>
          <w:bCs/>
          <w:color w:val="auto"/>
          <w:kern w:val="2"/>
          <w:sz w:val="32"/>
          <w:szCs w:val="32"/>
          <w:lang w:val="zh-CN"/>
        </w:rPr>
        <w:t>%。</w:t>
      </w:r>
      <w:r>
        <w:rPr>
          <w:rFonts w:hint="eastAsia" w:ascii="仿宋" w:hAnsi="仿宋" w:eastAsia="仿宋" w:cs="仿宋"/>
          <w:b w:val="0"/>
          <w:bCs/>
          <w:color w:val="000000"/>
          <w:kern w:val="2"/>
          <w:sz w:val="32"/>
          <w:szCs w:val="32"/>
          <w:lang w:val="zh-CN"/>
        </w:rPr>
        <w:t>其中：</w:t>
      </w:r>
    </w:p>
    <w:p w14:paraId="5B8F1D41">
      <w:pPr>
        <w:keepNext/>
        <w:keepLines/>
        <w:pageBreakBefore w:val="0"/>
        <w:widowControl w:val="0"/>
        <w:numPr>
          <w:ilvl w:val="0"/>
          <w:numId w:val="0"/>
        </w:numPr>
        <w:kinsoku/>
        <w:wordWrap/>
        <w:overflowPunct/>
        <w:topLinePunct w:val="0"/>
        <w:autoSpaceDE w:val="0"/>
        <w:autoSpaceDN w:val="0"/>
        <w:bidi w:val="0"/>
        <w:adjustRightInd w:val="0"/>
        <w:snapToGrid/>
        <w:spacing w:beforeLines="0" w:afterLines="0" w:line="576" w:lineRule="exact"/>
        <w:ind w:firstLine="592" w:firstLineChars="200"/>
        <w:jc w:val="both"/>
        <w:textAlignment w:val="auto"/>
        <w:rPr>
          <w:rFonts w:hint="eastAsia" w:ascii="仿宋" w:hAnsi="仿宋" w:eastAsia="仿宋" w:cs="仿宋"/>
          <w:b w:val="0"/>
          <w:bCs/>
          <w:color w:val="auto"/>
          <w:kern w:val="2"/>
          <w:sz w:val="32"/>
          <w:szCs w:val="32"/>
          <w:lang w:val="en-US" w:eastAsia="zh-CN"/>
        </w:rPr>
      </w:pPr>
      <w:r>
        <w:rPr>
          <w:rFonts w:hint="eastAsia" w:ascii="仿宋" w:hAnsi="仿宋" w:eastAsia="仿宋" w:cs="仿宋"/>
          <w:b w:val="0"/>
          <w:bCs/>
          <w:color w:val="000000"/>
          <w:kern w:val="2"/>
          <w:sz w:val="32"/>
          <w:szCs w:val="32"/>
          <w:lang w:val="en-US" w:eastAsia="zh-CN"/>
        </w:rPr>
        <w:t>1.</w:t>
      </w:r>
      <w:r>
        <w:rPr>
          <w:rFonts w:hint="eastAsia" w:ascii="仿宋" w:hAnsi="仿宋" w:eastAsia="仿宋" w:cs="仿宋"/>
          <w:b w:val="0"/>
          <w:bCs/>
          <w:color w:val="000000"/>
          <w:kern w:val="2"/>
          <w:sz w:val="32"/>
          <w:szCs w:val="32"/>
          <w:lang w:val="en-US"/>
        </w:rPr>
        <w:t>教育支出（类）</w:t>
      </w:r>
      <w:r>
        <w:rPr>
          <w:rFonts w:hint="eastAsia" w:ascii="仿宋" w:hAnsi="仿宋" w:eastAsia="仿宋" w:cs="仿宋"/>
          <w:b w:val="0"/>
          <w:bCs/>
          <w:color w:val="000000"/>
          <w:kern w:val="2"/>
          <w:sz w:val="32"/>
          <w:szCs w:val="32"/>
          <w:lang w:val="en-US" w:eastAsia="zh-CN"/>
        </w:rPr>
        <w:t>普通教育</w:t>
      </w:r>
      <w:r>
        <w:rPr>
          <w:rFonts w:hint="eastAsia" w:ascii="仿宋" w:hAnsi="仿宋" w:eastAsia="仿宋" w:cs="仿宋"/>
          <w:b w:val="0"/>
          <w:bCs/>
          <w:color w:val="000000"/>
          <w:kern w:val="2"/>
          <w:sz w:val="32"/>
          <w:szCs w:val="32"/>
          <w:lang w:val="en-US"/>
        </w:rPr>
        <w:t>（款）</w:t>
      </w:r>
      <w:r>
        <w:rPr>
          <w:rFonts w:hint="eastAsia" w:ascii="仿宋" w:hAnsi="仿宋" w:eastAsia="仿宋" w:cs="仿宋"/>
          <w:b w:val="0"/>
          <w:bCs/>
          <w:color w:val="000000"/>
          <w:kern w:val="2"/>
          <w:sz w:val="32"/>
          <w:szCs w:val="32"/>
          <w:lang w:val="en-US" w:eastAsia="zh-CN"/>
        </w:rPr>
        <w:t>学前教育</w:t>
      </w:r>
      <w:r>
        <w:rPr>
          <w:rFonts w:hint="eastAsia" w:ascii="仿宋" w:hAnsi="仿宋" w:eastAsia="仿宋" w:cs="仿宋"/>
          <w:b w:val="0"/>
          <w:bCs/>
          <w:color w:val="000000"/>
          <w:kern w:val="2"/>
          <w:sz w:val="32"/>
          <w:szCs w:val="32"/>
          <w:lang w:val="en-US"/>
        </w:rPr>
        <w:t>（项）</w:t>
      </w:r>
      <w:r>
        <w:rPr>
          <w:rFonts w:hint="eastAsia" w:ascii="仿宋" w:hAnsi="仿宋" w:eastAsia="仿宋" w:cs="仿宋"/>
          <w:b w:val="0"/>
          <w:bCs/>
          <w:color w:val="000000"/>
          <w:kern w:val="2"/>
          <w:sz w:val="32"/>
          <w:szCs w:val="32"/>
          <w:lang w:val="en-US" w:eastAsia="zh-CN"/>
        </w:rPr>
        <w:t>：</w:t>
      </w:r>
      <w:r>
        <w:rPr>
          <w:rFonts w:hint="eastAsia" w:ascii="仿宋" w:hAnsi="仿宋" w:eastAsia="仿宋" w:cs="仿宋"/>
          <w:b w:val="0"/>
          <w:bCs/>
          <w:color w:val="auto"/>
          <w:kern w:val="2"/>
          <w:sz w:val="32"/>
          <w:szCs w:val="32"/>
          <w:lang w:val="en-US"/>
        </w:rPr>
        <w:t>支出决算为</w:t>
      </w:r>
      <w:r>
        <w:rPr>
          <w:rFonts w:hint="eastAsia" w:ascii="仿宋" w:hAnsi="仿宋" w:eastAsia="仿宋" w:cs="仿宋"/>
          <w:b w:val="0"/>
          <w:bCs/>
          <w:color w:val="auto"/>
          <w:kern w:val="2"/>
          <w:sz w:val="32"/>
          <w:szCs w:val="32"/>
          <w:lang w:val="en-US" w:eastAsia="zh-CN"/>
        </w:rPr>
        <w:t>43.38</w:t>
      </w:r>
      <w:r>
        <w:rPr>
          <w:rFonts w:hint="eastAsia" w:ascii="仿宋" w:hAnsi="仿宋" w:eastAsia="仿宋" w:cs="仿宋"/>
          <w:b w:val="0"/>
          <w:bCs/>
          <w:color w:val="auto"/>
          <w:kern w:val="2"/>
          <w:sz w:val="32"/>
          <w:szCs w:val="32"/>
          <w:lang w:val="en-US"/>
        </w:rPr>
        <w:t>万元，完成预算</w:t>
      </w:r>
      <w:r>
        <w:rPr>
          <w:rFonts w:hint="eastAsia" w:ascii="仿宋" w:hAnsi="仿宋" w:eastAsia="仿宋" w:cs="仿宋"/>
          <w:b w:val="0"/>
          <w:bCs/>
          <w:color w:val="auto"/>
          <w:kern w:val="2"/>
          <w:sz w:val="32"/>
          <w:szCs w:val="32"/>
          <w:lang w:val="en-US" w:eastAsia="zh-CN"/>
        </w:rPr>
        <w:t>100</w:t>
      </w:r>
      <w:r>
        <w:rPr>
          <w:rFonts w:hint="eastAsia" w:ascii="仿宋" w:hAnsi="仿宋" w:eastAsia="仿宋" w:cs="仿宋"/>
          <w:b w:val="0"/>
          <w:bCs/>
          <w:color w:val="auto"/>
          <w:kern w:val="2"/>
          <w:sz w:val="32"/>
          <w:szCs w:val="32"/>
          <w:lang w:val="en-US"/>
        </w:rPr>
        <w:t>%</w:t>
      </w:r>
      <w:r>
        <w:rPr>
          <w:rFonts w:hint="eastAsia" w:ascii="仿宋" w:hAnsi="仿宋" w:eastAsia="仿宋" w:cs="仿宋"/>
          <w:b w:val="0"/>
          <w:bCs/>
          <w:color w:val="auto"/>
          <w:kern w:val="2"/>
          <w:sz w:val="32"/>
          <w:szCs w:val="32"/>
          <w:lang w:val="en-US" w:eastAsia="zh-CN"/>
        </w:rPr>
        <w:t>。</w:t>
      </w:r>
    </w:p>
    <w:p w14:paraId="07571A3C">
      <w:pPr>
        <w:keepNext/>
        <w:keepLines/>
        <w:numPr>
          <w:ilvl w:val="0"/>
          <w:numId w:val="0"/>
        </w:numPr>
        <w:spacing w:beforeLines="0" w:afterLines="0" w:line="576" w:lineRule="exact"/>
        <w:ind w:firstLine="592" w:firstLineChars="200"/>
        <w:jc w:val="both"/>
        <w:rPr>
          <w:rFonts w:hint="eastAsia" w:ascii="仿宋" w:hAnsi="仿宋" w:eastAsia="仿宋" w:cs="仿宋"/>
          <w:b w:val="0"/>
          <w:bCs/>
          <w:color w:val="000000"/>
          <w:kern w:val="2"/>
          <w:sz w:val="32"/>
          <w:szCs w:val="32"/>
          <w:lang w:val="en-US" w:eastAsia="zh-CN"/>
        </w:rPr>
      </w:pPr>
      <w:r>
        <w:rPr>
          <w:rFonts w:hint="eastAsia" w:ascii="仿宋" w:hAnsi="仿宋" w:eastAsia="仿宋" w:cs="仿宋"/>
          <w:b w:val="0"/>
          <w:bCs/>
          <w:color w:val="000000"/>
          <w:kern w:val="2"/>
          <w:sz w:val="32"/>
          <w:szCs w:val="32"/>
          <w:lang w:val="en-US" w:eastAsia="zh-CN"/>
        </w:rPr>
        <w:t>2</w:t>
      </w:r>
      <w:r>
        <w:rPr>
          <w:rFonts w:hint="eastAsia" w:ascii="仿宋" w:hAnsi="仿宋" w:eastAsia="仿宋" w:cs="仿宋"/>
          <w:b w:val="0"/>
          <w:bCs/>
          <w:color w:val="000000"/>
          <w:kern w:val="2"/>
          <w:sz w:val="32"/>
          <w:szCs w:val="32"/>
          <w:lang w:val="en-US"/>
        </w:rPr>
        <w:t>. 教育支出（类）</w:t>
      </w:r>
      <w:r>
        <w:rPr>
          <w:rFonts w:hint="eastAsia" w:ascii="仿宋" w:hAnsi="仿宋" w:eastAsia="仿宋" w:cs="仿宋"/>
          <w:b w:val="0"/>
          <w:bCs/>
          <w:color w:val="000000"/>
          <w:kern w:val="2"/>
          <w:sz w:val="32"/>
          <w:szCs w:val="32"/>
          <w:lang w:val="en-US" w:eastAsia="zh-CN"/>
        </w:rPr>
        <w:t>普通教育</w:t>
      </w:r>
      <w:r>
        <w:rPr>
          <w:rFonts w:hint="eastAsia" w:ascii="仿宋" w:hAnsi="仿宋" w:eastAsia="仿宋" w:cs="仿宋"/>
          <w:b w:val="0"/>
          <w:bCs/>
          <w:color w:val="000000"/>
          <w:kern w:val="2"/>
          <w:sz w:val="32"/>
          <w:szCs w:val="32"/>
          <w:lang w:val="en-US"/>
        </w:rPr>
        <w:t>（款）</w:t>
      </w:r>
      <w:r>
        <w:rPr>
          <w:rFonts w:hint="eastAsia" w:ascii="仿宋" w:hAnsi="仿宋" w:eastAsia="仿宋" w:cs="仿宋"/>
          <w:b w:val="0"/>
          <w:bCs/>
          <w:color w:val="000000"/>
          <w:kern w:val="2"/>
          <w:sz w:val="32"/>
          <w:szCs w:val="32"/>
          <w:lang w:val="en-US" w:eastAsia="zh-CN"/>
        </w:rPr>
        <w:t>小学教育</w:t>
      </w:r>
      <w:r>
        <w:rPr>
          <w:rFonts w:hint="eastAsia" w:ascii="仿宋" w:hAnsi="仿宋" w:eastAsia="仿宋" w:cs="仿宋"/>
          <w:b w:val="0"/>
          <w:bCs/>
          <w:color w:val="000000"/>
          <w:kern w:val="2"/>
          <w:sz w:val="32"/>
          <w:szCs w:val="32"/>
          <w:lang w:val="en-US"/>
        </w:rPr>
        <w:t>（项）</w:t>
      </w:r>
      <w:r>
        <w:rPr>
          <w:rFonts w:hint="eastAsia" w:ascii="仿宋" w:hAnsi="仿宋" w:eastAsia="仿宋" w:cs="仿宋"/>
          <w:b w:val="0"/>
          <w:bCs/>
          <w:color w:val="000000"/>
          <w:kern w:val="2"/>
          <w:sz w:val="32"/>
          <w:szCs w:val="32"/>
          <w:lang w:val="en-US" w:eastAsia="zh-CN"/>
        </w:rPr>
        <w:t>：</w:t>
      </w:r>
      <w:r>
        <w:rPr>
          <w:rFonts w:hint="eastAsia" w:ascii="仿宋" w:hAnsi="仿宋" w:eastAsia="仿宋" w:cs="仿宋"/>
          <w:b w:val="0"/>
          <w:bCs/>
          <w:color w:val="auto"/>
          <w:kern w:val="2"/>
          <w:sz w:val="32"/>
          <w:szCs w:val="32"/>
          <w:lang w:val="en-US"/>
        </w:rPr>
        <w:t>支出决算为</w:t>
      </w:r>
      <w:r>
        <w:rPr>
          <w:rFonts w:hint="eastAsia" w:ascii="仿宋" w:hAnsi="仿宋" w:eastAsia="仿宋" w:cs="仿宋"/>
          <w:b w:val="0"/>
          <w:bCs/>
          <w:color w:val="auto"/>
          <w:kern w:val="2"/>
          <w:sz w:val="32"/>
          <w:szCs w:val="32"/>
          <w:lang w:val="en-US" w:eastAsia="zh-CN"/>
        </w:rPr>
        <w:t>243.05</w:t>
      </w:r>
      <w:r>
        <w:rPr>
          <w:rFonts w:hint="eastAsia" w:ascii="仿宋" w:hAnsi="仿宋" w:eastAsia="仿宋" w:cs="仿宋"/>
          <w:b w:val="0"/>
          <w:bCs/>
          <w:color w:val="auto"/>
          <w:kern w:val="2"/>
          <w:sz w:val="32"/>
          <w:szCs w:val="32"/>
          <w:lang w:val="en-US"/>
        </w:rPr>
        <w:t>万元，完成预算</w:t>
      </w:r>
      <w:r>
        <w:rPr>
          <w:rFonts w:hint="eastAsia" w:ascii="仿宋" w:hAnsi="仿宋" w:eastAsia="仿宋" w:cs="仿宋"/>
          <w:b w:val="0"/>
          <w:bCs/>
          <w:color w:val="auto"/>
          <w:kern w:val="2"/>
          <w:sz w:val="32"/>
          <w:szCs w:val="32"/>
          <w:lang w:val="en-US" w:eastAsia="zh-CN"/>
        </w:rPr>
        <w:t>100</w:t>
      </w:r>
      <w:r>
        <w:rPr>
          <w:rFonts w:hint="eastAsia" w:ascii="仿宋" w:hAnsi="仿宋" w:eastAsia="仿宋" w:cs="仿宋"/>
          <w:b w:val="0"/>
          <w:bCs/>
          <w:color w:val="auto"/>
          <w:kern w:val="2"/>
          <w:sz w:val="32"/>
          <w:szCs w:val="32"/>
          <w:lang w:val="en-US"/>
        </w:rPr>
        <w:t>%</w:t>
      </w:r>
      <w:r>
        <w:rPr>
          <w:rFonts w:hint="eastAsia" w:ascii="仿宋" w:hAnsi="仿宋" w:eastAsia="仿宋" w:cs="仿宋"/>
          <w:b w:val="0"/>
          <w:bCs/>
          <w:color w:val="auto"/>
          <w:kern w:val="2"/>
          <w:sz w:val="32"/>
          <w:szCs w:val="32"/>
          <w:lang w:val="en-US" w:eastAsia="zh-CN"/>
        </w:rPr>
        <w:t>。</w:t>
      </w:r>
    </w:p>
    <w:p w14:paraId="38BFE79E">
      <w:pPr>
        <w:keepNext/>
        <w:keepLines/>
        <w:spacing w:beforeLines="0" w:afterLines="0" w:line="576" w:lineRule="exact"/>
        <w:ind w:firstLine="643"/>
        <w:jc w:val="both"/>
        <w:rPr>
          <w:rFonts w:hint="eastAsia" w:ascii="仿宋" w:hAnsi="仿宋" w:eastAsia="仿宋" w:cs="仿宋"/>
          <w:b w:val="0"/>
          <w:bCs/>
          <w:color w:val="auto"/>
          <w:kern w:val="2"/>
          <w:sz w:val="32"/>
          <w:szCs w:val="32"/>
          <w:lang w:val="en-US"/>
        </w:rPr>
      </w:pPr>
      <w:r>
        <w:rPr>
          <w:rFonts w:hint="eastAsia" w:ascii="仿宋" w:hAnsi="仿宋" w:eastAsia="仿宋" w:cs="仿宋"/>
          <w:b w:val="0"/>
          <w:bCs/>
          <w:color w:val="000000"/>
          <w:kern w:val="2"/>
          <w:sz w:val="32"/>
          <w:szCs w:val="32"/>
          <w:lang w:val="en-US" w:eastAsia="zh-CN"/>
        </w:rPr>
        <w:t>3</w:t>
      </w:r>
      <w:r>
        <w:rPr>
          <w:rFonts w:hint="eastAsia" w:ascii="仿宋" w:hAnsi="仿宋" w:eastAsia="仿宋" w:cs="仿宋"/>
          <w:b w:val="0"/>
          <w:bCs/>
          <w:color w:val="000000"/>
          <w:kern w:val="2"/>
          <w:sz w:val="32"/>
          <w:szCs w:val="32"/>
          <w:lang w:val="en-US"/>
        </w:rPr>
        <w:t>.</w:t>
      </w:r>
      <w:r>
        <w:rPr>
          <w:rStyle w:val="12"/>
          <w:rFonts w:hint="eastAsia" w:ascii="仿宋" w:hAnsi="仿宋" w:eastAsia="仿宋" w:cs="仿宋"/>
          <w:b w:val="0"/>
          <w:bCs/>
          <w:color w:val="auto"/>
          <w:sz w:val="32"/>
          <w:szCs w:val="32"/>
        </w:rPr>
        <w:t>社会保障和就业（类）</w:t>
      </w:r>
      <w:r>
        <w:rPr>
          <w:rFonts w:hint="eastAsia" w:ascii="仿宋" w:hAnsi="仿宋" w:eastAsia="仿宋" w:cs="仿宋"/>
          <w:b w:val="0"/>
          <w:bCs/>
          <w:color w:val="auto"/>
          <w:kern w:val="0"/>
          <w:sz w:val="32"/>
          <w:szCs w:val="32"/>
        </w:rPr>
        <w:t>行政事业单位养老支出</w:t>
      </w:r>
      <w:r>
        <w:rPr>
          <w:rStyle w:val="12"/>
          <w:rFonts w:hint="eastAsia" w:ascii="仿宋" w:hAnsi="仿宋" w:eastAsia="仿宋" w:cs="仿宋"/>
          <w:b w:val="0"/>
          <w:bCs/>
          <w:color w:val="auto"/>
          <w:sz w:val="32"/>
          <w:szCs w:val="32"/>
        </w:rPr>
        <w:t>（款）</w:t>
      </w:r>
      <w:r>
        <w:rPr>
          <w:rFonts w:hint="eastAsia" w:ascii="仿宋" w:hAnsi="仿宋" w:eastAsia="仿宋" w:cs="仿宋"/>
          <w:b w:val="0"/>
          <w:bCs/>
          <w:color w:val="auto"/>
          <w:kern w:val="0"/>
          <w:sz w:val="32"/>
          <w:szCs w:val="32"/>
        </w:rPr>
        <w:t>机关事业单位基本养老保险缴费支出</w:t>
      </w:r>
      <w:r>
        <w:rPr>
          <w:rStyle w:val="12"/>
          <w:rFonts w:hint="eastAsia" w:ascii="仿宋" w:hAnsi="仿宋" w:eastAsia="仿宋" w:cs="仿宋"/>
          <w:b w:val="0"/>
          <w:bCs/>
          <w:color w:val="auto"/>
          <w:sz w:val="32"/>
          <w:szCs w:val="32"/>
        </w:rPr>
        <w:t>（项）</w:t>
      </w:r>
      <w:r>
        <w:rPr>
          <w:rStyle w:val="12"/>
          <w:rFonts w:hint="eastAsia" w:ascii="仿宋" w:hAnsi="仿宋" w:eastAsia="仿宋" w:cs="仿宋"/>
          <w:b w:val="0"/>
          <w:bCs/>
          <w:color w:val="auto"/>
          <w:sz w:val="32"/>
          <w:szCs w:val="32"/>
          <w:lang w:eastAsia="zh-CN"/>
        </w:rPr>
        <w:t>：</w:t>
      </w:r>
      <w:r>
        <w:rPr>
          <w:rFonts w:hint="eastAsia" w:ascii="仿宋" w:hAnsi="仿宋" w:eastAsia="仿宋" w:cs="仿宋"/>
          <w:b w:val="0"/>
          <w:bCs/>
          <w:color w:val="auto"/>
          <w:kern w:val="2"/>
          <w:sz w:val="32"/>
          <w:szCs w:val="32"/>
          <w:lang w:val="en-US"/>
        </w:rPr>
        <w:t>支出决算为</w:t>
      </w:r>
      <w:r>
        <w:rPr>
          <w:rFonts w:hint="eastAsia" w:ascii="仿宋" w:hAnsi="仿宋" w:eastAsia="仿宋" w:cs="仿宋"/>
          <w:b w:val="0"/>
          <w:bCs/>
          <w:color w:val="auto"/>
          <w:kern w:val="2"/>
          <w:sz w:val="32"/>
          <w:szCs w:val="32"/>
          <w:lang w:val="en-US" w:eastAsia="zh-CN"/>
        </w:rPr>
        <w:t>14.55万</w:t>
      </w:r>
      <w:r>
        <w:rPr>
          <w:rFonts w:hint="eastAsia" w:ascii="仿宋" w:hAnsi="仿宋" w:eastAsia="仿宋" w:cs="仿宋"/>
          <w:b w:val="0"/>
          <w:bCs/>
          <w:color w:val="auto"/>
          <w:kern w:val="2"/>
          <w:sz w:val="32"/>
          <w:szCs w:val="32"/>
          <w:lang w:val="en-US"/>
        </w:rPr>
        <w:t>元，完成预算</w:t>
      </w:r>
      <w:r>
        <w:rPr>
          <w:rFonts w:hint="eastAsia" w:ascii="仿宋" w:hAnsi="仿宋" w:eastAsia="仿宋" w:cs="仿宋"/>
          <w:b w:val="0"/>
          <w:bCs/>
          <w:color w:val="auto"/>
          <w:kern w:val="2"/>
          <w:sz w:val="32"/>
          <w:szCs w:val="32"/>
          <w:lang w:val="en-US" w:eastAsia="zh-CN"/>
        </w:rPr>
        <w:t>100</w:t>
      </w:r>
      <w:r>
        <w:rPr>
          <w:rFonts w:hint="eastAsia" w:ascii="仿宋" w:hAnsi="仿宋" w:eastAsia="仿宋" w:cs="仿宋"/>
          <w:b w:val="0"/>
          <w:bCs/>
          <w:color w:val="auto"/>
          <w:kern w:val="2"/>
          <w:sz w:val="32"/>
          <w:szCs w:val="32"/>
          <w:lang w:val="en-US"/>
        </w:rPr>
        <w:t>%。</w:t>
      </w:r>
    </w:p>
    <w:p w14:paraId="0770941C">
      <w:pPr>
        <w:keepNext/>
        <w:keepLines/>
        <w:spacing w:beforeLines="0" w:afterLines="0" w:line="576" w:lineRule="exact"/>
        <w:ind w:firstLine="643"/>
        <w:jc w:val="both"/>
        <w:rPr>
          <w:rFonts w:hint="eastAsia" w:ascii="仿宋" w:hAnsi="仿宋" w:eastAsia="仿宋" w:cs="仿宋"/>
          <w:b w:val="0"/>
          <w:bCs/>
          <w:color w:val="auto"/>
          <w:kern w:val="2"/>
          <w:sz w:val="32"/>
          <w:szCs w:val="32"/>
          <w:lang w:val="en-US"/>
        </w:rPr>
      </w:pPr>
      <w:r>
        <w:rPr>
          <w:rFonts w:hint="eastAsia" w:ascii="仿宋" w:hAnsi="仿宋" w:eastAsia="仿宋" w:cs="仿宋"/>
          <w:b w:val="0"/>
          <w:bCs/>
          <w:color w:val="000000"/>
          <w:kern w:val="2"/>
          <w:sz w:val="32"/>
          <w:szCs w:val="32"/>
          <w:lang w:val="en-US" w:eastAsia="zh-CN"/>
        </w:rPr>
        <w:t>4</w:t>
      </w:r>
      <w:r>
        <w:rPr>
          <w:rFonts w:hint="eastAsia" w:ascii="仿宋" w:hAnsi="仿宋" w:eastAsia="仿宋" w:cs="仿宋"/>
          <w:b w:val="0"/>
          <w:bCs/>
          <w:color w:val="000000"/>
          <w:kern w:val="2"/>
          <w:sz w:val="32"/>
          <w:szCs w:val="32"/>
          <w:lang w:val="en-US"/>
        </w:rPr>
        <w:t>.</w:t>
      </w:r>
      <w:r>
        <w:rPr>
          <w:rStyle w:val="12"/>
          <w:rFonts w:hint="eastAsia" w:ascii="仿宋" w:hAnsi="仿宋" w:eastAsia="仿宋" w:cs="仿宋"/>
          <w:b w:val="0"/>
          <w:bCs/>
          <w:color w:val="auto"/>
          <w:sz w:val="32"/>
          <w:szCs w:val="32"/>
        </w:rPr>
        <w:t>社会保障和就业（类）</w:t>
      </w:r>
      <w:r>
        <w:rPr>
          <w:rFonts w:hint="eastAsia" w:ascii="仿宋" w:hAnsi="仿宋" w:eastAsia="仿宋" w:cs="仿宋"/>
          <w:b w:val="0"/>
          <w:bCs/>
          <w:color w:val="auto"/>
          <w:kern w:val="0"/>
          <w:sz w:val="32"/>
          <w:szCs w:val="32"/>
        </w:rPr>
        <w:t>行政事业单位养老支出</w:t>
      </w:r>
      <w:r>
        <w:rPr>
          <w:rStyle w:val="12"/>
          <w:rFonts w:hint="eastAsia" w:ascii="仿宋" w:hAnsi="仿宋" w:eastAsia="仿宋" w:cs="仿宋"/>
          <w:b w:val="0"/>
          <w:bCs/>
          <w:color w:val="auto"/>
          <w:sz w:val="32"/>
          <w:szCs w:val="32"/>
        </w:rPr>
        <w:t>（款）</w:t>
      </w:r>
      <w:r>
        <w:rPr>
          <w:rFonts w:hint="eastAsia" w:ascii="仿宋" w:hAnsi="仿宋" w:eastAsia="仿宋" w:cs="仿宋"/>
          <w:b w:val="0"/>
          <w:bCs/>
          <w:color w:val="auto"/>
          <w:kern w:val="0"/>
          <w:sz w:val="32"/>
          <w:szCs w:val="32"/>
        </w:rPr>
        <w:t>机关事业单位职业年金缴费支出</w:t>
      </w:r>
      <w:r>
        <w:rPr>
          <w:rStyle w:val="12"/>
          <w:rFonts w:hint="eastAsia" w:ascii="仿宋" w:hAnsi="仿宋" w:eastAsia="仿宋" w:cs="仿宋"/>
          <w:b w:val="0"/>
          <w:bCs/>
          <w:color w:val="auto"/>
          <w:sz w:val="32"/>
          <w:szCs w:val="32"/>
        </w:rPr>
        <w:t>（项）</w:t>
      </w:r>
      <w:r>
        <w:rPr>
          <w:rStyle w:val="12"/>
          <w:rFonts w:hint="eastAsia" w:ascii="仿宋" w:hAnsi="仿宋" w:eastAsia="仿宋" w:cs="仿宋"/>
          <w:b w:val="0"/>
          <w:bCs/>
          <w:color w:val="auto"/>
          <w:sz w:val="32"/>
          <w:szCs w:val="32"/>
          <w:lang w:eastAsia="zh-CN"/>
        </w:rPr>
        <w:t>：</w:t>
      </w:r>
      <w:r>
        <w:rPr>
          <w:rFonts w:hint="eastAsia" w:ascii="仿宋" w:hAnsi="仿宋" w:eastAsia="仿宋" w:cs="仿宋"/>
          <w:b w:val="0"/>
          <w:bCs/>
          <w:color w:val="auto"/>
          <w:kern w:val="2"/>
          <w:sz w:val="32"/>
          <w:szCs w:val="32"/>
          <w:lang w:val="en-US"/>
        </w:rPr>
        <w:t>支出决算为</w:t>
      </w:r>
      <w:r>
        <w:rPr>
          <w:rFonts w:hint="eastAsia" w:ascii="仿宋" w:hAnsi="仿宋" w:eastAsia="仿宋" w:cs="仿宋"/>
          <w:b w:val="0"/>
          <w:bCs/>
          <w:color w:val="auto"/>
          <w:kern w:val="2"/>
          <w:sz w:val="32"/>
          <w:szCs w:val="32"/>
          <w:lang w:val="en-US" w:eastAsia="zh-CN"/>
        </w:rPr>
        <w:t>7.27</w:t>
      </w:r>
      <w:r>
        <w:rPr>
          <w:rFonts w:hint="eastAsia" w:ascii="仿宋" w:hAnsi="仿宋" w:eastAsia="仿宋" w:cs="仿宋"/>
          <w:b w:val="0"/>
          <w:bCs/>
          <w:color w:val="auto"/>
          <w:kern w:val="2"/>
          <w:sz w:val="32"/>
          <w:szCs w:val="32"/>
          <w:lang w:val="en-US"/>
        </w:rPr>
        <w:t>万元，完成预算</w:t>
      </w:r>
      <w:r>
        <w:rPr>
          <w:rFonts w:hint="eastAsia" w:ascii="仿宋" w:hAnsi="仿宋" w:eastAsia="仿宋" w:cs="仿宋"/>
          <w:b w:val="0"/>
          <w:bCs/>
          <w:color w:val="auto"/>
          <w:kern w:val="2"/>
          <w:sz w:val="32"/>
          <w:szCs w:val="32"/>
          <w:lang w:val="en-US" w:eastAsia="zh-CN"/>
        </w:rPr>
        <w:t>100</w:t>
      </w:r>
      <w:r>
        <w:rPr>
          <w:rFonts w:hint="eastAsia" w:ascii="仿宋" w:hAnsi="仿宋" w:eastAsia="仿宋" w:cs="仿宋"/>
          <w:b w:val="0"/>
          <w:bCs/>
          <w:color w:val="auto"/>
          <w:kern w:val="2"/>
          <w:sz w:val="32"/>
          <w:szCs w:val="32"/>
          <w:lang w:val="en-US"/>
        </w:rPr>
        <w:t>%。</w:t>
      </w:r>
    </w:p>
    <w:p w14:paraId="77700247">
      <w:pPr>
        <w:widowControl/>
        <w:ind w:firstLine="592" w:firstLineChars="200"/>
        <w:rPr>
          <w:rFonts w:hint="eastAsia" w:ascii="仿宋" w:hAnsi="仿宋" w:eastAsia="仿宋" w:cs="仿宋"/>
          <w:b w:val="0"/>
          <w:bCs/>
          <w:color w:val="auto"/>
          <w:kern w:val="0"/>
          <w:sz w:val="32"/>
          <w:szCs w:val="32"/>
        </w:rPr>
      </w:pPr>
      <w:r>
        <w:rPr>
          <w:rStyle w:val="12"/>
          <w:rFonts w:hint="eastAsia" w:ascii="仿宋" w:hAnsi="仿宋" w:eastAsia="仿宋" w:cs="仿宋"/>
          <w:b w:val="0"/>
          <w:bCs/>
          <w:color w:val="auto"/>
          <w:sz w:val="32"/>
          <w:szCs w:val="32"/>
          <w:lang w:val="en-US" w:eastAsia="zh-CN"/>
        </w:rPr>
        <w:t>5</w:t>
      </w:r>
      <w:r>
        <w:rPr>
          <w:rStyle w:val="12"/>
          <w:rFonts w:hint="eastAsia" w:ascii="仿宋" w:hAnsi="仿宋" w:eastAsia="仿宋" w:cs="仿宋"/>
          <w:b w:val="0"/>
          <w:bCs/>
          <w:color w:val="auto"/>
          <w:sz w:val="32"/>
          <w:szCs w:val="32"/>
        </w:rPr>
        <w:t>.社会保障和就业（类）</w:t>
      </w:r>
      <w:r>
        <w:rPr>
          <w:rFonts w:hint="eastAsia" w:ascii="仿宋" w:hAnsi="仿宋" w:eastAsia="仿宋" w:cs="仿宋"/>
          <w:b w:val="0"/>
          <w:bCs/>
          <w:color w:val="auto"/>
          <w:kern w:val="0"/>
          <w:sz w:val="32"/>
          <w:szCs w:val="32"/>
        </w:rPr>
        <w:t>其他社会保障和就业支出</w:t>
      </w:r>
      <w:r>
        <w:rPr>
          <w:rStyle w:val="12"/>
          <w:rFonts w:hint="eastAsia" w:ascii="仿宋" w:hAnsi="仿宋" w:eastAsia="仿宋" w:cs="仿宋"/>
          <w:b w:val="0"/>
          <w:bCs/>
          <w:color w:val="auto"/>
          <w:sz w:val="32"/>
          <w:szCs w:val="32"/>
        </w:rPr>
        <w:t>（款）</w:t>
      </w:r>
      <w:r>
        <w:rPr>
          <w:rFonts w:hint="eastAsia" w:ascii="仿宋" w:hAnsi="仿宋" w:eastAsia="仿宋" w:cs="仿宋"/>
          <w:b w:val="0"/>
          <w:bCs/>
          <w:color w:val="auto"/>
          <w:kern w:val="0"/>
          <w:sz w:val="32"/>
          <w:szCs w:val="32"/>
        </w:rPr>
        <w:t>其他社会保障和就业支出</w:t>
      </w:r>
      <w:r>
        <w:rPr>
          <w:rStyle w:val="12"/>
          <w:rFonts w:hint="eastAsia" w:ascii="仿宋" w:hAnsi="仿宋" w:eastAsia="仿宋" w:cs="仿宋"/>
          <w:b w:val="0"/>
          <w:bCs/>
          <w:color w:val="auto"/>
          <w:sz w:val="32"/>
          <w:szCs w:val="32"/>
        </w:rPr>
        <w:t>（项）</w:t>
      </w:r>
      <w:r>
        <w:rPr>
          <w:rStyle w:val="12"/>
          <w:rFonts w:hint="eastAsia" w:ascii="仿宋" w:hAnsi="仿宋" w:eastAsia="仿宋" w:cs="仿宋"/>
          <w:b w:val="0"/>
          <w:bCs/>
          <w:color w:val="auto"/>
          <w:sz w:val="32"/>
          <w:szCs w:val="32"/>
          <w:lang w:eastAsia="zh-CN"/>
        </w:rPr>
        <w:t>：</w:t>
      </w:r>
      <w:r>
        <w:rPr>
          <w:rStyle w:val="12"/>
          <w:rFonts w:hint="eastAsia" w:ascii="仿宋" w:hAnsi="仿宋" w:eastAsia="仿宋" w:cs="仿宋"/>
          <w:b w:val="0"/>
          <w:bCs/>
          <w:color w:val="auto"/>
          <w:sz w:val="32"/>
          <w:szCs w:val="32"/>
        </w:rPr>
        <w:t xml:space="preserve"> 支出决算为</w:t>
      </w:r>
      <w:r>
        <w:rPr>
          <w:rStyle w:val="12"/>
          <w:rFonts w:hint="eastAsia" w:ascii="仿宋" w:hAnsi="仿宋" w:eastAsia="仿宋" w:cs="仿宋"/>
          <w:b w:val="0"/>
          <w:bCs/>
          <w:color w:val="auto"/>
          <w:sz w:val="32"/>
          <w:szCs w:val="32"/>
          <w:lang w:val="en-US" w:eastAsia="zh-CN"/>
        </w:rPr>
        <w:t>2.55</w:t>
      </w:r>
      <w:r>
        <w:rPr>
          <w:rStyle w:val="12"/>
          <w:rFonts w:hint="eastAsia" w:ascii="仿宋" w:hAnsi="仿宋" w:eastAsia="仿宋" w:cs="仿宋"/>
          <w:b w:val="0"/>
          <w:bCs/>
          <w:color w:val="auto"/>
          <w:sz w:val="32"/>
          <w:szCs w:val="32"/>
        </w:rPr>
        <w:t>万元，完成预算100%。</w:t>
      </w:r>
      <w:r>
        <w:rPr>
          <w:rFonts w:hint="eastAsia" w:ascii="仿宋" w:hAnsi="仿宋" w:eastAsia="仿宋" w:cs="仿宋"/>
          <w:b w:val="0"/>
          <w:bCs/>
          <w:color w:val="auto"/>
          <w:kern w:val="0"/>
          <w:sz w:val="32"/>
          <w:szCs w:val="32"/>
        </w:rPr>
        <w:t xml:space="preserve"> </w:t>
      </w:r>
    </w:p>
    <w:p w14:paraId="4ED3293D">
      <w:pPr>
        <w:widowControl/>
        <w:ind w:firstLine="592" w:firstLineChars="200"/>
        <w:rPr>
          <w:rFonts w:hint="eastAsia" w:ascii="仿宋" w:hAnsi="仿宋" w:eastAsia="仿宋" w:cs="仿宋"/>
          <w:b w:val="0"/>
          <w:bCs/>
          <w:color w:val="auto"/>
          <w:kern w:val="2"/>
          <w:sz w:val="32"/>
          <w:szCs w:val="32"/>
          <w:lang w:val="en-US"/>
        </w:rPr>
      </w:pPr>
      <w:r>
        <w:rPr>
          <w:rFonts w:hint="eastAsia" w:ascii="仿宋" w:hAnsi="仿宋" w:eastAsia="仿宋" w:cs="仿宋"/>
          <w:b w:val="0"/>
          <w:bCs/>
          <w:color w:val="auto"/>
          <w:sz w:val="32"/>
          <w:szCs w:val="32"/>
          <w:lang w:val="en-US" w:eastAsia="zh-CN"/>
        </w:rPr>
        <w:t>6.</w:t>
      </w:r>
      <w:r>
        <w:rPr>
          <w:rFonts w:hint="eastAsia" w:ascii="仿宋" w:hAnsi="仿宋" w:eastAsia="仿宋" w:cs="仿宋"/>
          <w:b w:val="0"/>
          <w:bCs/>
          <w:color w:val="auto"/>
          <w:sz w:val="32"/>
          <w:szCs w:val="32"/>
        </w:rPr>
        <w:t>卫生健康</w:t>
      </w:r>
      <w:r>
        <w:rPr>
          <w:rStyle w:val="12"/>
          <w:rFonts w:hint="eastAsia" w:ascii="仿宋" w:hAnsi="仿宋" w:eastAsia="仿宋" w:cs="仿宋"/>
          <w:b w:val="0"/>
          <w:bCs/>
          <w:color w:val="auto"/>
          <w:sz w:val="32"/>
          <w:szCs w:val="32"/>
        </w:rPr>
        <w:t>（类）行政事业医疗（款）事业单位医疗（项）</w:t>
      </w:r>
      <w:r>
        <w:rPr>
          <w:rStyle w:val="12"/>
          <w:rFonts w:hint="eastAsia" w:ascii="仿宋" w:hAnsi="仿宋" w:eastAsia="仿宋" w:cs="仿宋"/>
          <w:b w:val="0"/>
          <w:bCs/>
          <w:color w:val="auto"/>
          <w:sz w:val="32"/>
          <w:szCs w:val="32"/>
          <w:lang w:eastAsia="zh-CN"/>
        </w:rPr>
        <w:t>：</w:t>
      </w:r>
      <w:r>
        <w:rPr>
          <w:rFonts w:hint="eastAsia" w:ascii="仿宋" w:hAnsi="仿宋" w:eastAsia="仿宋" w:cs="仿宋"/>
          <w:b w:val="0"/>
          <w:bCs/>
          <w:color w:val="auto"/>
          <w:kern w:val="2"/>
          <w:sz w:val="32"/>
          <w:szCs w:val="32"/>
          <w:lang w:val="en-US"/>
        </w:rPr>
        <w:t>支出决算为</w:t>
      </w:r>
      <w:r>
        <w:rPr>
          <w:rFonts w:hint="eastAsia" w:ascii="仿宋" w:hAnsi="仿宋" w:eastAsia="仿宋" w:cs="仿宋"/>
          <w:b w:val="0"/>
          <w:bCs/>
          <w:color w:val="auto"/>
          <w:kern w:val="2"/>
          <w:sz w:val="32"/>
          <w:szCs w:val="32"/>
          <w:lang w:val="en-US" w:eastAsia="zh-CN"/>
        </w:rPr>
        <w:t>6.06</w:t>
      </w:r>
      <w:r>
        <w:rPr>
          <w:rFonts w:hint="eastAsia" w:ascii="仿宋" w:hAnsi="仿宋" w:eastAsia="仿宋" w:cs="仿宋"/>
          <w:b w:val="0"/>
          <w:bCs/>
          <w:color w:val="auto"/>
          <w:kern w:val="2"/>
          <w:sz w:val="32"/>
          <w:szCs w:val="32"/>
          <w:lang w:val="en-US"/>
        </w:rPr>
        <w:t>万元，完成预算</w:t>
      </w:r>
      <w:r>
        <w:rPr>
          <w:rFonts w:hint="eastAsia" w:ascii="仿宋" w:hAnsi="仿宋" w:eastAsia="仿宋" w:cs="仿宋"/>
          <w:b w:val="0"/>
          <w:bCs/>
          <w:color w:val="auto"/>
          <w:kern w:val="2"/>
          <w:sz w:val="32"/>
          <w:szCs w:val="32"/>
          <w:lang w:val="en-US" w:eastAsia="zh-CN"/>
        </w:rPr>
        <w:t>100</w:t>
      </w:r>
      <w:r>
        <w:rPr>
          <w:rFonts w:hint="eastAsia" w:ascii="仿宋" w:hAnsi="仿宋" w:eastAsia="仿宋" w:cs="仿宋"/>
          <w:b w:val="0"/>
          <w:bCs/>
          <w:color w:val="auto"/>
          <w:kern w:val="2"/>
          <w:sz w:val="32"/>
          <w:szCs w:val="32"/>
          <w:lang w:val="en-US"/>
        </w:rPr>
        <w:t>%</w:t>
      </w:r>
      <w:r>
        <w:rPr>
          <w:rFonts w:hint="eastAsia" w:ascii="仿宋" w:hAnsi="仿宋" w:eastAsia="仿宋" w:cs="仿宋"/>
          <w:b w:val="0"/>
          <w:bCs/>
          <w:color w:val="auto"/>
          <w:kern w:val="2"/>
          <w:sz w:val="32"/>
          <w:szCs w:val="32"/>
          <w:lang w:val="en-US" w:eastAsia="zh-CN"/>
        </w:rPr>
        <w:t>。</w:t>
      </w:r>
    </w:p>
    <w:p w14:paraId="3E8519DA">
      <w:pPr>
        <w:spacing w:line="600" w:lineRule="exact"/>
        <w:ind w:firstLine="592" w:firstLineChars="200"/>
        <w:rPr>
          <w:rFonts w:hint="eastAsia" w:ascii="仿宋_GB2312" w:hAnsi="仿宋_GB2312" w:eastAsia="仿宋_GB2312"/>
          <w:color w:val="000000"/>
          <w:kern w:val="2"/>
          <w:sz w:val="32"/>
          <w:szCs w:val="24"/>
          <w:lang w:val="en-US"/>
        </w:rPr>
      </w:pPr>
      <w:r>
        <w:rPr>
          <w:rFonts w:hint="eastAsia" w:ascii="仿宋" w:hAnsi="仿宋" w:eastAsia="仿宋" w:cs="仿宋"/>
          <w:b w:val="0"/>
          <w:bCs/>
          <w:color w:val="auto"/>
          <w:sz w:val="32"/>
          <w:szCs w:val="32"/>
          <w:lang w:val="en-US" w:eastAsia="zh-CN"/>
        </w:rPr>
        <w:t>7</w:t>
      </w:r>
      <w:r>
        <w:rPr>
          <w:rFonts w:hint="eastAsia" w:ascii="仿宋" w:hAnsi="仿宋" w:eastAsia="仿宋" w:cs="仿宋"/>
          <w:b w:val="0"/>
          <w:bCs/>
          <w:color w:val="auto"/>
          <w:sz w:val="32"/>
          <w:szCs w:val="32"/>
        </w:rPr>
        <w:t>.住房保障支出（类）住房改革支出（款）住房公积金（项）：</w:t>
      </w:r>
      <w:r>
        <w:rPr>
          <w:rStyle w:val="12"/>
          <w:rFonts w:hint="eastAsia" w:ascii="仿宋" w:hAnsi="仿宋" w:eastAsia="仿宋" w:cs="仿宋"/>
          <w:b w:val="0"/>
          <w:bCs/>
          <w:color w:val="auto"/>
          <w:sz w:val="32"/>
          <w:szCs w:val="32"/>
        </w:rPr>
        <w:t>支出决算为</w:t>
      </w:r>
      <w:r>
        <w:rPr>
          <w:rStyle w:val="12"/>
          <w:rFonts w:hint="eastAsia" w:ascii="仿宋" w:hAnsi="仿宋" w:eastAsia="仿宋" w:cs="仿宋"/>
          <w:b w:val="0"/>
          <w:bCs/>
          <w:color w:val="auto"/>
          <w:sz w:val="32"/>
          <w:szCs w:val="32"/>
          <w:lang w:val="en-US" w:eastAsia="zh-CN"/>
        </w:rPr>
        <w:t>14.81</w:t>
      </w:r>
      <w:r>
        <w:rPr>
          <w:rStyle w:val="12"/>
          <w:rFonts w:hint="eastAsia" w:ascii="仿宋" w:hAnsi="仿宋" w:eastAsia="仿宋" w:cs="仿宋"/>
          <w:b w:val="0"/>
          <w:bCs/>
          <w:color w:val="auto"/>
          <w:sz w:val="32"/>
          <w:szCs w:val="32"/>
        </w:rPr>
        <w:t>万元，完成预算</w:t>
      </w:r>
      <w:r>
        <w:rPr>
          <w:rStyle w:val="12"/>
          <w:rFonts w:hint="eastAsia" w:ascii="仿宋" w:hAnsi="仿宋" w:eastAsia="仿宋" w:cs="仿宋"/>
          <w:b w:val="0"/>
          <w:bCs/>
          <w:color w:val="auto"/>
          <w:sz w:val="32"/>
          <w:szCs w:val="32"/>
          <w:lang w:val="en-US" w:eastAsia="zh-CN"/>
        </w:rPr>
        <w:t>100</w:t>
      </w:r>
      <w:r>
        <w:rPr>
          <w:rStyle w:val="12"/>
          <w:rFonts w:hint="eastAsia" w:ascii="仿宋" w:hAnsi="仿宋" w:eastAsia="仿宋" w:cs="仿宋"/>
          <w:b w:val="0"/>
          <w:bCs/>
          <w:color w:val="auto"/>
          <w:sz w:val="32"/>
          <w:szCs w:val="32"/>
        </w:rPr>
        <w:t>%。</w:t>
      </w:r>
    </w:p>
    <w:p w14:paraId="4AF52F43">
      <w:pPr>
        <w:keepNext/>
        <w:keepLines/>
        <w:tabs>
          <w:tab w:val="right" w:pos="8306"/>
        </w:tabs>
        <w:spacing w:beforeLines="0" w:afterLines="0" w:line="576" w:lineRule="exact"/>
        <w:ind w:firstLine="640"/>
        <w:jc w:val="both"/>
        <w:outlineLvl w:val="1"/>
        <w:rPr>
          <w:rFonts w:hint="default" w:ascii="Cambria" w:hAnsi="Cambria" w:eastAsia="Cambria"/>
          <w:b/>
          <w:color w:val="auto"/>
          <w:kern w:val="2"/>
          <w:sz w:val="32"/>
          <w:szCs w:val="24"/>
          <w:lang w:val="zh-CN"/>
        </w:rPr>
      </w:pPr>
      <w:bookmarkStart w:id="9" w:name="_Toc106"/>
      <w:r>
        <w:rPr>
          <w:rFonts w:hint="eastAsia" w:ascii="黑体" w:hAnsi="黑体" w:eastAsia="黑体"/>
          <w:color w:val="000000"/>
          <w:kern w:val="2"/>
          <w:sz w:val="32"/>
          <w:szCs w:val="24"/>
          <w:lang w:val="zh-CN"/>
        </w:rPr>
        <w:t>六</w:t>
      </w:r>
      <w:r>
        <w:rPr>
          <w:rFonts w:hint="eastAsia" w:ascii="黑体" w:hAnsi="黑体" w:eastAsia="黑体"/>
          <w:b/>
          <w:color w:val="000000"/>
          <w:kern w:val="2"/>
          <w:sz w:val="32"/>
          <w:szCs w:val="24"/>
          <w:lang w:val="zh-CN"/>
        </w:rPr>
        <w:t>、一</w:t>
      </w:r>
      <w:r>
        <w:rPr>
          <w:rFonts w:hint="eastAsia" w:ascii="黑体" w:hAnsi="黑体" w:eastAsia="黑体"/>
          <w:color w:val="auto"/>
          <w:kern w:val="2"/>
          <w:sz w:val="32"/>
          <w:szCs w:val="24"/>
          <w:lang w:val="zh-CN"/>
        </w:rPr>
        <w:t>般公共预算财政拨款基本支出决算情况说明</w:t>
      </w:r>
      <w:bookmarkEnd w:id="9"/>
      <w:r>
        <w:rPr>
          <w:rFonts w:hint="eastAsia" w:ascii="黑体" w:hAnsi="黑体" w:eastAsia="黑体"/>
          <w:color w:val="auto"/>
          <w:kern w:val="2"/>
          <w:sz w:val="32"/>
          <w:szCs w:val="24"/>
          <w:lang w:val="zh-CN"/>
        </w:rPr>
        <w:tab/>
      </w:r>
    </w:p>
    <w:p w14:paraId="7DD0168F">
      <w:pPr>
        <w:spacing w:beforeLines="0" w:afterLines="0" w:line="576" w:lineRule="exact"/>
        <w:ind w:firstLine="640"/>
        <w:jc w:val="both"/>
        <w:rPr>
          <w:rFonts w:hint="eastAsia" w:ascii="仿宋" w:hAnsi="仿宋" w:eastAsia="仿宋" w:cs="仿宋"/>
          <w:b w:val="0"/>
          <w:bCs w:val="0"/>
          <w:color w:val="000000"/>
          <w:kern w:val="2"/>
          <w:sz w:val="32"/>
          <w:szCs w:val="24"/>
          <w:lang w:val="zh-CN"/>
        </w:rPr>
      </w:pPr>
      <w:r>
        <w:rPr>
          <w:rFonts w:hint="eastAsia" w:ascii="仿宋" w:hAnsi="仿宋" w:eastAsia="仿宋" w:cs="仿宋"/>
          <w:b w:val="0"/>
          <w:bCs w:val="0"/>
          <w:color w:val="000000"/>
          <w:kern w:val="2"/>
          <w:sz w:val="32"/>
          <w:szCs w:val="24"/>
          <w:lang w:val="zh-CN"/>
        </w:rPr>
        <w:t>202</w:t>
      </w:r>
      <w:r>
        <w:rPr>
          <w:rFonts w:hint="eastAsia" w:ascii="仿宋" w:hAnsi="仿宋" w:eastAsia="仿宋" w:cs="仿宋"/>
          <w:b w:val="0"/>
          <w:bCs w:val="0"/>
          <w:color w:val="000000"/>
          <w:kern w:val="2"/>
          <w:sz w:val="32"/>
          <w:szCs w:val="24"/>
          <w:lang w:val="en-US" w:eastAsia="zh-CN"/>
        </w:rPr>
        <w:t>4</w:t>
      </w:r>
      <w:r>
        <w:rPr>
          <w:rFonts w:hint="eastAsia" w:ascii="仿宋" w:hAnsi="仿宋" w:eastAsia="仿宋" w:cs="仿宋"/>
          <w:b w:val="0"/>
          <w:bCs w:val="0"/>
          <w:color w:val="000000"/>
          <w:kern w:val="2"/>
          <w:sz w:val="32"/>
          <w:szCs w:val="24"/>
          <w:lang w:val="zh-CN"/>
        </w:rPr>
        <w:t>年一般公共预算财政拨款基本支出</w:t>
      </w:r>
      <w:r>
        <w:rPr>
          <w:rFonts w:hint="eastAsia" w:ascii="仿宋" w:hAnsi="仿宋" w:eastAsia="仿宋" w:cs="仿宋"/>
          <w:b w:val="0"/>
          <w:bCs w:val="0"/>
          <w:color w:val="000000"/>
          <w:kern w:val="2"/>
          <w:sz w:val="32"/>
          <w:szCs w:val="24"/>
          <w:lang w:val="en-US" w:eastAsia="zh-CN"/>
        </w:rPr>
        <w:t>218.8</w:t>
      </w:r>
      <w:r>
        <w:rPr>
          <w:rFonts w:hint="eastAsia" w:ascii="仿宋" w:hAnsi="仿宋" w:eastAsia="仿宋" w:cs="仿宋"/>
          <w:b w:val="0"/>
          <w:bCs w:val="0"/>
          <w:color w:val="000000"/>
          <w:kern w:val="2"/>
          <w:sz w:val="32"/>
          <w:szCs w:val="24"/>
          <w:lang w:val="zh-CN"/>
        </w:rPr>
        <w:t>万元，其中：</w:t>
      </w:r>
    </w:p>
    <w:p w14:paraId="0F38CE70">
      <w:pPr>
        <w:spacing w:beforeLines="0" w:afterLines="0" w:line="576" w:lineRule="exact"/>
        <w:ind w:firstLine="592" w:firstLineChars="200"/>
        <w:jc w:val="both"/>
        <w:rPr>
          <w:rFonts w:hint="eastAsia" w:ascii="仿宋" w:hAnsi="仿宋" w:eastAsia="仿宋" w:cs="仿宋"/>
          <w:b w:val="0"/>
          <w:bCs w:val="0"/>
          <w:color w:val="000000"/>
          <w:kern w:val="2"/>
          <w:sz w:val="32"/>
          <w:szCs w:val="24"/>
          <w:lang w:val="zh-CN"/>
        </w:rPr>
      </w:pPr>
      <w:r>
        <w:rPr>
          <w:rFonts w:hint="eastAsia" w:ascii="仿宋" w:hAnsi="仿宋" w:eastAsia="仿宋" w:cs="仿宋"/>
          <w:b w:val="0"/>
          <w:bCs w:val="0"/>
          <w:color w:val="000000"/>
          <w:kern w:val="2"/>
          <w:sz w:val="32"/>
          <w:szCs w:val="24"/>
          <w:lang w:val="zh-CN"/>
        </w:rPr>
        <w:t>人员经费</w:t>
      </w:r>
      <w:r>
        <w:rPr>
          <w:rFonts w:hint="eastAsia" w:ascii="仿宋" w:hAnsi="仿宋" w:eastAsia="仿宋" w:cs="仿宋"/>
          <w:b w:val="0"/>
          <w:bCs w:val="0"/>
          <w:color w:val="000000"/>
          <w:kern w:val="2"/>
          <w:sz w:val="32"/>
          <w:szCs w:val="24"/>
          <w:lang w:val="en-US" w:eastAsia="zh-CN"/>
        </w:rPr>
        <w:t>213.29</w:t>
      </w:r>
      <w:r>
        <w:rPr>
          <w:rFonts w:hint="eastAsia" w:ascii="仿宋" w:hAnsi="仿宋" w:eastAsia="仿宋" w:cs="仿宋"/>
          <w:b w:val="0"/>
          <w:bCs w:val="0"/>
          <w:color w:val="000000"/>
          <w:kern w:val="2"/>
          <w:sz w:val="32"/>
          <w:szCs w:val="24"/>
          <w:lang w:val="zh-CN"/>
        </w:rPr>
        <w:t>万元，主要包括：</w:t>
      </w:r>
      <w:r>
        <w:rPr>
          <w:rFonts w:hint="eastAsia" w:ascii="仿宋" w:hAnsi="仿宋" w:eastAsia="仿宋" w:cs="仿宋"/>
          <w:b w:val="0"/>
          <w:bCs w:val="0"/>
          <w:color w:val="auto"/>
          <w:kern w:val="2"/>
          <w:sz w:val="32"/>
          <w:szCs w:val="24"/>
          <w:lang w:val="en-US"/>
        </w:rPr>
        <w:t>基本工资、津贴补贴、奖金、伙食补助费、绩效工资、机关事业单位基本养老保险缴费、职业年金缴费、其他社会保障缴费、其他工资福利支出、抚恤金、生活补助、医疗费补助、住房公积金、其他对个人和家庭的补助支出等</w:t>
      </w:r>
      <w:r>
        <w:rPr>
          <w:rFonts w:hint="eastAsia" w:ascii="仿宋" w:hAnsi="仿宋" w:eastAsia="仿宋" w:cs="仿宋"/>
          <w:b w:val="0"/>
          <w:bCs w:val="0"/>
          <w:color w:val="000000"/>
          <w:kern w:val="2"/>
          <w:sz w:val="32"/>
          <w:szCs w:val="24"/>
          <w:lang w:val="zh-CN"/>
        </w:rPr>
        <w:t>。</w:t>
      </w:r>
    </w:p>
    <w:p w14:paraId="56D5CAC5">
      <w:pPr>
        <w:spacing w:beforeLines="0" w:afterLines="0" w:line="576" w:lineRule="exact"/>
        <w:ind w:firstLine="643"/>
        <w:jc w:val="both"/>
        <w:rPr>
          <w:rFonts w:hint="eastAsia" w:ascii="仿宋" w:hAnsi="仿宋" w:eastAsia="仿宋" w:cs="仿宋"/>
          <w:b w:val="0"/>
          <w:bCs w:val="0"/>
          <w:color w:val="000000"/>
          <w:kern w:val="2"/>
          <w:sz w:val="32"/>
          <w:szCs w:val="24"/>
          <w:lang w:val="zh-CN"/>
        </w:rPr>
      </w:pPr>
      <w:r>
        <w:rPr>
          <w:rFonts w:hint="eastAsia" w:ascii="仿宋" w:hAnsi="仿宋" w:eastAsia="仿宋" w:cs="仿宋"/>
          <w:b w:val="0"/>
          <w:bCs w:val="0"/>
          <w:color w:val="000000"/>
          <w:kern w:val="2"/>
          <w:sz w:val="32"/>
          <w:szCs w:val="24"/>
          <w:lang w:val="zh-CN"/>
        </w:rPr>
        <w:t>公用经费</w:t>
      </w:r>
      <w:r>
        <w:rPr>
          <w:rFonts w:hint="eastAsia" w:ascii="仿宋" w:hAnsi="仿宋" w:eastAsia="仿宋" w:cs="仿宋"/>
          <w:b w:val="0"/>
          <w:bCs w:val="0"/>
          <w:color w:val="000000"/>
          <w:kern w:val="2"/>
          <w:sz w:val="32"/>
          <w:szCs w:val="24"/>
          <w:lang w:val="en-US" w:eastAsia="zh-CN"/>
        </w:rPr>
        <w:t>5.51</w:t>
      </w:r>
      <w:r>
        <w:rPr>
          <w:rFonts w:hint="eastAsia" w:ascii="仿宋" w:hAnsi="仿宋" w:eastAsia="仿宋" w:cs="仿宋"/>
          <w:b w:val="0"/>
          <w:bCs w:val="0"/>
          <w:color w:val="000000"/>
          <w:kern w:val="2"/>
          <w:sz w:val="32"/>
          <w:szCs w:val="24"/>
          <w:lang w:val="zh-CN"/>
        </w:rPr>
        <w:t>万元，主要包括：</w:t>
      </w:r>
      <w:r>
        <w:rPr>
          <w:rFonts w:hint="eastAsia" w:ascii="仿宋" w:hAnsi="仿宋" w:eastAsia="仿宋" w:cs="仿宋"/>
          <w:b w:val="0"/>
          <w:bCs w:val="0"/>
          <w:color w:val="auto"/>
          <w:kern w:val="2"/>
          <w:sz w:val="32"/>
          <w:szCs w:val="24"/>
          <w:lang w:val="en-US"/>
        </w:rPr>
        <w:t>办公费、印刷费、电费、差旅费、培训费、工会经费、福利费等</w:t>
      </w:r>
      <w:r>
        <w:rPr>
          <w:rFonts w:hint="eastAsia" w:ascii="仿宋" w:hAnsi="仿宋" w:eastAsia="仿宋" w:cs="仿宋"/>
          <w:b w:val="0"/>
          <w:bCs w:val="0"/>
          <w:color w:val="000000"/>
          <w:kern w:val="2"/>
          <w:sz w:val="32"/>
          <w:szCs w:val="24"/>
          <w:lang w:val="zh-CN"/>
        </w:rPr>
        <w:t>。</w:t>
      </w:r>
    </w:p>
    <w:p w14:paraId="75E2010F">
      <w:pPr>
        <w:spacing w:beforeLines="0" w:afterLines="0" w:line="576" w:lineRule="exact"/>
        <w:ind w:firstLine="643"/>
        <w:jc w:val="both"/>
        <w:outlineLvl w:val="1"/>
        <w:rPr>
          <w:rFonts w:hint="eastAsia" w:ascii="黑体" w:hAnsi="黑体" w:eastAsia="黑体"/>
          <w:color w:val="auto"/>
          <w:kern w:val="2"/>
          <w:sz w:val="32"/>
          <w:szCs w:val="24"/>
          <w:lang w:val="zh-CN"/>
        </w:rPr>
      </w:pPr>
      <w:bookmarkStart w:id="10" w:name="_Toc10822"/>
      <w:r>
        <w:rPr>
          <w:rFonts w:hint="eastAsia" w:ascii="黑体" w:hAnsi="黑体" w:eastAsia="黑体"/>
          <w:color w:val="000000"/>
          <w:kern w:val="2"/>
          <w:sz w:val="32"/>
          <w:szCs w:val="24"/>
          <w:highlight w:val="none"/>
          <w:lang w:val="zh-CN"/>
        </w:rPr>
        <w:t>七、</w:t>
      </w:r>
      <w:r>
        <w:rPr>
          <w:rFonts w:hint="default" w:ascii="黑体" w:hAnsi="黑体" w:eastAsia="黑体"/>
          <w:b/>
          <w:color w:val="auto"/>
          <w:kern w:val="2"/>
          <w:sz w:val="32"/>
          <w:szCs w:val="24"/>
          <w:highlight w:val="none"/>
          <w:lang w:val="zh-CN"/>
        </w:rPr>
        <w:t>“</w:t>
      </w:r>
      <w:r>
        <w:rPr>
          <w:rFonts w:hint="eastAsia" w:ascii="黑体" w:hAnsi="黑体" w:eastAsia="黑体"/>
          <w:color w:val="auto"/>
          <w:kern w:val="2"/>
          <w:sz w:val="32"/>
          <w:szCs w:val="24"/>
          <w:highlight w:val="none"/>
          <w:lang w:val="zh-CN"/>
        </w:rPr>
        <w:t>三公</w:t>
      </w:r>
      <w:r>
        <w:rPr>
          <w:rFonts w:hint="default" w:ascii="黑体" w:hAnsi="黑体" w:eastAsia="黑体"/>
          <w:color w:val="auto"/>
          <w:kern w:val="2"/>
          <w:sz w:val="32"/>
          <w:szCs w:val="24"/>
          <w:highlight w:val="none"/>
          <w:lang w:val="zh-CN"/>
        </w:rPr>
        <w:t>”</w:t>
      </w:r>
      <w:r>
        <w:rPr>
          <w:rFonts w:hint="eastAsia" w:ascii="黑体" w:hAnsi="黑体" w:eastAsia="黑体"/>
          <w:color w:val="auto"/>
          <w:kern w:val="2"/>
          <w:sz w:val="32"/>
          <w:szCs w:val="24"/>
          <w:lang w:val="zh-CN"/>
        </w:rPr>
        <w:t>经费财政拨款支出决算情况说明</w:t>
      </w:r>
      <w:bookmarkEnd w:id="10"/>
    </w:p>
    <w:p w14:paraId="23BCCFE1">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lang w:val="zh-CN"/>
        </w:rPr>
        <w:t>（一）“三公”经费财政拨款支出决算总体情况说明</w:t>
      </w:r>
    </w:p>
    <w:p w14:paraId="3FFE4FE1">
      <w:pPr>
        <w:keepNext/>
        <w:keepLines/>
        <w:spacing w:beforeLines="0" w:afterLines="0" w:line="576" w:lineRule="exact"/>
        <w:ind w:firstLine="640"/>
        <w:jc w:val="both"/>
        <w:rPr>
          <w:rFonts w:hint="eastAsia" w:ascii="仿宋" w:hAnsi="仿宋" w:eastAsia="仿宋" w:cs="仿宋"/>
          <w:color w:val="000000"/>
          <w:kern w:val="2"/>
          <w:sz w:val="32"/>
          <w:szCs w:val="24"/>
          <w:highlight w:val="none"/>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年“三公”经费财政拨款支出决算为0万元，完成预算0%；较</w:t>
      </w:r>
      <w:r>
        <w:rPr>
          <w:rFonts w:hint="eastAsia" w:ascii="仿宋" w:hAnsi="仿宋" w:eastAsia="仿宋" w:cs="仿宋"/>
          <w:color w:val="000000"/>
          <w:kern w:val="2"/>
          <w:sz w:val="32"/>
          <w:szCs w:val="24"/>
          <w:highlight w:val="none"/>
          <w:lang w:val="zh-CN"/>
        </w:rPr>
        <w:t>上年</w:t>
      </w:r>
      <w:r>
        <w:rPr>
          <w:rFonts w:hint="eastAsia" w:ascii="仿宋" w:hAnsi="仿宋" w:eastAsia="仿宋" w:cs="仿宋"/>
          <w:color w:val="000000"/>
          <w:kern w:val="2"/>
          <w:sz w:val="32"/>
          <w:szCs w:val="24"/>
          <w:highlight w:val="none"/>
          <w:lang w:val="en-US" w:eastAsia="zh-CN"/>
        </w:rPr>
        <w:t>增加0</w:t>
      </w:r>
      <w:r>
        <w:rPr>
          <w:rFonts w:hint="eastAsia" w:ascii="仿宋" w:hAnsi="仿宋" w:eastAsia="仿宋" w:cs="仿宋"/>
          <w:color w:val="000000"/>
          <w:kern w:val="2"/>
          <w:sz w:val="32"/>
          <w:szCs w:val="24"/>
          <w:highlight w:val="none"/>
          <w:lang w:val="zh-CN"/>
        </w:rPr>
        <w:t>万元，</w:t>
      </w:r>
      <w:r>
        <w:rPr>
          <w:rFonts w:hint="eastAsia" w:ascii="仿宋" w:hAnsi="仿宋" w:eastAsia="仿宋" w:cs="仿宋"/>
          <w:color w:val="000000"/>
          <w:kern w:val="2"/>
          <w:sz w:val="32"/>
          <w:szCs w:val="24"/>
          <w:highlight w:val="none"/>
          <w:lang w:val="en-US" w:eastAsia="zh-CN"/>
        </w:rPr>
        <w:t>增加0</w:t>
      </w:r>
      <w:r>
        <w:rPr>
          <w:rFonts w:hint="eastAsia" w:ascii="仿宋" w:hAnsi="仿宋" w:eastAsia="仿宋" w:cs="仿宋"/>
          <w:color w:val="000000"/>
          <w:kern w:val="2"/>
          <w:sz w:val="32"/>
          <w:szCs w:val="24"/>
          <w:highlight w:val="none"/>
          <w:lang w:val="zh-CN"/>
        </w:rPr>
        <w:t>%。</w:t>
      </w:r>
    </w:p>
    <w:p w14:paraId="2B8187D6">
      <w:pPr>
        <w:pStyle w:val="2"/>
        <w:rPr>
          <w:rFonts w:hint="eastAsia"/>
          <w:lang w:val="zh-CN"/>
        </w:rPr>
      </w:pPr>
    </w:p>
    <w:p w14:paraId="34C64B80">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lang w:val="zh-CN"/>
        </w:rPr>
        <w:t>（二）</w:t>
      </w:r>
      <w:r>
        <w:rPr>
          <w:rFonts w:hint="default" w:ascii="楷体" w:hAnsi="楷体" w:eastAsia="楷体" w:cs="楷体"/>
          <w:b w:val="0"/>
          <w:bCs/>
          <w:color w:val="000000"/>
          <w:kern w:val="2"/>
          <w:sz w:val="32"/>
          <w:szCs w:val="24"/>
          <w:lang w:val="zh-CN"/>
        </w:rPr>
        <w:t>“</w:t>
      </w:r>
      <w:r>
        <w:rPr>
          <w:rFonts w:hint="eastAsia" w:ascii="楷体" w:hAnsi="楷体" w:eastAsia="楷体" w:cs="楷体"/>
          <w:b w:val="0"/>
          <w:bCs/>
          <w:color w:val="000000"/>
          <w:kern w:val="2"/>
          <w:sz w:val="32"/>
          <w:szCs w:val="24"/>
          <w:lang w:val="zh-CN"/>
        </w:rPr>
        <w:t>三公</w:t>
      </w:r>
      <w:r>
        <w:rPr>
          <w:rFonts w:hint="default" w:ascii="楷体" w:hAnsi="楷体" w:eastAsia="楷体" w:cs="楷体"/>
          <w:b w:val="0"/>
          <w:bCs/>
          <w:color w:val="000000"/>
          <w:kern w:val="2"/>
          <w:sz w:val="32"/>
          <w:szCs w:val="24"/>
          <w:lang w:val="zh-CN"/>
        </w:rPr>
        <w:t>”</w:t>
      </w:r>
      <w:r>
        <w:rPr>
          <w:rFonts w:hint="eastAsia" w:ascii="楷体" w:hAnsi="楷体" w:eastAsia="楷体" w:cs="楷体"/>
          <w:b w:val="0"/>
          <w:bCs/>
          <w:color w:val="000000"/>
          <w:kern w:val="2"/>
          <w:sz w:val="32"/>
          <w:szCs w:val="24"/>
          <w:lang w:val="zh-CN"/>
        </w:rPr>
        <w:t>经费财政拨款支出决算具体情况说明</w:t>
      </w:r>
    </w:p>
    <w:p w14:paraId="2FA3FA6C">
      <w:pPr>
        <w:spacing w:beforeLines="0" w:afterLines="0" w:line="600" w:lineRule="exact"/>
        <w:ind w:firstLine="592" w:firstLineChars="200"/>
        <w:jc w:val="both"/>
        <w:rPr>
          <w:rFonts w:hint="eastAsia" w:ascii="仿宋" w:hAnsi="仿宋" w:eastAsia="仿宋" w:cs="仿宋"/>
          <w:color w:val="000000"/>
          <w:kern w:val="2"/>
          <w:sz w:val="32"/>
          <w:szCs w:val="24"/>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年“三公”经费财政拨款支出决算中，因公出国（境）费支出决算0万元，占0%；公务用车购置及运行维护费支出决算0万元，占0%；公务接待费支出决算0万元，占0%。</w:t>
      </w:r>
    </w:p>
    <w:p w14:paraId="35478517">
      <w:pPr>
        <w:pStyle w:val="2"/>
        <w:jc w:val="center"/>
        <w:rPr>
          <w:rFonts w:ascii="仿宋" w:hAnsi="仿宋" w:eastAsia="仿宋"/>
          <w:sz w:val="32"/>
          <w:szCs w:val="32"/>
        </w:rPr>
      </w:pPr>
      <w:r>
        <w:rPr>
          <w:rFonts w:ascii="仿宋" w:hAnsi="仿宋" w:eastAsia="仿宋"/>
          <w:sz w:val="32"/>
          <w:szCs w:val="32"/>
        </w:rPr>
        <w:drawing>
          <wp:anchor distT="0" distB="0" distL="114300" distR="114300" simplePos="0" relativeHeight="251666432" behindDoc="0" locked="0" layoutInCell="1" allowOverlap="1">
            <wp:simplePos x="0" y="0"/>
            <wp:positionH relativeFrom="column">
              <wp:posOffset>773430</wp:posOffset>
            </wp:positionH>
            <wp:positionV relativeFrom="paragraph">
              <wp:posOffset>47625</wp:posOffset>
            </wp:positionV>
            <wp:extent cx="3746500" cy="1617980"/>
            <wp:effectExtent l="5080" t="4445" r="20320" b="15875"/>
            <wp:wrapNone/>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p>
    <w:p w14:paraId="78032278">
      <w:pPr>
        <w:pStyle w:val="2"/>
        <w:jc w:val="center"/>
        <w:rPr>
          <w:rFonts w:ascii="仿宋" w:hAnsi="仿宋" w:eastAsia="仿宋"/>
          <w:sz w:val="32"/>
          <w:szCs w:val="32"/>
        </w:rPr>
      </w:pPr>
    </w:p>
    <w:p w14:paraId="51A11CC6">
      <w:pPr>
        <w:pStyle w:val="3"/>
        <w:rPr>
          <w:rFonts w:ascii="仿宋" w:hAnsi="仿宋" w:eastAsia="仿宋"/>
          <w:sz w:val="32"/>
          <w:szCs w:val="32"/>
        </w:rPr>
      </w:pPr>
    </w:p>
    <w:p w14:paraId="5A10538E">
      <w:pPr>
        <w:rPr>
          <w:rFonts w:ascii="仿宋" w:hAnsi="仿宋" w:eastAsia="仿宋"/>
          <w:sz w:val="32"/>
          <w:szCs w:val="32"/>
        </w:rPr>
      </w:pPr>
    </w:p>
    <w:p w14:paraId="1717B225">
      <w:pPr>
        <w:pStyle w:val="2"/>
      </w:pPr>
    </w:p>
    <w:p w14:paraId="077EBFE1">
      <w:pPr>
        <w:rPr>
          <w:rFonts w:hint="eastAsia"/>
          <w:lang w:val="en-US"/>
        </w:rPr>
      </w:pPr>
    </w:p>
    <w:p w14:paraId="02C7ED06">
      <w:pPr>
        <w:numPr>
          <w:ilvl w:val="0"/>
          <w:numId w:val="2"/>
        </w:numPr>
        <w:spacing w:beforeLines="0" w:afterLines="0" w:line="600" w:lineRule="exact"/>
        <w:ind w:firstLine="640"/>
        <w:jc w:val="both"/>
        <w:rPr>
          <w:rFonts w:hint="eastAsia" w:ascii="仿宋" w:hAnsi="仿宋" w:eastAsia="仿宋" w:cs="仿宋"/>
          <w:b w:val="0"/>
          <w:bCs/>
          <w:color w:val="000000"/>
          <w:kern w:val="2"/>
          <w:sz w:val="32"/>
          <w:szCs w:val="24"/>
          <w:lang w:val="zh-CN"/>
        </w:rPr>
      </w:pPr>
      <w:r>
        <w:rPr>
          <w:rFonts w:hint="eastAsia" w:ascii="仿宋" w:hAnsi="仿宋" w:eastAsia="仿宋" w:cs="仿宋"/>
          <w:b w:val="0"/>
          <w:bCs/>
          <w:color w:val="000000"/>
          <w:kern w:val="2"/>
          <w:sz w:val="32"/>
          <w:szCs w:val="24"/>
          <w:lang w:val="zh-CN"/>
        </w:rPr>
        <w:t>因公出国（境）经费支出0万元，完成预算0%。全年安排因公出国（境）团组0个，出国（境）0人。因公出国（境）支出决算比202</w:t>
      </w:r>
      <w:r>
        <w:rPr>
          <w:rFonts w:hint="eastAsia" w:ascii="仿宋" w:hAnsi="仿宋" w:eastAsia="仿宋" w:cs="仿宋"/>
          <w:b w:val="0"/>
          <w:bCs/>
          <w:color w:val="000000"/>
          <w:kern w:val="2"/>
          <w:sz w:val="32"/>
          <w:szCs w:val="24"/>
          <w:lang w:val="en-US" w:eastAsia="zh-CN"/>
        </w:rPr>
        <w:t>3</w:t>
      </w:r>
      <w:r>
        <w:rPr>
          <w:rFonts w:hint="eastAsia" w:ascii="仿宋" w:hAnsi="仿宋" w:eastAsia="仿宋" w:cs="仿宋"/>
          <w:b w:val="0"/>
          <w:bCs/>
          <w:color w:val="000000"/>
          <w:kern w:val="2"/>
          <w:sz w:val="32"/>
          <w:szCs w:val="24"/>
          <w:lang w:val="zh-CN"/>
        </w:rPr>
        <w:t>年</w:t>
      </w:r>
      <w:r>
        <w:rPr>
          <w:rFonts w:hint="eastAsia" w:ascii="仿宋" w:hAnsi="仿宋" w:eastAsia="仿宋" w:cs="仿宋"/>
          <w:b w:val="0"/>
          <w:bCs/>
          <w:color w:val="000000"/>
          <w:kern w:val="2"/>
          <w:sz w:val="32"/>
          <w:szCs w:val="24"/>
          <w:highlight w:val="none"/>
          <w:lang w:val="zh-CN"/>
        </w:rPr>
        <w:t>增</w:t>
      </w:r>
      <w:r>
        <w:rPr>
          <w:rFonts w:hint="eastAsia" w:ascii="仿宋" w:hAnsi="仿宋" w:eastAsia="仿宋" w:cs="仿宋"/>
          <w:b w:val="0"/>
          <w:bCs/>
          <w:color w:val="000000"/>
          <w:kern w:val="2"/>
          <w:sz w:val="32"/>
          <w:szCs w:val="24"/>
          <w:highlight w:val="none"/>
          <w:lang w:val="en-US" w:eastAsia="zh-CN"/>
        </w:rPr>
        <w:t>加</w:t>
      </w:r>
      <w:r>
        <w:rPr>
          <w:rFonts w:hint="eastAsia" w:ascii="仿宋" w:hAnsi="仿宋" w:eastAsia="仿宋" w:cs="仿宋"/>
          <w:b w:val="0"/>
          <w:bCs/>
          <w:color w:val="000000"/>
          <w:kern w:val="2"/>
          <w:sz w:val="32"/>
          <w:szCs w:val="24"/>
          <w:highlight w:val="none"/>
          <w:lang w:val="zh-CN"/>
        </w:rPr>
        <w:t>0万元，</w:t>
      </w:r>
      <w:r>
        <w:rPr>
          <w:rFonts w:hint="eastAsia" w:ascii="仿宋" w:hAnsi="仿宋" w:eastAsia="仿宋" w:cs="仿宋"/>
          <w:b w:val="0"/>
          <w:bCs/>
          <w:color w:val="000000"/>
          <w:kern w:val="2"/>
          <w:sz w:val="32"/>
          <w:szCs w:val="24"/>
          <w:highlight w:val="none"/>
          <w:lang w:val="en-US" w:eastAsia="zh-CN"/>
        </w:rPr>
        <w:t>与2023年持平。</w:t>
      </w:r>
    </w:p>
    <w:p w14:paraId="46A3F62C">
      <w:pPr>
        <w:numPr>
          <w:ilvl w:val="0"/>
          <w:numId w:val="2"/>
        </w:numPr>
        <w:spacing w:beforeLines="0" w:afterLines="0" w:line="600" w:lineRule="exact"/>
        <w:ind w:firstLine="640"/>
        <w:jc w:val="both"/>
        <w:rPr>
          <w:rFonts w:hint="eastAsia" w:ascii="仿宋" w:hAnsi="仿宋" w:eastAsia="仿宋" w:cs="仿宋"/>
          <w:b w:val="0"/>
          <w:bCs/>
          <w:color w:val="000000"/>
          <w:kern w:val="2"/>
          <w:sz w:val="32"/>
          <w:szCs w:val="24"/>
          <w:highlight w:val="none"/>
          <w:lang w:val="zh-CN"/>
        </w:rPr>
      </w:pPr>
      <w:r>
        <w:rPr>
          <w:rFonts w:hint="eastAsia" w:ascii="仿宋" w:hAnsi="仿宋" w:eastAsia="仿宋" w:cs="仿宋"/>
          <w:b w:val="0"/>
          <w:bCs/>
          <w:color w:val="000000"/>
          <w:kern w:val="2"/>
          <w:sz w:val="32"/>
          <w:szCs w:val="24"/>
          <w:lang w:val="zh-CN"/>
        </w:rPr>
        <w:t>公务用车购置及运行维护费支出0万元，完成预算0%。公务用车购置及运行维护费支出决算比202</w:t>
      </w:r>
      <w:r>
        <w:rPr>
          <w:rFonts w:hint="eastAsia" w:ascii="仿宋" w:hAnsi="仿宋" w:eastAsia="仿宋" w:cs="仿宋"/>
          <w:b w:val="0"/>
          <w:bCs/>
          <w:color w:val="000000"/>
          <w:kern w:val="2"/>
          <w:sz w:val="32"/>
          <w:szCs w:val="24"/>
          <w:highlight w:val="none"/>
          <w:lang w:val="en-US" w:eastAsia="zh-CN"/>
        </w:rPr>
        <w:t>3</w:t>
      </w:r>
      <w:r>
        <w:rPr>
          <w:rFonts w:hint="eastAsia" w:ascii="仿宋" w:hAnsi="仿宋" w:eastAsia="仿宋" w:cs="仿宋"/>
          <w:b w:val="0"/>
          <w:bCs/>
          <w:color w:val="000000"/>
          <w:kern w:val="2"/>
          <w:sz w:val="32"/>
          <w:szCs w:val="24"/>
          <w:highlight w:val="none"/>
          <w:lang w:val="zh-CN"/>
        </w:rPr>
        <w:t>年增加0万元，</w:t>
      </w:r>
      <w:r>
        <w:rPr>
          <w:rFonts w:hint="eastAsia" w:ascii="仿宋" w:hAnsi="仿宋" w:eastAsia="仿宋" w:cs="仿宋"/>
          <w:b w:val="0"/>
          <w:bCs/>
          <w:color w:val="000000"/>
          <w:kern w:val="2"/>
          <w:sz w:val="32"/>
          <w:szCs w:val="24"/>
          <w:highlight w:val="none"/>
          <w:lang w:val="en-US" w:eastAsia="zh-CN"/>
        </w:rPr>
        <w:t>与2023年持平</w:t>
      </w:r>
      <w:r>
        <w:rPr>
          <w:rFonts w:hint="eastAsia" w:ascii="仿宋" w:hAnsi="仿宋" w:eastAsia="仿宋" w:cs="仿宋"/>
          <w:b w:val="0"/>
          <w:bCs/>
          <w:color w:val="000000"/>
          <w:kern w:val="2"/>
          <w:sz w:val="32"/>
          <w:szCs w:val="24"/>
          <w:highlight w:val="none"/>
          <w:lang w:val="zh-CN"/>
        </w:rPr>
        <w:t>。其中：公务用车购置费支出0万元。全年按规定更新购置公务用车0辆，</w:t>
      </w:r>
    </w:p>
    <w:p w14:paraId="425ED3F3">
      <w:pPr>
        <w:keepNext/>
        <w:keepLines/>
        <w:spacing w:beforeLines="0" w:afterLines="0" w:line="576" w:lineRule="exact"/>
        <w:ind w:firstLine="643"/>
        <w:jc w:val="both"/>
        <w:rPr>
          <w:rFonts w:hint="eastAsia" w:ascii="仿宋" w:hAnsi="仿宋" w:eastAsia="仿宋" w:cs="仿宋"/>
          <w:b w:val="0"/>
          <w:bCs/>
          <w:color w:val="000000"/>
          <w:kern w:val="2"/>
          <w:sz w:val="32"/>
          <w:szCs w:val="24"/>
          <w:highlight w:val="none"/>
          <w:lang w:val="zh-CN"/>
        </w:rPr>
      </w:pPr>
      <w:r>
        <w:rPr>
          <w:rFonts w:hint="eastAsia" w:ascii="仿宋" w:hAnsi="仿宋" w:eastAsia="仿宋" w:cs="仿宋"/>
          <w:b w:val="0"/>
          <w:bCs/>
          <w:color w:val="000000"/>
          <w:kern w:val="2"/>
          <w:sz w:val="32"/>
          <w:szCs w:val="24"/>
          <w:highlight w:val="none"/>
          <w:lang w:val="zh-CN"/>
        </w:rPr>
        <w:t>公务用车运行维护费支出0万元。</w:t>
      </w:r>
    </w:p>
    <w:p w14:paraId="7961F2B0">
      <w:pPr>
        <w:keepNext/>
        <w:keepLines/>
        <w:numPr>
          <w:ilvl w:val="0"/>
          <w:numId w:val="3"/>
        </w:numPr>
        <w:spacing w:beforeLines="0" w:afterLines="0" w:line="576" w:lineRule="exact"/>
        <w:ind w:firstLine="643"/>
        <w:jc w:val="both"/>
        <w:rPr>
          <w:rFonts w:hint="eastAsia" w:ascii="仿宋" w:hAnsi="仿宋" w:eastAsia="仿宋" w:cs="仿宋"/>
          <w:b w:val="0"/>
          <w:bCs/>
          <w:color w:val="000000"/>
          <w:kern w:val="2"/>
          <w:sz w:val="32"/>
          <w:szCs w:val="24"/>
          <w:highlight w:val="none"/>
          <w:lang w:val="zh-CN"/>
        </w:rPr>
      </w:pPr>
      <w:r>
        <w:rPr>
          <w:rFonts w:hint="eastAsia" w:ascii="仿宋" w:hAnsi="仿宋" w:eastAsia="仿宋" w:cs="仿宋"/>
          <w:b w:val="0"/>
          <w:bCs/>
          <w:color w:val="000000"/>
          <w:kern w:val="2"/>
          <w:sz w:val="32"/>
          <w:szCs w:val="24"/>
          <w:highlight w:val="none"/>
          <w:lang w:val="zh-CN"/>
        </w:rPr>
        <w:t>公务接待费支出0万元，完成预算0%。公务接待费支出决算比202</w:t>
      </w:r>
      <w:r>
        <w:rPr>
          <w:rFonts w:hint="eastAsia" w:ascii="仿宋" w:hAnsi="仿宋" w:eastAsia="仿宋" w:cs="仿宋"/>
          <w:b w:val="0"/>
          <w:bCs/>
          <w:color w:val="000000"/>
          <w:kern w:val="2"/>
          <w:sz w:val="32"/>
          <w:szCs w:val="24"/>
          <w:highlight w:val="none"/>
          <w:lang w:val="en-US" w:eastAsia="zh-CN"/>
        </w:rPr>
        <w:t>3</w:t>
      </w:r>
      <w:r>
        <w:rPr>
          <w:rFonts w:hint="eastAsia" w:ascii="仿宋" w:hAnsi="仿宋" w:eastAsia="仿宋" w:cs="仿宋"/>
          <w:b w:val="0"/>
          <w:bCs/>
          <w:color w:val="000000"/>
          <w:kern w:val="2"/>
          <w:sz w:val="32"/>
          <w:szCs w:val="24"/>
          <w:highlight w:val="none"/>
          <w:lang w:val="zh-CN"/>
        </w:rPr>
        <w:t>年增加</w:t>
      </w:r>
      <w:r>
        <w:rPr>
          <w:rFonts w:hint="eastAsia" w:ascii="仿宋" w:hAnsi="仿宋" w:eastAsia="仿宋" w:cs="仿宋"/>
          <w:b w:val="0"/>
          <w:bCs/>
          <w:color w:val="000000"/>
          <w:kern w:val="2"/>
          <w:sz w:val="32"/>
          <w:szCs w:val="24"/>
          <w:highlight w:val="none"/>
          <w:lang w:val="en-US" w:eastAsia="zh-CN"/>
        </w:rPr>
        <w:t>0</w:t>
      </w:r>
      <w:r>
        <w:rPr>
          <w:rFonts w:hint="eastAsia" w:ascii="仿宋" w:hAnsi="仿宋" w:eastAsia="仿宋" w:cs="仿宋"/>
          <w:b w:val="0"/>
          <w:bCs/>
          <w:color w:val="000000"/>
          <w:kern w:val="2"/>
          <w:sz w:val="32"/>
          <w:szCs w:val="24"/>
          <w:highlight w:val="none"/>
          <w:lang w:val="zh-CN"/>
        </w:rPr>
        <w:t>万元，</w:t>
      </w:r>
      <w:r>
        <w:rPr>
          <w:rFonts w:hint="eastAsia" w:ascii="仿宋" w:hAnsi="仿宋" w:eastAsia="仿宋" w:cs="仿宋"/>
          <w:b w:val="0"/>
          <w:bCs/>
          <w:color w:val="000000"/>
          <w:kern w:val="2"/>
          <w:sz w:val="32"/>
          <w:szCs w:val="24"/>
          <w:highlight w:val="none"/>
          <w:lang w:val="en-US" w:eastAsia="zh-CN"/>
        </w:rPr>
        <w:t>与2023年持平</w:t>
      </w:r>
      <w:r>
        <w:rPr>
          <w:rFonts w:hint="eastAsia" w:ascii="仿宋" w:hAnsi="仿宋" w:eastAsia="仿宋" w:cs="仿宋"/>
          <w:b w:val="0"/>
          <w:bCs/>
          <w:color w:val="000000"/>
          <w:kern w:val="2"/>
          <w:sz w:val="32"/>
          <w:szCs w:val="24"/>
          <w:highlight w:val="none"/>
          <w:lang w:val="zh-CN"/>
        </w:rPr>
        <w:t>。</w:t>
      </w:r>
    </w:p>
    <w:p w14:paraId="422727CE">
      <w:pPr>
        <w:keepNext/>
        <w:keepLines/>
        <w:numPr>
          <w:ilvl w:val="0"/>
          <w:numId w:val="3"/>
        </w:numPr>
        <w:spacing w:beforeLines="0" w:afterLines="0" w:line="576" w:lineRule="exact"/>
        <w:ind w:firstLine="643"/>
        <w:jc w:val="both"/>
        <w:rPr>
          <w:rFonts w:hint="eastAsia" w:ascii="仿宋" w:hAnsi="仿宋" w:eastAsia="仿宋" w:cs="仿宋"/>
          <w:b w:val="0"/>
          <w:bCs/>
          <w:color w:val="000000"/>
          <w:kern w:val="2"/>
          <w:sz w:val="32"/>
          <w:szCs w:val="24"/>
          <w:lang w:val="en-US"/>
        </w:rPr>
      </w:pPr>
      <w:r>
        <w:rPr>
          <w:rFonts w:hint="eastAsia" w:ascii="仿宋" w:hAnsi="仿宋" w:eastAsia="仿宋" w:cs="仿宋"/>
          <w:b w:val="0"/>
          <w:bCs/>
          <w:color w:val="000000"/>
          <w:kern w:val="2"/>
          <w:sz w:val="32"/>
          <w:szCs w:val="24"/>
          <w:lang w:val="zh-CN"/>
        </w:rPr>
        <w:t>国内公务接待支出0万元。</w:t>
      </w:r>
    </w:p>
    <w:p w14:paraId="2AE74B99">
      <w:pPr>
        <w:keepNext/>
        <w:keepLines/>
        <w:spacing w:beforeLines="0" w:afterLines="0" w:line="576" w:lineRule="exact"/>
        <w:ind w:firstLine="643"/>
        <w:jc w:val="both"/>
        <w:rPr>
          <w:rFonts w:hint="eastAsia" w:ascii="仿宋" w:hAnsi="仿宋" w:eastAsia="仿宋" w:cs="仿宋"/>
          <w:b w:val="0"/>
          <w:bCs/>
          <w:color w:val="000000"/>
          <w:kern w:val="2"/>
          <w:sz w:val="32"/>
          <w:szCs w:val="24"/>
          <w:lang w:val="en-US"/>
        </w:rPr>
      </w:pPr>
      <w:r>
        <w:rPr>
          <w:rFonts w:hint="eastAsia" w:ascii="仿宋" w:hAnsi="仿宋" w:eastAsia="仿宋" w:cs="仿宋"/>
          <w:b w:val="0"/>
          <w:bCs/>
          <w:color w:val="000000"/>
          <w:kern w:val="2"/>
          <w:sz w:val="32"/>
          <w:szCs w:val="24"/>
          <w:lang w:val="zh-CN"/>
        </w:rPr>
        <w:t>外事接待支出0万元。</w:t>
      </w:r>
    </w:p>
    <w:p w14:paraId="05DEEF5C">
      <w:pPr>
        <w:keepNext/>
        <w:keepLines/>
        <w:spacing w:beforeLines="0" w:afterLines="0" w:line="576" w:lineRule="exact"/>
        <w:ind w:firstLine="640"/>
        <w:jc w:val="both"/>
        <w:outlineLvl w:val="1"/>
        <w:rPr>
          <w:rFonts w:hint="eastAsia" w:ascii="黑体" w:hAnsi="黑体" w:eastAsia="黑体"/>
          <w:b/>
          <w:color w:val="auto"/>
          <w:kern w:val="2"/>
          <w:sz w:val="32"/>
          <w:szCs w:val="24"/>
          <w:lang w:val="zh-CN"/>
        </w:rPr>
      </w:pPr>
      <w:bookmarkStart w:id="11" w:name="_Toc7578"/>
      <w:r>
        <w:rPr>
          <w:rFonts w:hint="eastAsia" w:ascii="黑体" w:hAnsi="黑体" w:eastAsia="黑体"/>
          <w:color w:val="000000"/>
          <w:kern w:val="2"/>
          <w:sz w:val="32"/>
          <w:szCs w:val="24"/>
          <w:lang w:val="zh-CN"/>
        </w:rPr>
        <w:t>八、</w:t>
      </w:r>
      <w:r>
        <w:rPr>
          <w:rFonts w:hint="eastAsia" w:ascii="黑体" w:hAnsi="黑体" w:eastAsia="黑体"/>
          <w:color w:val="auto"/>
          <w:kern w:val="2"/>
          <w:sz w:val="32"/>
          <w:szCs w:val="24"/>
          <w:lang w:val="zh-CN"/>
        </w:rPr>
        <w:t>政府性基金预算支出决算情况说明</w:t>
      </w:r>
      <w:bookmarkEnd w:id="11"/>
    </w:p>
    <w:p w14:paraId="2467FB34">
      <w:pPr>
        <w:spacing w:beforeLines="0" w:afterLines="0" w:line="576" w:lineRule="exact"/>
        <w:ind w:firstLine="640"/>
        <w:jc w:val="both"/>
        <w:rPr>
          <w:rFonts w:hint="eastAsia" w:ascii="仿宋" w:hAnsi="仿宋" w:eastAsia="仿宋" w:cs="仿宋"/>
          <w:color w:val="000000"/>
          <w:kern w:val="2"/>
          <w:sz w:val="32"/>
          <w:szCs w:val="24"/>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年政府性基金预算拨款支出0万元。</w:t>
      </w:r>
    </w:p>
    <w:p w14:paraId="2ED2885E">
      <w:pPr>
        <w:keepNext/>
        <w:keepLines/>
        <w:spacing w:beforeLines="0" w:afterLines="0" w:line="576" w:lineRule="exact"/>
        <w:ind w:firstLine="640"/>
        <w:jc w:val="both"/>
        <w:outlineLvl w:val="1"/>
        <w:rPr>
          <w:rFonts w:hint="eastAsia" w:ascii="黑体" w:hAnsi="黑体" w:eastAsia="黑体"/>
          <w:color w:val="auto"/>
          <w:kern w:val="2"/>
          <w:sz w:val="32"/>
          <w:szCs w:val="24"/>
          <w:lang w:val="zh-CN"/>
        </w:rPr>
      </w:pPr>
      <w:bookmarkStart w:id="12" w:name="_Toc6999"/>
      <w:r>
        <w:rPr>
          <w:rFonts w:hint="eastAsia" w:ascii="黑体" w:hAnsi="黑体" w:eastAsia="黑体"/>
          <w:color w:val="auto"/>
          <w:kern w:val="2"/>
          <w:sz w:val="32"/>
          <w:szCs w:val="24"/>
          <w:lang w:val="zh-CN"/>
        </w:rPr>
        <w:t>九、国有资本经营预算支出决算情况说明</w:t>
      </w:r>
      <w:bookmarkEnd w:id="12"/>
    </w:p>
    <w:p w14:paraId="287AAC9A">
      <w:pPr>
        <w:spacing w:beforeLines="0" w:afterLines="0" w:line="576" w:lineRule="exact"/>
        <w:ind w:firstLine="640"/>
        <w:jc w:val="both"/>
        <w:rPr>
          <w:rFonts w:hint="eastAsia" w:ascii="仿宋" w:hAnsi="仿宋" w:eastAsia="仿宋" w:cs="仿宋"/>
          <w:color w:val="000000"/>
          <w:kern w:val="2"/>
          <w:sz w:val="32"/>
          <w:szCs w:val="24"/>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年国有资本经营预算拨款支出0万元。</w:t>
      </w:r>
    </w:p>
    <w:p w14:paraId="429ADF98">
      <w:pPr>
        <w:keepNext/>
        <w:keepLines/>
        <w:spacing w:beforeLines="0" w:afterLines="0" w:line="576" w:lineRule="exact"/>
        <w:ind w:firstLine="640"/>
        <w:jc w:val="both"/>
        <w:outlineLvl w:val="1"/>
        <w:rPr>
          <w:rFonts w:hint="eastAsia" w:ascii="黑体" w:hAnsi="黑体" w:eastAsia="黑体"/>
          <w:b/>
          <w:color w:val="auto"/>
          <w:kern w:val="2"/>
          <w:sz w:val="32"/>
          <w:szCs w:val="24"/>
          <w:lang w:val="zh-CN"/>
        </w:rPr>
      </w:pPr>
      <w:bookmarkStart w:id="13" w:name="_Toc23463"/>
      <w:r>
        <w:rPr>
          <w:rFonts w:hint="eastAsia" w:ascii="黑体" w:hAnsi="黑体" w:eastAsia="黑体"/>
          <w:color w:val="000000"/>
          <w:kern w:val="2"/>
          <w:sz w:val="32"/>
          <w:szCs w:val="24"/>
          <w:lang w:val="zh-CN"/>
        </w:rPr>
        <w:t>十</w:t>
      </w:r>
      <w:r>
        <w:rPr>
          <w:rFonts w:hint="eastAsia" w:ascii="黑体" w:hAnsi="黑体" w:eastAsia="黑体"/>
          <w:b/>
          <w:color w:val="auto"/>
          <w:kern w:val="2"/>
          <w:sz w:val="32"/>
          <w:szCs w:val="24"/>
          <w:lang w:val="zh-CN"/>
        </w:rPr>
        <w:t>、</w:t>
      </w:r>
      <w:r>
        <w:rPr>
          <w:rFonts w:hint="eastAsia" w:ascii="黑体" w:hAnsi="黑体" w:eastAsia="黑体"/>
          <w:color w:val="auto"/>
          <w:kern w:val="2"/>
          <w:sz w:val="32"/>
          <w:szCs w:val="24"/>
          <w:lang w:val="zh-CN"/>
        </w:rPr>
        <w:t>其他重要事项的情况说明</w:t>
      </w:r>
      <w:bookmarkEnd w:id="13"/>
    </w:p>
    <w:p w14:paraId="08B90157">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lang w:val="zh-CN"/>
        </w:rPr>
        <w:t>（一）机关运行经费支出情况</w:t>
      </w:r>
    </w:p>
    <w:p w14:paraId="741659ED">
      <w:pPr>
        <w:spacing w:beforeLines="0" w:afterLines="0" w:line="576" w:lineRule="exact"/>
        <w:ind w:firstLine="640"/>
        <w:jc w:val="both"/>
        <w:rPr>
          <w:rFonts w:hint="eastAsia" w:ascii="仿宋" w:hAnsi="仿宋" w:eastAsia="仿宋" w:cs="仿宋"/>
          <w:color w:val="000000"/>
          <w:kern w:val="2"/>
          <w:sz w:val="32"/>
          <w:szCs w:val="24"/>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年，峨边彝族自治县哈曲乡中心小学机关运行经费支出0万元，比202</w:t>
      </w:r>
      <w:r>
        <w:rPr>
          <w:rFonts w:hint="eastAsia" w:ascii="仿宋" w:hAnsi="仿宋" w:eastAsia="仿宋" w:cs="仿宋"/>
          <w:color w:val="000000"/>
          <w:kern w:val="2"/>
          <w:sz w:val="32"/>
          <w:szCs w:val="24"/>
          <w:lang w:val="en-US" w:eastAsia="zh-CN"/>
        </w:rPr>
        <w:t>3</w:t>
      </w:r>
      <w:r>
        <w:rPr>
          <w:rFonts w:hint="eastAsia" w:ascii="仿宋" w:hAnsi="仿宋" w:eastAsia="仿宋" w:cs="仿宋"/>
          <w:color w:val="000000"/>
          <w:kern w:val="2"/>
          <w:sz w:val="32"/>
          <w:szCs w:val="24"/>
          <w:lang w:val="zh-CN"/>
        </w:rPr>
        <w:t>年</w:t>
      </w:r>
      <w:r>
        <w:rPr>
          <w:rFonts w:hint="eastAsia" w:ascii="仿宋" w:hAnsi="仿宋" w:eastAsia="仿宋" w:cs="仿宋"/>
          <w:color w:val="000000"/>
          <w:kern w:val="2"/>
          <w:sz w:val="32"/>
          <w:szCs w:val="24"/>
          <w:lang w:val="en-US" w:eastAsia="zh-CN"/>
        </w:rPr>
        <w:t>增</w:t>
      </w:r>
      <w:r>
        <w:rPr>
          <w:rFonts w:hint="eastAsia" w:ascii="仿宋" w:hAnsi="仿宋" w:eastAsia="仿宋" w:cs="仿宋"/>
          <w:color w:val="000000"/>
          <w:kern w:val="2"/>
          <w:sz w:val="32"/>
          <w:szCs w:val="24"/>
          <w:highlight w:val="none"/>
          <w:lang w:val="en-US" w:eastAsia="zh-CN"/>
        </w:rPr>
        <w:t>加</w:t>
      </w:r>
      <w:r>
        <w:rPr>
          <w:rFonts w:hint="eastAsia" w:ascii="仿宋" w:hAnsi="仿宋" w:eastAsia="仿宋" w:cs="仿宋"/>
          <w:color w:val="000000"/>
          <w:kern w:val="2"/>
          <w:sz w:val="32"/>
          <w:szCs w:val="24"/>
          <w:highlight w:val="none"/>
          <w:lang w:val="zh-CN"/>
        </w:rPr>
        <w:t>0万元，</w:t>
      </w:r>
      <w:r>
        <w:rPr>
          <w:rFonts w:hint="eastAsia" w:ascii="仿宋" w:hAnsi="仿宋" w:eastAsia="仿宋" w:cs="仿宋"/>
          <w:color w:val="000000"/>
          <w:kern w:val="2"/>
          <w:sz w:val="32"/>
          <w:szCs w:val="24"/>
          <w:highlight w:val="none"/>
          <w:lang w:val="en-US" w:eastAsia="zh-CN"/>
        </w:rPr>
        <w:t>与2023年持平</w:t>
      </w:r>
      <w:r>
        <w:rPr>
          <w:rFonts w:hint="eastAsia" w:ascii="仿宋" w:hAnsi="仿宋" w:eastAsia="仿宋" w:cs="仿宋"/>
          <w:color w:val="000000"/>
          <w:kern w:val="2"/>
          <w:sz w:val="32"/>
          <w:szCs w:val="24"/>
          <w:highlight w:val="none"/>
          <w:lang w:val="zh-CN"/>
        </w:rPr>
        <w:t>。</w:t>
      </w:r>
    </w:p>
    <w:p w14:paraId="2B765C41">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lang w:val="zh-CN"/>
        </w:rPr>
        <w:t>（二）政府采购支出情况</w:t>
      </w:r>
    </w:p>
    <w:p w14:paraId="6F206518">
      <w:pPr>
        <w:spacing w:beforeLines="0" w:afterLines="0" w:line="576" w:lineRule="exact"/>
        <w:ind w:firstLine="640"/>
        <w:jc w:val="both"/>
        <w:rPr>
          <w:rFonts w:hint="eastAsia" w:ascii="仿宋" w:hAnsi="仿宋" w:eastAsia="仿宋" w:cs="仿宋"/>
          <w:color w:val="000000"/>
          <w:kern w:val="2"/>
          <w:sz w:val="32"/>
          <w:szCs w:val="24"/>
          <w:lang w:val="zh-CN"/>
        </w:rPr>
      </w:pPr>
      <w:r>
        <w:rPr>
          <w:rFonts w:hint="eastAsia" w:ascii="仿宋" w:hAnsi="仿宋" w:eastAsia="仿宋" w:cs="仿宋"/>
          <w:color w:val="000000"/>
          <w:kern w:val="2"/>
          <w:sz w:val="32"/>
          <w:szCs w:val="24"/>
          <w:lang w:val="zh-CN"/>
        </w:rPr>
        <w:t>202</w:t>
      </w:r>
      <w:r>
        <w:rPr>
          <w:rFonts w:hint="eastAsia" w:ascii="仿宋" w:hAnsi="仿宋" w:eastAsia="仿宋" w:cs="仿宋"/>
          <w:color w:val="000000"/>
          <w:kern w:val="2"/>
          <w:sz w:val="32"/>
          <w:szCs w:val="24"/>
          <w:lang w:val="en-US" w:eastAsia="zh-CN"/>
        </w:rPr>
        <w:t>4</w:t>
      </w:r>
      <w:r>
        <w:rPr>
          <w:rFonts w:hint="eastAsia" w:ascii="仿宋" w:hAnsi="仿宋" w:eastAsia="仿宋" w:cs="仿宋"/>
          <w:color w:val="000000"/>
          <w:kern w:val="2"/>
          <w:sz w:val="32"/>
          <w:szCs w:val="24"/>
          <w:lang w:val="zh-CN"/>
        </w:rPr>
        <w:t>年，峨边彝族自治县哈曲乡中心小学政府采购支出总额0万元，其中：政府采购货物支出0万元、政府采购工程支出0万元、政府采购服务支出0万元。</w:t>
      </w:r>
    </w:p>
    <w:p w14:paraId="4AE84BC1">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lang w:val="zh-CN"/>
        </w:rPr>
        <w:t>（三）国有资产占有使用情况</w:t>
      </w:r>
    </w:p>
    <w:p w14:paraId="74F5CFDF">
      <w:pPr>
        <w:spacing w:beforeLines="0" w:afterLines="0" w:line="576" w:lineRule="exact"/>
        <w:ind w:firstLine="640"/>
        <w:rPr>
          <w:rFonts w:hint="eastAsia" w:ascii="仿宋" w:hAnsi="仿宋" w:eastAsia="仿宋" w:cs="仿宋"/>
          <w:color w:val="000000"/>
          <w:kern w:val="2"/>
          <w:sz w:val="32"/>
          <w:szCs w:val="24"/>
          <w:lang w:val="zh-CN"/>
        </w:rPr>
      </w:pPr>
      <w:r>
        <w:rPr>
          <w:rFonts w:hint="eastAsia" w:ascii="仿宋" w:hAnsi="仿宋" w:eastAsia="仿宋" w:cs="仿宋"/>
          <w:color w:val="000000"/>
          <w:kern w:val="2"/>
          <w:sz w:val="32"/>
          <w:szCs w:val="24"/>
          <w:lang w:val="zh-CN"/>
        </w:rPr>
        <w:t>截至20</w:t>
      </w:r>
      <w:r>
        <w:rPr>
          <w:rFonts w:hint="eastAsia" w:ascii="仿宋" w:hAnsi="仿宋" w:eastAsia="仿宋" w:cs="仿宋"/>
          <w:color w:val="000000"/>
          <w:kern w:val="2"/>
          <w:sz w:val="32"/>
          <w:szCs w:val="24"/>
          <w:lang w:val="en-US" w:eastAsia="zh-CN"/>
        </w:rPr>
        <w:t>24</w:t>
      </w:r>
      <w:r>
        <w:rPr>
          <w:rFonts w:hint="eastAsia" w:ascii="仿宋" w:hAnsi="仿宋" w:eastAsia="仿宋" w:cs="仿宋"/>
          <w:color w:val="000000"/>
          <w:kern w:val="2"/>
          <w:sz w:val="32"/>
          <w:szCs w:val="24"/>
          <w:lang w:val="zh-CN"/>
        </w:rPr>
        <w:t>年12月31日，峨边彝族自治县哈曲乡中心小学共有车辆0辆，其中：副部（省）级及以上领导用车0辆、主要领导干部用车0辆、机要通信用车0辆、应急保障用车0辆、执法执勤用车0辆、特种专业技术用车0辆、离退休干部用车0辆、其他用车0辆。单价100万元（含）以上设备0台。</w:t>
      </w:r>
    </w:p>
    <w:p w14:paraId="283751B9">
      <w:pPr>
        <w:keepNext/>
        <w:keepLines/>
        <w:spacing w:beforeLines="0" w:afterLines="0" w:line="576" w:lineRule="exact"/>
        <w:ind w:firstLine="643"/>
        <w:jc w:val="both"/>
        <w:rPr>
          <w:rFonts w:hint="eastAsia" w:ascii="楷体" w:hAnsi="楷体" w:eastAsia="楷体" w:cs="楷体"/>
          <w:b w:val="0"/>
          <w:bCs/>
          <w:color w:val="000000"/>
          <w:kern w:val="2"/>
          <w:sz w:val="32"/>
          <w:szCs w:val="24"/>
          <w:lang w:val="zh-CN"/>
        </w:rPr>
      </w:pPr>
      <w:r>
        <w:rPr>
          <w:rFonts w:hint="eastAsia" w:ascii="楷体" w:hAnsi="楷体" w:eastAsia="楷体" w:cs="楷体"/>
          <w:b w:val="0"/>
          <w:bCs/>
          <w:color w:val="000000"/>
          <w:kern w:val="2"/>
          <w:sz w:val="32"/>
          <w:szCs w:val="24"/>
          <w:lang w:val="zh-CN"/>
        </w:rPr>
        <w:t>（四）预算绩效管理情况</w:t>
      </w:r>
    </w:p>
    <w:p w14:paraId="57A990E1">
      <w:pPr>
        <w:spacing w:beforeLines="0" w:afterLines="0" w:line="576" w:lineRule="exact"/>
        <w:ind w:firstLine="643"/>
        <w:jc w:val="both"/>
        <w:rPr>
          <w:rFonts w:hint="eastAsia" w:ascii="仿宋_GB2312" w:hAnsi="仿宋_GB2312" w:eastAsia="仿宋_GB2312"/>
          <w:color w:val="auto"/>
          <w:kern w:val="2"/>
          <w:sz w:val="32"/>
          <w:szCs w:val="24"/>
          <w:lang w:val="en-US"/>
        </w:rPr>
      </w:pPr>
      <w:r>
        <w:rPr>
          <w:rFonts w:hint="eastAsia" w:ascii="仿宋" w:hAnsi="仿宋" w:eastAsia="仿宋" w:cs="仿宋"/>
          <w:color w:val="auto"/>
          <w:kern w:val="2"/>
          <w:sz w:val="32"/>
          <w:szCs w:val="24"/>
          <w:lang w:val="en-US"/>
        </w:rPr>
        <w:t>根据预算绩效管理要求，本单位在202</w:t>
      </w:r>
      <w:r>
        <w:rPr>
          <w:rFonts w:hint="eastAsia" w:ascii="仿宋" w:hAnsi="仿宋" w:eastAsia="仿宋" w:cs="仿宋"/>
          <w:color w:val="auto"/>
          <w:kern w:val="2"/>
          <w:sz w:val="32"/>
          <w:szCs w:val="24"/>
          <w:lang w:val="en-US" w:eastAsia="zh-CN"/>
        </w:rPr>
        <w:t>4</w:t>
      </w:r>
      <w:r>
        <w:rPr>
          <w:rFonts w:hint="eastAsia" w:ascii="仿宋" w:hAnsi="仿宋" w:eastAsia="仿宋" w:cs="仿宋"/>
          <w:color w:val="auto"/>
          <w:kern w:val="2"/>
          <w:sz w:val="32"/>
          <w:szCs w:val="24"/>
          <w:lang w:val="en-US"/>
        </w:rPr>
        <w:t>年度预算编制阶段，组织对</w:t>
      </w:r>
      <w:r>
        <w:rPr>
          <w:rFonts w:hint="eastAsia" w:ascii="仿宋" w:hAnsi="仿宋" w:eastAsia="仿宋" w:cs="仿宋"/>
          <w:color w:val="auto"/>
          <w:kern w:val="2"/>
          <w:sz w:val="32"/>
          <w:szCs w:val="24"/>
          <w:lang w:val="en-US" w:eastAsia="zh-CN"/>
        </w:rPr>
        <w:t>公用经费、营养餐、特岗教师等19</w:t>
      </w:r>
      <w:r>
        <w:rPr>
          <w:rFonts w:hint="eastAsia" w:ascii="仿宋" w:hAnsi="仿宋" w:eastAsia="仿宋" w:cs="仿宋"/>
          <w:color w:val="auto"/>
          <w:kern w:val="2"/>
          <w:sz w:val="32"/>
          <w:szCs w:val="24"/>
          <w:lang w:val="en-US"/>
        </w:rPr>
        <w:t>项目开展了预算事前绩效评估，对</w:t>
      </w:r>
      <w:r>
        <w:rPr>
          <w:rFonts w:hint="eastAsia" w:ascii="仿宋" w:hAnsi="仿宋" w:eastAsia="仿宋" w:cs="仿宋"/>
          <w:color w:val="auto"/>
          <w:kern w:val="2"/>
          <w:sz w:val="32"/>
          <w:szCs w:val="24"/>
          <w:lang w:val="en-US" w:eastAsia="zh-CN"/>
        </w:rPr>
        <w:t>19</w:t>
      </w:r>
      <w:r>
        <w:rPr>
          <w:rFonts w:hint="eastAsia" w:ascii="仿宋" w:hAnsi="仿宋" w:eastAsia="仿宋" w:cs="仿宋"/>
          <w:color w:val="auto"/>
          <w:kern w:val="2"/>
          <w:sz w:val="32"/>
          <w:szCs w:val="24"/>
          <w:lang w:val="en-US"/>
        </w:rPr>
        <w:t>个项目编制了绩效目标</w:t>
      </w:r>
      <w:r>
        <w:rPr>
          <w:rFonts w:hint="eastAsia" w:ascii="仿宋" w:hAnsi="仿宋" w:eastAsia="仿宋" w:cs="仿宋"/>
          <w:color w:val="auto"/>
          <w:kern w:val="2"/>
          <w:sz w:val="32"/>
          <w:szCs w:val="24"/>
          <w:lang w:val="en-US" w:eastAsia="zh-CN"/>
        </w:rPr>
        <w:t>，</w:t>
      </w:r>
      <w:r>
        <w:rPr>
          <w:rFonts w:hint="eastAsia" w:ascii="仿宋" w:hAnsi="仿宋" w:eastAsia="仿宋" w:cs="仿宋"/>
          <w:color w:val="auto"/>
          <w:kern w:val="2"/>
          <w:sz w:val="32"/>
          <w:szCs w:val="24"/>
          <w:lang w:val="en-US"/>
        </w:rPr>
        <w:t>预算执行过程中，选取</w:t>
      </w:r>
      <w:r>
        <w:rPr>
          <w:rFonts w:hint="eastAsia" w:ascii="仿宋" w:hAnsi="仿宋" w:eastAsia="仿宋" w:cs="仿宋"/>
          <w:color w:val="auto"/>
          <w:kern w:val="2"/>
          <w:sz w:val="32"/>
          <w:szCs w:val="24"/>
          <w:lang w:val="en-US" w:eastAsia="zh-CN"/>
        </w:rPr>
        <w:t>19</w:t>
      </w:r>
      <w:r>
        <w:rPr>
          <w:rFonts w:hint="eastAsia" w:ascii="仿宋" w:hAnsi="仿宋" w:eastAsia="仿宋" w:cs="仿宋"/>
          <w:color w:val="auto"/>
          <w:kern w:val="2"/>
          <w:sz w:val="32"/>
          <w:szCs w:val="24"/>
          <w:lang w:val="en-US"/>
        </w:rPr>
        <w:t>个项目开展绩效监控，组织对</w:t>
      </w:r>
      <w:r>
        <w:rPr>
          <w:rFonts w:hint="eastAsia" w:ascii="仿宋" w:hAnsi="仿宋" w:eastAsia="仿宋" w:cs="仿宋"/>
          <w:color w:val="auto"/>
          <w:kern w:val="2"/>
          <w:sz w:val="32"/>
          <w:szCs w:val="24"/>
          <w:lang w:val="en-US" w:eastAsia="zh-CN"/>
        </w:rPr>
        <w:t>19</w:t>
      </w:r>
      <w:r>
        <w:rPr>
          <w:rFonts w:hint="eastAsia" w:ascii="仿宋" w:hAnsi="仿宋" w:eastAsia="仿宋" w:cs="仿宋"/>
          <w:color w:val="auto"/>
          <w:kern w:val="2"/>
          <w:sz w:val="32"/>
          <w:szCs w:val="24"/>
          <w:lang w:val="en-US"/>
        </w:rPr>
        <w:t>个项目开展绩效自评，绩效自评表详见第四部分附件。</w:t>
      </w:r>
    </w:p>
    <w:p w14:paraId="48D916E1">
      <w:pPr>
        <w:keepNext/>
        <w:keepLines/>
        <w:spacing w:beforeLines="0" w:afterLines="0" w:line="576" w:lineRule="exact"/>
        <w:jc w:val="both"/>
        <w:outlineLvl w:val="0"/>
        <w:rPr>
          <w:rFonts w:hint="eastAsia" w:ascii="黑体" w:hAnsi="黑体" w:eastAsia="黑体"/>
          <w:color w:val="000000"/>
          <w:kern w:val="2"/>
          <w:sz w:val="44"/>
          <w:szCs w:val="24"/>
          <w:lang w:val="zh-CN"/>
        </w:rPr>
      </w:pPr>
      <w:bookmarkStart w:id="14" w:name="_Toc27666"/>
    </w:p>
    <w:p w14:paraId="71AAEE26">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5CB8AC57">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08791FD8">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68C5E881">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2DADE680">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25017E81">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0C5F0BC0">
      <w:pPr>
        <w:keepNext/>
        <w:keepLines/>
        <w:spacing w:beforeLines="0" w:afterLines="0" w:line="576" w:lineRule="exact"/>
        <w:jc w:val="both"/>
        <w:outlineLvl w:val="0"/>
        <w:rPr>
          <w:rFonts w:hint="eastAsia" w:ascii="黑体" w:hAnsi="黑体" w:eastAsia="黑体"/>
          <w:color w:val="000000"/>
          <w:kern w:val="2"/>
          <w:sz w:val="44"/>
          <w:szCs w:val="24"/>
          <w:lang w:val="zh-CN"/>
        </w:rPr>
      </w:pPr>
    </w:p>
    <w:p w14:paraId="47959F25">
      <w:pPr>
        <w:pStyle w:val="2"/>
        <w:rPr>
          <w:rFonts w:hint="eastAsia" w:ascii="黑体" w:hAnsi="黑体" w:eastAsia="黑体"/>
          <w:color w:val="000000"/>
          <w:kern w:val="2"/>
          <w:sz w:val="44"/>
          <w:szCs w:val="24"/>
          <w:lang w:val="zh-CN"/>
        </w:rPr>
      </w:pPr>
    </w:p>
    <w:p w14:paraId="09FF4266">
      <w:pPr>
        <w:pStyle w:val="3"/>
        <w:rPr>
          <w:rFonts w:hint="eastAsia" w:ascii="黑体" w:hAnsi="黑体" w:eastAsia="黑体"/>
          <w:color w:val="000000"/>
          <w:kern w:val="2"/>
          <w:sz w:val="44"/>
          <w:szCs w:val="24"/>
          <w:lang w:val="zh-CN"/>
        </w:rPr>
      </w:pPr>
    </w:p>
    <w:p w14:paraId="228B91F2">
      <w:pPr>
        <w:rPr>
          <w:rFonts w:hint="eastAsia" w:ascii="黑体" w:hAnsi="黑体" w:eastAsia="黑体"/>
          <w:color w:val="000000"/>
          <w:kern w:val="2"/>
          <w:sz w:val="44"/>
          <w:szCs w:val="24"/>
          <w:lang w:val="zh-CN"/>
        </w:rPr>
      </w:pPr>
    </w:p>
    <w:p w14:paraId="6FB103F4">
      <w:pPr>
        <w:pStyle w:val="2"/>
        <w:rPr>
          <w:rFonts w:hint="eastAsia" w:ascii="黑体" w:hAnsi="黑体" w:eastAsia="黑体"/>
          <w:color w:val="000000"/>
          <w:kern w:val="2"/>
          <w:sz w:val="44"/>
          <w:szCs w:val="24"/>
          <w:lang w:val="zh-CN"/>
        </w:rPr>
      </w:pPr>
    </w:p>
    <w:p w14:paraId="1B8E26EB">
      <w:pPr>
        <w:pStyle w:val="3"/>
        <w:rPr>
          <w:rFonts w:hint="eastAsia"/>
          <w:lang w:val="zh-CN"/>
        </w:rPr>
      </w:pPr>
    </w:p>
    <w:p w14:paraId="5EFD3264">
      <w:pPr>
        <w:pStyle w:val="3"/>
        <w:ind w:left="0" w:leftChars="0" w:firstLine="0" w:firstLineChars="0"/>
        <w:rPr>
          <w:rFonts w:hint="eastAsia"/>
          <w:lang w:val="zh-CN"/>
        </w:rPr>
      </w:pPr>
    </w:p>
    <w:p w14:paraId="3DA5BE18">
      <w:pPr>
        <w:keepNext/>
        <w:keepLines/>
        <w:spacing w:beforeLines="0" w:afterLines="0" w:line="576" w:lineRule="exact"/>
        <w:ind w:firstLine="2496" w:firstLineChars="600"/>
        <w:jc w:val="both"/>
        <w:outlineLvl w:val="0"/>
        <w:rPr>
          <w:rFonts w:hint="eastAsia" w:ascii="黑体" w:hAnsi="黑体" w:eastAsia="黑体"/>
          <w:color w:val="auto"/>
          <w:kern w:val="44"/>
          <w:sz w:val="44"/>
          <w:szCs w:val="24"/>
          <w:lang w:val="zh-CN"/>
        </w:rPr>
      </w:pPr>
      <w:r>
        <w:rPr>
          <w:rFonts w:hint="eastAsia" w:ascii="黑体" w:hAnsi="黑体" w:eastAsia="黑体"/>
          <w:color w:val="000000"/>
          <w:kern w:val="2"/>
          <w:sz w:val="44"/>
          <w:szCs w:val="24"/>
          <w:lang w:val="zh-CN"/>
        </w:rPr>
        <w:t>第三部分 名</w:t>
      </w:r>
      <w:r>
        <w:rPr>
          <w:rFonts w:hint="eastAsia" w:ascii="黑体" w:hAnsi="黑体" w:eastAsia="黑体"/>
          <w:color w:val="auto"/>
          <w:kern w:val="44"/>
          <w:sz w:val="44"/>
          <w:szCs w:val="24"/>
          <w:lang w:val="zh-CN"/>
        </w:rPr>
        <w:t>词解释</w:t>
      </w:r>
      <w:bookmarkEnd w:id="14"/>
    </w:p>
    <w:p w14:paraId="750A97B4">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1.财政拨款收入：指单位从同级财政部门取得的财政预算资金。</w:t>
      </w:r>
    </w:p>
    <w:p w14:paraId="61369369">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2.事业收入：指事业单位开展专业业务活动及辅助活动取得的收入。</w:t>
      </w:r>
    </w:p>
    <w:p w14:paraId="61738D33">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3.经营收入：指事业单位在专业业务活动及其辅助活动之外开展非独立核算经营活动取得的收入。</w:t>
      </w:r>
    </w:p>
    <w:p w14:paraId="3C31462C">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 xml:space="preserve">4.其他收入：指单位取得的除上述收入以外的各项收入。 </w:t>
      </w:r>
    </w:p>
    <w:p w14:paraId="0242BF55">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 xml:space="preserve">5.用事业基金弥补收支差额：指事业单位在当年的财政拨款收入、事业收入、经营收入、其他收入不足以安排当年支出的情况下，使用以前年度积累的事业基金（事业单位当年收支相抵后按国家规定提取、用于弥补以后年度收支差额的基金）弥补本年度收支缺口的资金。 </w:t>
      </w:r>
    </w:p>
    <w:p w14:paraId="1B4C04FD">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 xml:space="preserve">6.年初结转和结余：指以前年度尚未完成、结转到本年按有关规定继续使用的资金。 </w:t>
      </w:r>
    </w:p>
    <w:p w14:paraId="763345F1">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7.结余分配：指事业单位按照事业</w:t>
      </w:r>
      <w:bookmarkStart w:id="28" w:name="_GoBack"/>
      <w:bookmarkEnd w:id="28"/>
      <w:r>
        <w:rPr>
          <w:rFonts w:hint="eastAsia" w:ascii="仿宋" w:hAnsi="仿宋" w:eastAsia="仿宋" w:cs="Times New Roman"/>
          <w:color w:val="000000"/>
          <w:kern w:val="2"/>
          <w:sz w:val="32"/>
          <w:szCs w:val="32"/>
          <w:lang w:val="en-US" w:eastAsia="zh-CN" w:bidi="ar-SA"/>
        </w:rPr>
        <w:t>单位会计制度的规定从非财政补助结余中分配的事业基金和职工福利基金等。</w:t>
      </w:r>
    </w:p>
    <w:p w14:paraId="79F693A9">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hAnsi="仿宋" w:cs="Times New Roman"/>
          <w:color w:val="000000"/>
          <w:kern w:val="2"/>
          <w:sz w:val="32"/>
          <w:szCs w:val="32"/>
          <w:lang w:val="en-US" w:eastAsia="zh-CN" w:bidi="ar-SA"/>
        </w:rPr>
        <w:t>8.</w:t>
      </w:r>
      <w:r>
        <w:rPr>
          <w:rFonts w:hint="eastAsia" w:ascii="仿宋" w:hAnsi="仿宋" w:eastAsia="仿宋" w:cs="Times New Roman"/>
          <w:color w:val="000000"/>
          <w:kern w:val="2"/>
          <w:sz w:val="32"/>
          <w:szCs w:val="32"/>
          <w:lang w:val="en-US" w:eastAsia="zh-CN" w:bidi="ar-SA"/>
        </w:rPr>
        <w:t>年末结转和结余：指单位按有关规定结转到下年或以后年度继续使用的资金。</w:t>
      </w:r>
    </w:p>
    <w:p w14:paraId="7476C8FB">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Fonts w:hint="default" w:ascii="仿宋" w:hAnsi="仿宋" w:eastAsia="仿宋" w:cs="Times New Roman"/>
          <w:color w:val="000000"/>
          <w:kern w:val="2"/>
          <w:sz w:val="32"/>
          <w:szCs w:val="32"/>
          <w:lang w:val="en-US" w:eastAsia="zh-CN" w:bidi="ar-SA"/>
        </w:rPr>
      </w:pPr>
      <w:r>
        <w:rPr>
          <w:rFonts w:hint="default" w:ascii="仿宋" w:hAnsi="仿宋" w:eastAsia="仿宋" w:cs="Times New Roman"/>
          <w:color w:val="000000"/>
          <w:kern w:val="2"/>
          <w:sz w:val="32"/>
          <w:szCs w:val="32"/>
          <w:lang w:val="en-US" w:eastAsia="zh-CN" w:bidi="ar-SA"/>
        </w:rPr>
        <w:t>9.教育支出（类）</w:t>
      </w:r>
      <w:r>
        <w:rPr>
          <w:rFonts w:hint="eastAsia" w:ascii="仿宋" w:hAnsi="仿宋" w:eastAsia="仿宋" w:cs="Times New Roman"/>
          <w:color w:val="000000"/>
          <w:kern w:val="2"/>
          <w:sz w:val="32"/>
          <w:szCs w:val="32"/>
          <w:lang w:val="en-US" w:eastAsia="zh-CN" w:bidi="ar-SA"/>
        </w:rPr>
        <w:t>教育管理事务（款）行政运行（项）</w:t>
      </w:r>
      <w:r>
        <w:rPr>
          <w:rFonts w:hint="default" w:ascii="仿宋" w:hAnsi="仿宋" w:eastAsia="仿宋" w:cs="Times New Roman"/>
          <w:color w:val="000000"/>
          <w:kern w:val="2"/>
          <w:sz w:val="32"/>
          <w:szCs w:val="32"/>
          <w:lang w:val="en-US" w:eastAsia="zh-CN" w:bidi="ar-SA"/>
        </w:rPr>
        <w:t>：指</w:t>
      </w:r>
      <w:r>
        <w:rPr>
          <w:rFonts w:hint="eastAsia" w:ascii="仿宋" w:hAnsi="仿宋" w:eastAsia="仿宋" w:cs="Times New Roman"/>
          <w:color w:val="000000"/>
          <w:kern w:val="2"/>
          <w:sz w:val="32"/>
          <w:szCs w:val="32"/>
          <w:lang w:val="en-US" w:eastAsia="zh-CN" w:bidi="ar-SA"/>
        </w:rPr>
        <w:t>反映教育管理行政单位的基本支出。</w:t>
      </w:r>
    </w:p>
    <w:p w14:paraId="1E3457DD">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10.</w:t>
      </w:r>
      <w:r>
        <w:rPr>
          <w:rFonts w:hint="default" w:ascii="仿宋" w:hAnsi="仿宋" w:eastAsia="仿宋" w:cs="Times New Roman"/>
          <w:color w:val="000000"/>
          <w:kern w:val="2"/>
          <w:sz w:val="32"/>
          <w:szCs w:val="32"/>
          <w:lang w:val="en-US" w:eastAsia="zh-CN" w:bidi="ar-SA"/>
        </w:rPr>
        <w:t>教育支出（类）</w:t>
      </w:r>
      <w:r>
        <w:rPr>
          <w:rFonts w:hint="eastAsia" w:ascii="仿宋" w:hAnsi="仿宋" w:eastAsia="仿宋" w:cs="Times New Roman"/>
          <w:color w:val="000000"/>
          <w:kern w:val="2"/>
          <w:sz w:val="32"/>
          <w:szCs w:val="32"/>
          <w:lang w:val="en-US" w:eastAsia="zh-CN" w:bidi="ar-SA"/>
        </w:rPr>
        <w:t>教育管理事务（款）其他教育管理事务支出（项）：指反映除上述项目以外的其他用于教育管理事务方面的支出。</w:t>
      </w:r>
    </w:p>
    <w:p w14:paraId="336B5F4D">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Fonts w:hint="eastAsia" w:ascii="仿宋" w:hAnsi="仿宋" w:eastAsia="仿宋" w:cs="Times New Roman"/>
          <w:color w:val="000000"/>
          <w:kern w:val="2"/>
          <w:sz w:val="32"/>
          <w:szCs w:val="32"/>
          <w:highlight w:val="none"/>
          <w:lang w:val="en-US" w:eastAsia="zh-CN" w:bidi="ar-SA"/>
        </w:rPr>
      </w:pPr>
      <w:r>
        <w:rPr>
          <w:rFonts w:hint="eastAsia" w:ascii="仿宋" w:hAnsi="仿宋" w:eastAsia="仿宋" w:cs="Times New Roman"/>
          <w:color w:val="000000"/>
          <w:kern w:val="2"/>
          <w:sz w:val="32"/>
          <w:szCs w:val="32"/>
          <w:highlight w:val="none"/>
          <w:lang w:val="en-US" w:eastAsia="zh-CN" w:bidi="ar-SA"/>
        </w:rPr>
        <w:t>11.</w:t>
      </w:r>
      <w:r>
        <w:rPr>
          <w:rFonts w:hint="default" w:ascii="仿宋" w:hAnsi="仿宋" w:eastAsia="仿宋" w:cs="Times New Roman"/>
          <w:color w:val="000000"/>
          <w:kern w:val="2"/>
          <w:sz w:val="32"/>
          <w:szCs w:val="32"/>
          <w:highlight w:val="none"/>
          <w:lang w:val="en-US" w:eastAsia="zh-CN" w:bidi="ar-SA"/>
        </w:rPr>
        <w:t>教育支出（类）</w:t>
      </w:r>
      <w:r>
        <w:rPr>
          <w:rFonts w:hint="eastAsia" w:ascii="仿宋" w:hAnsi="仿宋" w:eastAsia="仿宋" w:cs="Times New Roman"/>
          <w:color w:val="000000"/>
          <w:kern w:val="2"/>
          <w:sz w:val="32"/>
          <w:szCs w:val="32"/>
          <w:highlight w:val="none"/>
          <w:lang w:val="en-US" w:eastAsia="zh-CN" w:bidi="ar-SA"/>
        </w:rPr>
        <w:t>普通教育（款）学前教育（项）：指反映各部门举办的学前教育支出。</w:t>
      </w:r>
    </w:p>
    <w:p w14:paraId="2CAE835D">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Fonts w:hint="eastAsia" w:ascii="仿宋" w:hAnsi="仿宋" w:eastAsia="仿宋" w:cs="Times New Roman"/>
          <w:color w:val="000000"/>
          <w:kern w:val="2"/>
          <w:sz w:val="32"/>
          <w:szCs w:val="32"/>
          <w:highlight w:val="none"/>
          <w:lang w:val="en-US" w:eastAsia="zh-CN" w:bidi="ar-SA"/>
        </w:rPr>
      </w:pPr>
      <w:r>
        <w:rPr>
          <w:rFonts w:hint="default" w:ascii="仿宋" w:hAnsi="仿宋" w:eastAsia="仿宋" w:cs="Times New Roman"/>
          <w:color w:val="000000"/>
          <w:kern w:val="2"/>
          <w:sz w:val="32"/>
          <w:szCs w:val="32"/>
          <w:highlight w:val="none"/>
          <w:lang w:val="en-US" w:eastAsia="zh-CN" w:bidi="ar-SA"/>
        </w:rPr>
        <w:t>12.教育支出（类）</w:t>
      </w:r>
      <w:r>
        <w:rPr>
          <w:rFonts w:hint="eastAsia" w:ascii="仿宋" w:hAnsi="仿宋" w:eastAsia="仿宋" w:cs="Times New Roman"/>
          <w:color w:val="000000"/>
          <w:kern w:val="2"/>
          <w:sz w:val="32"/>
          <w:szCs w:val="32"/>
          <w:highlight w:val="none"/>
          <w:lang w:val="en-US" w:eastAsia="zh-CN" w:bidi="ar-SA"/>
        </w:rPr>
        <w:t>普通教育（款）小学教育（项）：指反映各部门举办的小学教育支出。</w:t>
      </w:r>
    </w:p>
    <w:p w14:paraId="0016C2F4">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Fonts w:ascii="仿宋" w:hAnsi="仿宋" w:eastAsia="仿宋" w:cs="宋体"/>
          <w:color w:val="000000"/>
          <w:kern w:val="0"/>
          <w:sz w:val="32"/>
          <w:szCs w:val="32"/>
        </w:rPr>
      </w:pPr>
      <w:r>
        <w:rPr>
          <w:rFonts w:hint="eastAsia" w:ascii="仿宋" w:hAnsi="仿宋" w:eastAsia="仿宋" w:cs="宋体"/>
          <w:kern w:val="0"/>
          <w:sz w:val="32"/>
          <w:szCs w:val="32"/>
        </w:rPr>
        <w:t>1</w:t>
      </w:r>
      <w:r>
        <w:rPr>
          <w:rFonts w:hint="eastAsia" w:ascii="仿宋" w:hAnsi="仿宋" w:eastAsia="仿宋" w:cs="宋体"/>
          <w:kern w:val="0"/>
          <w:sz w:val="32"/>
          <w:szCs w:val="32"/>
          <w:lang w:val="en-US" w:eastAsia="zh-CN"/>
        </w:rPr>
        <w:t>3</w:t>
      </w:r>
      <w:r>
        <w:rPr>
          <w:rFonts w:hint="eastAsia" w:ascii="仿宋" w:hAnsi="仿宋" w:eastAsia="仿宋" w:cs="宋体"/>
          <w:kern w:val="0"/>
          <w:sz w:val="32"/>
          <w:szCs w:val="32"/>
        </w:rPr>
        <w:t>.社会保障和就业（类）行政事业单位离退休</w:t>
      </w:r>
      <w:r>
        <w:rPr>
          <w:rFonts w:hint="eastAsia" w:ascii="仿宋" w:hAnsi="仿宋" w:eastAsia="仿宋" w:cs="宋体"/>
          <w:color w:val="000000"/>
          <w:kern w:val="0"/>
          <w:sz w:val="32"/>
          <w:szCs w:val="32"/>
        </w:rPr>
        <w:t>（款）机关事业单位基本养老保险缴费支出（项）：反映机关事业单位实施养老保险制度由单位缴纳的基本养老保险支出。</w:t>
      </w:r>
    </w:p>
    <w:p w14:paraId="10419BCD">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Style w:val="12"/>
          <w:rFonts w:ascii="仿宋" w:hAnsi="仿宋" w:eastAsia="仿宋"/>
          <w:b w:val="0"/>
          <w:bCs/>
          <w:color w:val="000000"/>
          <w:sz w:val="32"/>
          <w:szCs w:val="32"/>
        </w:rPr>
      </w:pPr>
      <w:r>
        <w:rPr>
          <w:rFonts w:hint="eastAsia" w:ascii="仿宋" w:hAnsi="仿宋" w:eastAsia="仿宋" w:cs="Times New Roman"/>
          <w:color w:val="000000"/>
          <w:kern w:val="2"/>
          <w:sz w:val="32"/>
          <w:szCs w:val="32"/>
          <w:highlight w:val="none"/>
          <w:lang w:val="en-US" w:eastAsia="zh-CN" w:bidi="ar-SA"/>
        </w:rPr>
        <w:t>14.</w:t>
      </w:r>
      <w:r>
        <w:rPr>
          <w:rFonts w:hint="eastAsia" w:ascii="仿宋" w:hAnsi="仿宋" w:eastAsia="仿宋" w:cs="宋体"/>
          <w:color w:val="000000"/>
          <w:kern w:val="0"/>
          <w:sz w:val="32"/>
          <w:szCs w:val="32"/>
          <w:highlight w:val="none"/>
        </w:rPr>
        <w:t>社会</w:t>
      </w:r>
      <w:r>
        <w:rPr>
          <w:rFonts w:hint="eastAsia" w:ascii="仿宋" w:hAnsi="仿宋" w:eastAsia="仿宋" w:cs="宋体"/>
          <w:color w:val="000000"/>
          <w:kern w:val="0"/>
          <w:sz w:val="32"/>
          <w:szCs w:val="32"/>
        </w:rPr>
        <w:t>保障和就业（类）行政事业单位离退休（款）机关事业单位职业年金缴费支出（项）：反映机关事业单位实施养老保险制度由单位缴纳的职业年金支出。</w:t>
      </w:r>
    </w:p>
    <w:p w14:paraId="059461E6">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Fonts w:ascii="仿宋" w:hAnsi="仿宋" w:eastAsia="仿宋" w:cs="宋体"/>
          <w:color w:val="000000"/>
          <w:kern w:val="0"/>
          <w:sz w:val="32"/>
          <w:szCs w:val="32"/>
        </w:rPr>
      </w:pPr>
      <w:r>
        <w:rPr>
          <w:rFonts w:hint="eastAsia" w:ascii="仿宋" w:hAnsi="仿宋" w:eastAsia="仿宋" w:cs="宋体"/>
          <w:color w:val="000000"/>
          <w:kern w:val="0"/>
          <w:sz w:val="32"/>
          <w:szCs w:val="32"/>
          <w:lang w:val="en-US" w:eastAsia="zh-CN"/>
        </w:rPr>
        <w:t>15.</w:t>
      </w:r>
      <w:r>
        <w:rPr>
          <w:rFonts w:hint="eastAsia" w:ascii="仿宋" w:hAnsi="仿宋" w:eastAsia="仿宋" w:cs="宋体"/>
          <w:color w:val="000000"/>
          <w:kern w:val="0"/>
          <w:sz w:val="32"/>
          <w:szCs w:val="32"/>
        </w:rPr>
        <w:t>社会保障和就业（类）其他社会保障和就业（款）其他社会保障和就业支出（项）：反映除上述项目以外其他用于行政事业单位养老方面的支出。</w:t>
      </w:r>
    </w:p>
    <w:p w14:paraId="641C2B0E">
      <w:pPr>
        <w:keepNext w:val="0"/>
        <w:keepLines w:val="0"/>
        <w:pageBreakBefore w:val="0"/>
        <w:widowControl w:val="0"/>
        <w:kinsoku/>
        <w:wordWrap/>
        <w:overflowPunct/>
        <w:topLinePunct w:val="0"/>
        <w:autoSpaceDE w:val="0"/>
        <w:autoSpaceDN w:val="0"/>
        <w:bidi w:val="0"/>
        <w:adjustRightInd w:val="0"/>
        <w:spacing w:line="600" w:lineRule="exact"/>
        <w:ind w:firstLine="592" w:firstLineChars="200"/>
        <w:textAlignment w:val="auto"/>
        <w:rPr>
          <w:rStyle w:val="12"/>
          <w:rFonts w:ascii="仿宋" w:hAnsi="仿宋" w:eastAsia="仿宋"/>
          <w:b w:val="0"/>
          <w:bCs/>
          <w:color w:val="000000"/>
          <w:sz w:val="32"/>
          <w:szCs w:val="32"/>
        </w:rPr>
      </w:pPr>
      <w:r>
        <w:rPr>
          <w:rFonts w:hint="eastAsia" w:ascii="仿宋" w:hAnsi="仿宋" w:eastAsia="仿宋" w:cs="宋体"/>
          <w:color w:val="000000"/>
          <w:kern w:val="0"/>
          <w:sz w:val="32"/>
          <w:szCs w:val="32"/>
          <w:lang w:val="en-US" w:eastAsia="zh-CN"/>
        </w:rPr>
        <w:t>16.</w:t>
      </w:r>
      <w:r>
        <w:rPr>
          <w:rFonts w:hint="eastAsia" w:ascii="仿宋" w:hAnsi="仿宋" w:eastAsia="仿宋" w:cs="宋体"/>
          <w:color w:val="000000"/>
          <w:kern w:val="0"/>
          <w:sz w:val="32"/>
          <w:szCs w:val="32"/>
        </w:rPr>
        <w:t>卫生健康（类）行政事业单位医疗（款）事业单位医疗（项）：反映财政部门安排的事业单位基本医疗保险缴费经费，未参加医疗保险的事业单位的公费医疗经费，按国家规定享受离休人员待遇的医疗经费。</w:t>
      </w:r>
    </w:p>
    <w:p w14:paraId="5B3E0669">
      <w:pPr>
        <w:pStyle w:val="2"/>
        <w:keepNext w:val="0"/>
        <w:keepLines w:val="0"/>
        <w:pageBreakBefore w:val="0"/>
        <w:widowControl w:val="0"/>
        <w:kinsoku/>
        <w:wordWrap/>
        <w:overflowPunct/>
        <w:topLinePunct w:val="0"/>
        <w:autoSpaceDE w:val="0"/>
        <w:autoSpaceDN w:val="0"/>
        <w:bidi w:val="0"/>
        <w:adjustRightInd w:val="0"/>
        <w:ind w:firstLine="312" w:firstLineChars="200"/>
        <w:textAlignment w:val="auto"/>
        <w:rPr>
          <w:rFonts w:hint="eastAsia"/>
          <w:lang w:val="en-US" w:eastAsia="zh-CN"/>
        </w:rPr>
      </w:pPr>
    </w:p>
    <w:p w14:paraId="08522EEF">
      <w:pPr>
        <w:keepNext w:val="0"/>
        <w:keepLines w:val="0"/>
        <w:pageBreakBefore w:val="0"/>
        <w:widowControl w:val="0"/>
        <w:numPr>
          <w:ilvl w:val="0"/>
          <w:numId w:val="0"/>
        </w:numPr>
        <w:kinsoku/>
        <w:wordWrap/>
        <w:overflowPunct/>
        <w:topLinePunct w:val="0"/>
        <w:autoSpaceDE w:val="0"/>
        <w:autoSpaceDN w:val="0"/>
        <w:bidi w:val="0"/>
        <w:adjustRightInd w:val="0"/>
        <w:ind w:firstLine="592" w:firstLineChars="200"/>
        <w:textAlignment w:val="auto"/>
        <w:rPr>
          <w:rFonts w:hint="eastAsia" w:ascii="仿宋" w:hAnsi="仿宋" w:eastAsia="仿宋" w:cs="Times New Roman"/>
          <w:color w:val="000000"/>
          <w:kern w:val="2"/>
          <w:sz w:val="32"/>
          <w:szCs w:val="32"/>
          <w:highlight w:val="none"/>
          <w:lang w:val="en-US" w:eastAsia="zh-CN" w:bidi="ar-SA"/>
        </w:rPr>
      </w:pPr>
      <w:r>
        <w:rPr>
          <w:rFonts w:hint="eastAsia" w:ascii="仿宋" w:hAnsi="仿宋" w:eastAsia="仿宋" w:cs="Times New Roman"/>
          <w:color w:val="000000"/>
          <w:kern w:val="2"/>
          <w:sz w:val="32"/>
          <w:szCs w:val="32"/>
          <w:highlight w:val="none"/>
          <w:lang w:val="en-US" w:eastAsia="zh-CN" w:bidi="ar-SA"/>
        </w:rPr>
        <w:t>17.住房保障支出（类）住房改革支出（款）住房公积金（项）：指反映行政事业单位按人力资源和社会保障部、财政部规定的基本工资和津贴补贴以及规定比例为职工缴纳的住房公积金。</w:t>
      </w:r>
    </w:p>
    <w:p w14:paraId="2FEEC37D">
      <w:pPr>
        <w:keepNext w:val="0"/>
        <w:keepLines w:val="0"/>
        <w:pageBreakBefore w:val="0"/>
        <w:widowControl w:val="0"/>
        <w:numPr>
          <w:ilvl w:val="0"/>
          <w:numId w:val="0"/>
        </w:numPr>
        <w:kinsoku/>
        <w:wordWrap/>
        <w:overflowPunct/>
        <w:topLinePunct w:val="0"/>
        <w:autoSpaceDE w:val="0"/>
        <w:autoSpaceDN w:val="0"/>
        <w:bidi w:val="0"/>
        <w:adjustRightInd w:val="0"/>
        <w:ind w:firstLine="592" w:firstLineChars="200"/>
        <w:textAlignment w:val="auto"/>
        <w:rPr>
          <w:rFonts w:hint="eastAsia" w:ascii="仿宋" w:hAnsi="仿宋" w:eastAsia="仿宋" w:cs="Times New Roman"/>
          <w:color w:val="000000"/>
          <w:kern w:val="2"/>
          <w:sz w:val="32"/>
          <w:szCs w:val="32"/>
          <w:highlight w:val="none"/>
          <w:lang w:val="en-US" w:eastAsia="zh-CN" w:bidi="ar-SA"/>
        </w:rPr>
      </w:pPr>
      <w:r>
        <w:rPr>
          <w:rFonts w:hint="eastAsia" w:ascii="仿宋" w:hAnsi="仿宋" w:eastAsia="仿宋" w:cs="Times New Roman"/>
          <w:color w:val="000000"/>
          <w:kern w:val="2"/>
          <w:sz w:val="32"/>
          <w:szCs w:val="32"/>
          <w:highlight w:val="none"/>
          <w:lang w:val="en-US" w:eastAsia="zh-CN" w:bidi="ar-SA"/>
        </w:rPr>
        <w:t>18.基本支出：指为保障机构正常运转、完成日常工作任务而发生的人员支出和公用支出。</w:t>
      </w:r>
    </w:p>
    <w:p w14:paraId="47C89A82">
      <w:pPr>
        <w:keepNext w:val="0"/>
        <w:keepLines w:val="0"/>
        <w:pageBreakBefore w:val="0"/>
        <w:widowControl w:val="0"/>
        <w:kinsoku/>
        <w:wordWrap/>
        <w:overflowPunct/>
        <w:topLinePunct w:val="0"/>
        <w:autoSpaceDE w:val="0"/>
        <w:autoSpaceDN w:val="0"/>
        <w:bidi w:val="0"/>
        <w:adjustRightInd w:val="0"/>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ascii="仿宋" w:hAnsi="仿宋" w:eastAsia="仿宋" w:cs="Times New Roman"/>
          <w:color w:val="000000"/>
          <w:kern w:val="2"/>
          <w:sz w:val="32"/>
          <w:szCs w:val="32"/>
          <w:lang w:val="en-US" w:eastAsia="zh-CN" w:bidi="ar-SA"/>
        </w:rPr>
        <w:t xml:space="preserve">19.项目支出：指在基本支出之外为完成特定行政任务和事业发展目标所发生的支出。 </w:t>
      </w:r>
    </w:p>
    <w:p w14:paraId="2112A9DD">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textAlignment w:val="auto"/>
        <w:rPr>
          <w:rFonts w:hint="eastAsia" w:ascii="仿宋" w:hAnsi="仿宋" w:eastAsia="仿宋" w:cs="Times New Roman"/>
          <w:color w:val="000000"/>
          <w:kern w:val="2"/>
          <w:sz w:val="32"/>
          <w:szCs w:val="32"/>
          <w:lang w:val="en-US" w:eastAsia="zh-CN" w:bidi="ar-SA"/>
        </w:rPr>
      </w:pPr>
      <w:r>
        <w:rPr>
          <w:rFonts w:hint="eastAsia" w:hAnsi="仿宋" w:cs="Times New Roman"/>
          <w:color w:val="000000"/>
          <w:kern w:val="2"/>
          <w:sz w:val="32"/>
          <w:szCs w:val="32"/>
          <w:lang w:val="en-US" w:eastAsia="zh-CN" w:bidi="ar-SA"/>
        </w:rPr>
        <w:t>20</w:t>
      </w:r>
      <w:r>
        <w:rPr>
          <w:rFonts w:hint="eastAsia" w:ascii="仿宋" w:hAnsi="仿宋" w:eastAsia="仿宋" w:cs="Times New Roman"/>
          <w:color w:val="000000"/>
          <w:kern w:val="2"/>
          <w:sz w:val="32"/>
          <w:szCs w:val="32"/>
          <w:lang w:val="en-US" w:eastAsia="zh-CN" w:bidi="ar-SA"/>
        </w:rPr>
        <w:t>.“三公”经费：指部门用财政拨款安排的因公出国（境）费、公务用车购置及运行费和公务接待费。其中，因公出国（境）费反映单位公务出国（境）的国际旅费、国外城市间交通费、住宿费、伙食费、培训费、公杂费等支出；公务用车购置及运行费反映单位公务用车车辆购置支出（含车辆购置税）及租用费、燃料费、维修费、过路过桥费、保险费等支出；公务接待费反映单位按规定开支的各类公务接待（含外宾接待）支出。</w:t>
      </w:r>
    </w:p>
    <w:p w14:paraId="5EF30B6E">
      <w:pPr>
        <w:pStyle w:val="13"/>
        <w:keepNext w:val="0"/>
        <w:keepLines w:val="0"/>
        <w:pageBreakBefore w:val="0"/>
        <w:widowControl w:val="0"/>
        <w:kinsoku/>
        <w:wordWrap/>
        <w:overflowPunct/>
        <w:topLinePunct w:val="0"/>
        <w:autoSpaceDE w:val="0"/>
        <w:autoSpaceDN w:val="0"/>
        <w:bidi w:val="0"/>
        <w:adjustRightInd w:val="0"/>
        <w:spacing w:line="560" w:lineRule="exact"/>
        <w:ind w:firstLine="592" w:firstLineChars="200"/>
        <w:jc w:val="both"/>
        <w:textAlignment w:val="auto"/>
        <w:rPr>
          <w:rFonts w:hAnsi="仿宋" w:cs="Times New Roman"/>
          <w:kern w:val="2"/>
          <w:sz w:val="32"/>
          <w:szCs w:val="32"/>
        </w:rPr>
      </w:pPr>
      <w:r>
        <w:rPr>
          <w:rFonts w:hint="eastAsia" w:hAnsi="仿宋" w:cs="Times New Roman"/>
          <w:kern w:val="2"/>
          <w:sz w:val="32"/>
          <w:szCs w:val="32"/>
          <w:lang w:val="en-US" w:eastAsia="zh-CN"/>
        </w:rPr>
        <w:t>21</w:t>
      </w:r>
      <w:r>
        <w:rPr>
          <w:rFonts w:hint="eastAsia" w:hAnsi="仿宋" w:cs="Times New Roman"/>
          <w:kern w:val="2"/>
          <w:sz w:val="32"/>
          <w:szCs w:val="32"/>
        </w:rPr>
        <w:t>.机关运行经费：为保障行政单位（含参照公务员法管理的事业单位）运行用于购买货物和服务的各项资金，包括办公及印刷费、邮电费、差旅费、会议费、福利费、日常维修费、专用材料及一般设备购置费、办公用房水电费、办公用房取暖费、办公用房物业管理费、公务用车运行维护费以及其他费用。</w:t>
      </w:r>
    </w:p>
    <w:p w14:paraId="61C83280">
      <w:pPr>
        <w:pStyle w:val="13"/>
        <w:spacing w:line="560" w:lineRule="exact"/>
        <w:ind w:firstLine="592" w:firstLineChars="200"/>
        <w:rPr>
          <w:rFonts w:hint="eastAsia" w:ascii="仿宋" w:hAnsi="仿宋" w:eastAsia="仿宋" w:cs="Times New Roman"/>
          <w:color w:val="000000"/>
          <w:kern w:val="2"/>
          <w:sz w:val="32"/>
          <w:szCs w:val="32"/>
          <w:lang w:val="en-US" w:eastAsia="zh-CN" w:bidi="ar-SA"/>
        </w:rPr>
      </w:pPr>
    </w:p>
    <w:p w14:paraId="6ED319FA">
      <w:pPr>
        <w:spacing w:beforeLines="0" w:afterLines="0" w:line="576" w:lineRule="exact"/>
        <w:ind w:firstLine="2080" w:firstLineChars="500"/>
        <w:rPr>
          <w:rFonts w:hint="eastAsia" w:ascii="黑体" w:hAnsi="黑体" w:eastAsia="黑体"/>
          <w:color w:val="auto"/>
          <w:kern w:val="2"/>
          <w:sz w:val="44"/>
          <w:szCs w:val="24"/>
          <w:lang w:val="en-US"/>
        </w:rPr>
      </w:pPr>
    </w:p>
    <w:p w14:paraId="424BED60">
      <w:pPr>
        <w:spacing w:beforeLines="0" w:afterLines="0" w:line="576" w:lineRule="exact"/>
        <w:rPr>
          <w:rFonts w:hint="eastAsia" w:ascii="黑体" w:hAnsi="黑体" w:eastAsia="黑体"/>
          <w:color w:val="auto"/>
          <w:kern w:val="2"/>
          <w:sz w:val="44"/>
          <w:szCs w:val="24"/>
          <w:lang w:val="en-US"/>
        </w:rPr>
      </w:pPr>
    </w:p>
    <w:p w14:paraId="34A294D6">
      <w:pPr>
        <w:spacing w:beforeLines="0" w:afterLines="0" w:line="576" w:lineRule="exact"/>
        <w:ind w:firstLine="2496" w:firstLineChars="600"/>
        <w:rPr>
          <w:rFonts w:hint="eastAsia" w:ascii="黑体" w:hAnsi="黑体" w:eastAsia="黑体"/>
          <w:color w:val="auto"/>
          <w:kern w:val="2"/>
          <w:sz w:val="44"/>
          <w:szCs w:val="24"/>
          <w:lang w:val="en-US"/>
        </w:rPr>
      </w:pPr>
    </w:p>
    <w:p w14:paraId="65C5ACC5">
      <w:pPr>
        <w:spacing w:beforeLines="0" w:afterLines="0" w:line="576" w:lineRule="exact"/>
        <w:ind w:firstLine="2496" w:firstLineChars="600"/>
        <w:rPr>
          <w:rFonts w:hint="eastAsia" w:ascii="黑体" w:hAnsi="黑体" w:eastAsia="黑体"/>
          <w:color w:val="auto"/>
          <w:kern w:val="2"/>
          <w:sz w:val="44"/>
          <w:szCs w:val="24"/>
          <w:lang w:val="en-US"/>
        </w:rPr>
      </w:pPr>
    </w:p>
    <w:p w14:paraId="72A04BD2">
      <w:pPr>
        <w:pStyle w:val="2"/>
        <w:rPr>
          <w:rFonts w:hint="eastAsia" w:ascii="黑体" w:hAnsi="黑体" w:eastAsia="黑体"/>
          <w:color w:val="auto"/>
          <w:kern w:val="2"/>
          <w:sz w:val="44"/>
          <w:szCs w:val="24"/>
          <w:lang w:val="en-US"/>
        </w:rPr>
      </w:pPr>
    </w:p>
    <w:p w14:paraId="6985B1E2">
      <w:pPr>
        <w:pStyle w:val="3"/>
        <w:rPr>
          <w:rFonts w:hint="eastAsia"/>
          <w:lang w:val="en-US"/>
        </w:rPr>
      </w:pPr>
    </w:p>
    <w:p w14:paraId="4150CCF6">
      <w:pPr>
        <w:spacing w:beforeLines="0" w:afterLines="0" w:line="576" w:lineRule="exact"/>
        <w:rPr>
          <w:rFonts w:hint="eastAsia" w:ascii="黑体" w:hAnsi="黑体" w:eastAsia="黑体"/>
          <w:color w:val="auto"/>
          <w:kern w:val="2"/>
          <w:sz w:val="44"/>
          <w:szCs w:val="24"/>
          <w:lang w:val="en-US"/>
        </w:rPr>
      </w:pPr>
    </w:p>
    <w:p w14:paraId="0EF345A9">
      <w:pPr>
        <w:numPr>
          <w:ilvl w:val="0"/>
          <w:numId w:val="4"/>
        </w:numPr>
        <w:spacing w:beforeLines="0" w:afterLines="0" w:line="576" w:lineRule="exact"/>
        <w:ind w:firstLine="2496" w:firstLineChars="600"/>
        <w:jc w:val="left"/>
        <w:rPr>
          <w:rFonts w:hint="eastAsia" w:ascii="黑体" w:hAnsi="黑体" w:eastAsia="黑体"/>
          <w:color w:val="auto"/>
          <w:kern w:val="44"/>
          <w:sz w:val="44"/>
          <w:szCs w:val="24"/>
          <w:lang w:val="en-US"/>
        </w:rPr>
      </w:pPr>
      <w:r>
        <w:rPr>
          <w:rFonts w:hint="eastAsia" w:ascii="黑体" w:hAnsi="黑体" w:eastAsia="黑体"/>
          <w:color w:val="auto"/>
          <w:kern w:val="44"/>
          <w:sz w:val="44"/>
          <w:szCs w:val="24"/>
          <w:lang w:val="en-US"/>
        </w:rPr>
        <w:t>附件</w:t>
      </w:r>
    </w:p>
    <w:p w14:paraId="2CFC00BA">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2DF7E132">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4743450" cy="6146800"/>
            <wp:effectExtent l="0" t="0" r="0" b="6350"/>
            <wp:docPr id="3" name="图片 3" descr="C:\Users\D\Desktop\项目截图\1.jp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D\Desktop\项目截图\1.jpg1"/>
                    <pic:cNvPicPr>
                      <a:picLocks noChangeAspect="1"/>
                    </pic:cNvPicPr>
                  </pic:nvPicPr>
                  <pic:blipFill>
                    <a:blip r:embed="rId13"/>
                    <a:srcRect/>
                    <a:stretch>
                      <a:fillRect/>
                    </a:stretch>
                  </pic:blipFill>
                  <pic:spPr>
                    <a:xfrm>
                      <a:off x="0" y="0"/>
                      <a:ext cx="4743450" cy="6146800"/>
                    </a:xfrm>
                    <a:prstGeom prst="rect">
                      <a:avLst/>
                    </a:prstGeom>
                  </pic:spPr>
                </pic:pic>
              </a:graphicData>
            </a:graphic>
          </wp:inline>
        </w:drawing>
      </w:r>
    </w:p>
    <w:p w14:paraId="10D64066">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4319905" cy="3801110"/>
            <wp:effectExtent l="0" t="0" r="4445" b="8890"/>
            <wp:docPr id="4" name="图片 4" descr="C:\Users\D\Desktop\项目截图\2.jp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D\Desktop\项目截图\2.jpg2"/>
                    <pic:cNvPicPr>
                      <a:picLocks noChangeAspect="1"/>
                    </pic:cNvPicPr>
                  </pic:nvPicPr>
                  <pic:blipFill>
                    <a:blip r:embed="rId14"/>
                    <a:srcRect/>
                    <a:stretch>
                      <a:fillRect/>
                    </a:stretch>
                  </pic:blipFill>
                  <pic:spPr>
                    <a:xfrm>
                      <a:off x="0" y="0"/>
                      <a:ext cx="4319905" cy="3801110"/>
                    </a:xfrm>
                    <a:prstGeom prst="rect">
                      <a:avLst/>
                    </a:prstGeom>
                  </pic:spPr>
                </pic:pic>
              </a:graphicData>
            </a:graphic>
          </wp:inline>
        </w:drawing>
      </w:r>
    </w:p>
    <w:p w14:paraId="0AC0C972">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2AFF08F7">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2ACEB6FE">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CFAEDF8">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4319905" cy="4888865"/>
            <wp:effectExtent l="0" t="0" r="4445" b="6985"/>
            <wp:docPr id="8" name="图片 8" descr="C:\Users\D\Desktop\项目截图\3.jp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D\Desktop\项目截图\3.jpg3"/>
                    <pic:cNvPicPr>
                      <a:picLocks noChangeAspect="1"/>
                    </pic:cNvPicPr>
                  </pic:nvPicPr>
                  <pic:blipFill>
                    <a:blip r:embed="rId15"/>
                    <a:srcRect/>
                    <a:stretch>
                      <a:fillRect/>
                    </a:stretch>
                  </pic:blipFill>
                  <pic:spPr>
                    <a:xfrm>
                      <a:off x="0" y="0"/>
                      <a:ext cx="4319905" cy="4888865"/>
                    </a:xfrm>
                    <a:prstGeom prst="rect">
                      <a:avLst/>
                    </a:prstGeom>
                  </pic:spPr>
                </pic:pic>
              </a:graphicData>
            </a:graphic>
          </wp:inline>
        </w:drawing>
      </w:r>
    </w:p>
    <w:p w14:paraId="63487A0E">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4B2C5A4A">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1FDE705D">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C4BDD7A">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4319905" cy="4411980"/>
            <wp:effectExtent l="0" t="0" r="4445" b="7620"/>
            <wp:docPr id="11" name="图片 11" descr="C:\Users\D\Desktop\项目截图\4.jp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D\Desktop\项目截图\4.jpg4"/>
                    <pic:cNvPicPr>
                      <a:picLocks noChangeAspect="1"/>
                    </pic:cNvPicPr>
                  </pic:nvPicPr>
                  <pic:blipFill>
                    <a:blip r:embed="rId16"/>
                    <a:srcRect/>
                    <a:stretch>
                      <a:fillRect/>
                    </a:stretch>
                  </pic:blipFill>
                  <pic:spPr>
                    <a:xfrm>
                      <a:off x="0" y="0"/>
                      <a:ext cx="4319905" cy="4411980"/>
                    </a:xfrm>
                    <a:prstGeom prst="rect">
                      <a:avLst/>
                    </a:prstGeom>
                  </pic:spPr>
                </pic:pic>
              </a:graphicData>
            </a:graphic>
          </wp:inline>
        </w:drawing>
      </w:r>
    </w:p>
    <w:p w14:paraId="0B65D01C">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6ABE0A86">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25AD910">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5EB44ED6">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4319905" cy="4878705"/>
            <wp:effectExtent l="0" t="0" r="4445" b="17145"/>
            <wp:docPr id="12" name="图片 12" descr="C:\Users\D\Desktop\项目截图\5.jp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D\Desktop\项目截图\5.jpg5"/>
                    <pic:cNvPicPr>
                      <a:picLocks noChangeAspect="1"/>
                    </pic:cNvPicPr>
                  </pic:nvPicPr>
                  <pic:blipFill>
                    <a:blip r:embed="rId17"/>
                    <a:srcRect/>
                    <a:stretch>
                      <a:fillRect/>
                    </a:stretch>
                  </pic:blipFill>
                  <pic:spPr>
                    <a:xfrm>
                      <a:off x="0" y="0"/>
                      <a:ext cx="4319905" cy="4878705"/>
                    </a:xfrm>
                    <a:prstGeom prst="rect">
                      <a:avLst/>
                    </a:prstGeom>
                  </pic:spPr>
                </pic:pic>
              </a:graphicData>
            </a:graphic>
          </wp:inline>
        </w:drawing>
      </w:r>
    </w:p>
    <w:p w14:paraId="55432263">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0CCFAC62">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4714240" cy="3599815"/>
            <wp:effectExtent l="0" t="0" r="10160" b="635"/>
            <wp:docPr id="13" name="图片 13" descr="C:\Users\D\Desktop\项目截图\6.jp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C:\Users\D\Desktop\项目截图\6.jpg6"/>
                    <pic:cNvPicPr>
                      <a:picLocks noChangeAspect="1"/>
                    </pic:cNvPicPr>
                  </pic:nvPicPr>
                  <pic:blipFill>
                    <a:blip r:embed="rId18"/>
                    <a:srcRect/>
                    <a:stretch>
                      <a:fillRect/>
                    </a:stretch>
                  </pic:blipFill>
                  <pic:spPr>
                    <a:xfrm>
                      <a:off x="0" y="0"/>
                      <a:ext cx="4714240" cy="3599815"/>
                    </a:xfrm>
                    <a:prstGeom prst="rect">
                      <a:avLst/>
                    </a:prstGeom>
                  </pic:spPr>
                </pic:pic>
              </a:graphicData>
            </a:graphic>
          </wp:inline>
        </w:drawing>
      </w:r>
    </w:p>
    <w:p w14:paraId="3AAED11C">
      <w:pPr>
        <w:widowControl w:val="0"/>
        <w:numPr>
          <w:ilvl w:val="0"/>
          <w:numId w:val="0"/>
        </w:numPr>
        <w:autoSpaceDE w:val="0"/>
        <w:autoSpaceDN w:val="0"/>
        <w:adjustRightInd w:val="0"/>
        <w:spacing w:beforeLines="0" w:afterLines="0" w:line="576" w:lineRule="exact"/>
        <w:jc w:val="left"/>
        <w:rPr>
          <w:rFonts w:hint="eastAsia" w:ascii="黑体" w:hAnsi="黑体" w:eastAsia="黑体"/>
          <w:color w:val="auto"/>
          <w:kern w:val="44"/>
          <w:sz w:val="44"/>
          <w:szCs w:val="24"/>
          <w:lang w:val="en-US"/>
        </w:rPr>
      </w:pPr>
    </w:p>
    <w:p w14:paraId="6B7EF830">
      <w:pPr>
        <w:widowControl w:val="0"/>
        <w:numPr>
          <w:ilvl w:val="0"/>
          <w:numId w:val="0"/>
        </w:numPr>
        <w:autoSpaceDE w:val="0"/>
        <w:autoSpaceDN w:val="0"/>
        <w:adjustRightInd w:val="0"/>
        <w:spacing w:beforeLines="0" w:afterLines="0" w:line="240" w:lineRule="auto"/>
        <w:jc w:val="left"/>
        <w:rPr>
          <w:rFonts w:hint="eastAsia" w:ascii="黑体" w:hAnsi="黑体" w:eastAsia="黑体"/>
          <w:color w:val="auto"/>
          <w:kern w:val="44"/>
          <w:sz w:val="44"/>
          <w:szCs w:val="24"/>
          <w:lang w:val="en-US" w:eastAsia="zh-CN"/>
        </w:rPr>
      </w:pPr>
      <w:r>
        <w:rPr>
          <w:rFonts w:hint="eastAsia" w:ascii="黑体" w:hAnsi="黑体" w:eastAsia="黑体"/>
          <w:color w:val="auto"/>
          <w:kern w:val="44"/>
          <w:sz w:val="44"/>
          <w:szCs w:val="24"/>
          <w:lang w:val="en-US" w:eastAsia="zh-CN"/>
        </w:rPr>
        <w:drawing>
          <wp:inline distT="0" distB="0" distL="114300" distR="114300">
            <wp:extent cx="5353685" cy="5221605"/>
            <wp:effectExtent l="0" t="0" r="18415" b="17145"/>
            <wp:docPr id="14" name="图片 14" descr="C:\Users\D\Desktop\项目截图\7.jp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D\Desktop\项目截图\7.jpg7"/>
                    <pic:cNvPicPr>
                      <a:picLocks noChangeAspect="1"/>
                    </pic:cNvPicPr>
                  </pic:nvPicPr>
                  <pic:blipFill>
                    <a:blip r:embed="rId19"/>
                    <a:srcRect/>
                    <a:stretch>
                      <a:fillRect/>
                    </a:stretch>
                  </pic:blipFill>
                  <pic:spPr>
                    <a:xfrm>
                      <a:off x="0" y="0"/>
                      <a:ext cx="5353685" cy="5221605"/>
                    </a:xfrm>
                    <a:prstGeom prst="rect">
                      <a:avLst/>
                    </a:prstGeom>
                  </pic:spPr>
                </pic:pic>
              </a:graphicData>
            </a:graphic>
          </wp:inline>
        </w:drawing>
      </w:r>
    </w:p>
    <w:p w14:paraId="741A547D">
      <w:pPr>
        <w:spacing w:beforeLines="0" w:afterLines="0" w:line="240" w:lineRule="auto"/>
        <w:jc w:val="center"/>
        <w:rPr>
          <w:rFonts w:hint="eastAsia" w:ascii="黑体" w:hAnsi="黑体" w:eastAsia="黑体"/>
          <w:color w:val="auto"/>
          <w:kern w:val="2"/>
          <w:sz w:val="44"/>
          <w:szCs w:val="24"/>
          <w:lang w:val="en-US"/>
        </w:rPr>
      </w:pPr>
      <w:r>
        <w:rPr>
          <w:rFonts w:hint="eastAsia" w:ascii="黑体" w:hAnsi="黑体" w:eastAsia="黑体"/>
          <w:color w:val="auto"/>
          <w:kern w:val="2"/>
          <w:sz w:val="44"/>
          <w:szCs w:val="24"/>
          <w:lang w:val="en-US"/>
        </w:rPr>
        <w:drawing>
          <wp:inline distT="0" distB="0" distL="114300" distR="114300">
            <wp:extent cx="5323840" cy="4210050"/>
            <wp:effectExtent l="0" t="0" r="10160" b="0"/>
            <wp:docPr id="15" name="图片 15" descr="C:\Users\D\Desktop\项目截图\8.jp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C:\Users\D\Desktop\项目截图\8.jpg8"/>
                    <pic:cNvPicPr>
                      <a:picLocks noChangeAspect="1"/>
                    </pic:cNvPicPr>
                  </pic:nvPicPr>
                  <pic:blipFill>
                    <a:blip r:embed="rId20"/>
                    <a:srcRect/>
                    <a:stretch>
                      <a:fillRect/>
                    </a:stretch>
                  </pic:blipFill>
                  <pic:spPr>
                    <a:xfrm>
                      <a:off x="0" y="0"/>
                      <a:ext cx="5323840" cy="4210050"/>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412105" cy="4612640"/>
            <wp:effectExtent l="0" t="0" r="17145" b="16510"/>
            <wp:docPr id="16" name="图片 16" descr="C:\Users\D\Desktop\项目截图\9.jp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C:\Users\D\Desktop\项目截图\9.jpg9"/>
                    <pic:cNvPicPr>
                      <a:picLocks noChangeAspect="1"/>
                    </pic:cNvPicPr>
                  </pic:nvPicPr>
                  <pic:blipFill>
                    <a:blip r:embed="rId21"/>
                    <a:srcRect/>
                    <a:stretch>
                      <a:fillRect/>
                    </a:stretch>
                  </pic:blipFill>
                  <pic:spPr>
                    <a:xfrm>
                      <a:off x="0" y="0"/>
                      <a:ext cx="5412105" cy="4612640"/>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690870" cy="4345305"/>
            <wp:effectExtent l="0" t="0" r="5080" b="17145"/>
            <wp:docPr id="17" name="图片 17" descr="C:\Users\D\Desktop\项目截图\10.jp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C:\Users\D\Desktop\项目截图\10.jpg10"/>
                    <pic:cNvPicPr>
                      <a:picLocks noChangeAspect="1"/>
                    </pic:cNvPicPr>
                  </pic:nvPicPr>
                  <pic:blipFill>
                    <a:blip r:embed="rId22"/>
                    <a:srcRect/>
                    <a:stretch>
                      <a:fillRect/>
                    </a:stretch>
                  </pic:blipFill>
                  <pic:spPr>
                    <a:xfrm>
                      <a:off x="0" y="0"/>
                      <a:ext cx="5690870" cy="4345305"/>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295265" cy="4254500"/>
            <wp:effectExtent l="0" t="0" r="635" b="12700"/>
            <wp:docPr id="18" name="图片 18" descr="C:\Users\D\Desktop\项目截图\11.jp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D\Desktop\项目截图\11.jpg11"/>
                    <pic:cNvPicPr>
                      <a:picLocks noChangeAspect="1"/>
                    </pic:cNvPicPr>
                  </pic:nvPicPr>
                  <pic:blipFill>
                    <a:blip r:embed="rId23"/>
                    <a:srcRect/>
                    <a:stretch>
                      <a:fillRect/>
                    </a:stretch>
                  </pic:blipFill>
                  <pic:spPr>
                    <a:xfrm>
                      <a:off x="0" y="0"/>
                      <a:ext cx="5295265" cy="4254500"/>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066665" cy="3979545"/>
            <wp:effectExtent l="0" t="0" r="635" b="1905"/>
            <wp:docPr id="19" name="图片 19" descr="C:\Users\D\Desktop\项目截图\12.jp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D\Desktop\项目截图\12.jpg12"/>
                    <pic:cNvPicPr>
                      <a:picLocks noChangeAspect="1"/>
                    </pic:cNvPicPr>
                  </pic:nvPicPr>
                  <pic:blipFill>
                    <a:blip r:embed="rId24"/>
                    <a:srcRect/>
                    <a:stretch>
                      <a:fillRect/>
                    </a:stretch>
                  </pic:blipFill>
                  <pic:spPr>
                    <a:xfrm>
                      <a:off x="0" y="0"/>
                      <a:ext cx="5066665" cy="3979545"/>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4836795" cy="4672965"/>
            <wp:effectExtent l="0" t="0" r="1905" b="13335"/>
            <wp:docPr id="20" name="图片 20" descr="C:\Users\D\Desktop\项目截图\13.jp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D\Desktop\项目截图\13.jpg13"/>
                    <pic:cNvPicPr>
                      <a:picLocks noChangeAspect="1"/>
                    </pic:cNvPicPr>
                  </pic:nvPicPr>
                  <pic:blipFill>
                    <a:blip r:embed="rId25"/>
                    <a:srcRect/>
                    <a:stretch>
                      <a:fillRect/>
                    </a:stretch>
                  </pic:blipFill>
                  <pic:spPr>
                    <a:xfrm>
                      <a:off x="0" y="0"/>
                      <a:ext cx="4836795" cy="4672965"/>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4655820" cy="3642995"/>
            <wp:effectExtent l="0" t="0" r="11430" b="14605"/>
            <wp:docPr id="21" name="图片 21" descr="C:\Users\D\Desktop\项目截图\14.jp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D\Desktop\项目截图\14.jpg14"/>
                    <pic:cNvPicPr>
                      <a:picLocks noChangeAspect="1"/>
                    </pic:cNvPicPr>
                  </pic:nvPicPr>
                  <pic:blipFill>
                    <a:blip r:embed="rId26"/>
                    <a:srcRect/>
                    <a:stretch>
                      <a:fillRect/>
                    </a:stretch>
                  </pic:blipFill>
                  <pic:spPr>
                    <a:xfrm>
                      <a:off x="0" y="0"/>
                      <a:ext cx="4655820" cy="3642995"/>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500370" cy="4415155"/>
            <wp:effectExtent l="0" t="0" r="5080" b="4445"/>
            <wp:docPr id="22" name="图片 22" descr="C:\Users\D\Desktop\项目截图\15.jp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C:\Users\D\Desktop\项目截图\15.jpg15"/>
                    <pic:cNvPicPr>
                      <a:picLocks noChangeAspect="1"/>
                    </pic:cNvPicPr>
                  </pic:nvPicPr>
                  <pic:blipFill>
                    <a:blip r:embed="rId27"/>
                    <a:srcRect/>
                    <a:stretch>
                      <a:fillRect/>
                    </a:stretch>
                  </pic:blipFill>
                  <pic:spPr>
                    <a:xfrm>
                      <a:off x="0" y="0"/>
                      <a:ext cx="5500370" cy="4415155"/>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857240" cy="3851910"/>
            <wp:effectExtent l="0" t="0" r="10160" b="15240"/>
            <wp:docPr id="23" name="图片 23" descr="C:\Users\D\Desktop\项目截图\16.jp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Users\D\Desktop\项目截图\16.jpg16"/>
                    <pic:cNvPicPr>
                      <a:picLocks noChangeAspect="1"/>
                    </pic:cNvPicPr>
                  </pic:nvPicPr>
                  <pic:blipFill>
                    <a:blip r:embed="rId28"/>
                    <a:srcRect/>
                    <a:stretch>
                      <a:fillRect/>
                    </a:stretch>
                  </pic:blipFill>
                  <pic:spPr>
                    <a:xfrm>
                      <a:off x="0" y="0"/>
                      <a:ext cx="5857240" cy="3851910"/>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5129530" cy="4737100"/>
            <wp:effectExtent l="0" t="0" r="13970" b="6350"/>
            <wp:docPr id="24" name="图片 24" descr="C:\Users\D\Desktop\项目截图\17.jp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D\Desktop\项目截图\17.jpg17"/>
                    <pic:cNvPicPr>
                      <a:picLocks noChangeAspect="1"/>
                    </pic:cNvPicPr>
                  </pic:nvPicPr>
                  <pic:blipFill>
                    <a:blip r:embed="rId29"/>
                    <a:srcRect/>
                    <a:stretch>
                      <a:fillRect/>
                    </a:stretch>
                  </pic:blipFill>
                  <pic:spPr>
                    <a:xfrm>
                      <a:off x="0" y="0"/>
                      <a:ext cx="5129530" cy="4737100"/>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4604385" cy="3619500"/>
            <wp:effectExtent l="0" t="0" r="5715" b="0"/>
            <wp:docPr id="25" name="图片 25" descr="C:\Users\D\Desktop\项目截图\18.jpg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D\Desktop\项目截图\18.jpg18"/>
                    <pic:cNvPicPr>
                      <a:picLocks noChangeAspect="1"/>
                    </pic:cNvPicPr>
                  </pic:nvPicPr>
                  <pic:blipFill>
                    <a:blip r:embed="rId30"/>
                    <a:srcRect/>
                    <a:stretch>
                      <a:fillRect/>
                    </a:stretch>
                  </pic:blipFill>
                  <pic:spPr>
                    <a:xfrm>
                      <a:off x="0" y="0"/>
                      <a:ext cx="4604385" cy="3619500"/>
                    </a:xfrm>
                    <a:prstGeom prst="rect">
                      <a:avLst/>
                    </a:prstGeom>
                  </pic:spPr>
                </pic:pic>
              </a:graphicData>
            </a:graphic>
          </wp:inline>
        </w:drawing>
      </w:r>
      <w:r>
        <w:rPr>
          <w:rFonts w:hint="eastAsia" w:ascii="黑体" w:hAnsi="黑体" w:eastAsia="黑体"/>
          <w:color w:val="auto"/>
          <w:kern w:val="2"/>
          <w:sz w:val="44"/>
          <w:szCs w:val="24"/>
          <w:lang w:val="en-US"/>
        </w:rPr>
        <w:drawing>
          <wp:inline distT="0" distB="0" distL="114300" distR="114300">
            <wp:extent cx="4784090" cy="3020060"/>
            <wp:effectExtent l="0" t="0" r="16510" b="8890"/>
            <wp:docPr id="26" name="图片 26" descr="C:\Users\D\Desktop\项目截图\19.jpg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D\Desktop\项目截图\19.jpg19"/>
                    <pic:cNvPicPr>
                      <a:picLocks noChangeAspect="1"/>
                    </pic:cNvPicPr>
                  </pic:nvPicPr>
                  <pic:blipFill>
                    <a:blip r:embed="rId31"/>
                    <a:srcRect/>
                    <a:stretch>
                      <a:fillRect/>
                    </a:stretch>
                  </pic:blipFill>
                  <pic:spPr>
                    <a:xfrm>
                      <a:off x="0" y="0"/>
                      <a:ext cx="4784090" cy="3020060"/>
                    </a:xfrm>
                    <a:prstGeom prst="rect">
                      <a:avLst/>
                    </a:prstGeom>
                  </pic:spPr>
                </pic:pic>
              </a:graphicData>
            </a:graphic>
          </wp:inline>
        </w:drawing>
      </w:r>
    </w:p>
    <w:p w14:paraId="61D46386">
      <w:pPr>
        <w:spacing w:beforeLines="0" w:afterLines="0" w:line="240" w:lineRule="auto"/>
        <w:jc w:val="center"/>
        <w:rPr>
          <w:rFonts w:hint="eastAsia" w:ascii="黑体" w:hAnsi="黑体" w:eastAsia="黑体"/>
          <w:color w:val="auto"/>
          <w:kern w:val="2"/>
          <w:sz w:val="44"/>
          <w:szCs w:val="24"/>
          <w:lang w:val="en-US"/>
        </w:rPr>
      </w:pPr>
    </w:p>
    <w:p w14:paraId="3C4EB088">
      <w:pPr>
        <w:pStyle w:val="2"/>
        <w:rPr>
          <w:rFonts w:hint="eastAsia" w:ascii="黑体" w:hAnsi="黑体" w:eastAsia="黑体"/>
          <w:color w:val="auto"/>
          <w:kern w:val="2"/>
          <w:sz w:val="44"/>
          <w:szCs w:val="24"/>
          <w:lang w:val="en-US"/>
        </w:rPr>
      </w:pPr>
    </w:p>
    <w:p w14:paraId="7CEC3835">
      <w:pPr>
        <w:pStyle w:val="3"/>
        <w:rPr>
          <w:rFonts w:hint="eastAsia"/>
          <w:lang w:val="en-US"/>
        </w:rPr>
      </w:pPr>
    </w:p>
    <w:p w14:paraId="57CF3187">
      <w:pPr>
        <w:spacing w:beforeLines="0" w:afterLines="0" w:line="240" w:lineRule="auto"/>
        <w:jc w:val="center"/>
        <w:rPr>
          <w:rFonts w:hint="eastAsia" w:ascii="仿宋" w:hAnsi="仿宋" w:eastAsia="仿宋"/>
          <w:color w:val="auto"/>
          <w:kern w:val="2"/>
          <w:sz w:val="21"/>
          <w:szCs w:val="24"/>
          <w:lang w:val="en-US"/>
        </w:rPr>
      </w:pPr>
      <w:r>
        <w:rPr>
          <w:rFonts w:hint="eastAsia" w:ascii="黑体" w:hAnsi="黑体" w:eastAsia="黑体"/>
          <w:color w:val="auto"/>
          <w:kern w:val="2"/>
          <w:sz w:val="44"/>
          <w:szCs w:val="24"/>
          <w:lang w:val="en-US"/>
        </w:rPr>
        <w:t>第</w:t>
      </w:r>
      <w:r>
        <w:rPr>
          <w:rFonts w:hint="eastAsia" w:ascii="黑体" w:hAnsi="黑体" w:eastAsia="黑体"/>
          <w:color w:val="auto"/>
          <w:kern w:val="44"/>
          <w:sz w:val="44"/>
          <w:szCs w:val="24"/>
          <w:lang w:val="en-US"/>
        </w:rPr>
        <w:t>五部分 附表</w:t>
      </w:r>
    </w:p>
    <w:p w14:paraId="2B1EE2EE">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15" w:name="_Toc3309"/>
      <w:r>
        <w:rPr>
          <w:rFonts w:hint="eastAsia" w:ascii="仿宋" w:hAnsi="仿宋" w:eastAsia="仿宋"/>
          <w:color w:val="auto"/>
          <w:kern w:val="2"/>
          <w:sz w:val="32"/>
          <w:szCs w:val="24"/>
          <w:lang w:val="en-US"/>
        </w:rPr>
        <w:t>一、收入支出决算总表</w:t>
      </w:r>
      <w:bookmarkEnd w:id="15"/>
    </w:p>
    <w:p w14:paraId="47677BC6">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16" w:name="_Toc8567"/>
      <w:r>
        <w:rPr>
          <w:rFonts w:hint="eastAsia" w:ascii="仿宋" w:hAnsi="仿宋" w:eastAsia="仿宋"/>
          <w:color w:val="auto"/>
          <w:kern w:val="2"/>
          <w:sz w:val="32"/>
          <w:szCs w:val="24"/>
          <w:lang w:val="en-US"/>
        </w:rPr>
        <w:t>二、收入决算表</w:t>
      </w:r>
      <w:bookmarkEnd w:id="16"/>
    </w:p>
    <w:p w14:paraId="070B1E81">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17" w:name="_Toc30267"/>
      <w:r>
        <w:rPr>
          <w:rFonts w:hint="eastAsia" w:ascii="仿宋" w:hAnsi="仿宋" w:eastAsia="仿宋"/>
          <w:color w:val="auto"/>
          <w:kern w:val="2"/>
          <w:sz w:val="32"/>
          <w:szCs w:val="24"/>
          <w:lang w:val="en-US"/>
        </w:rPr>
        <w:t>三、支出决算表</w:t>
      </w:r>
      <w:bookmarkEnd w:id="17"/>
    </w:p>
    <w:p w14:paraId="18C34293">
      <w:pPr>
        <w:pStyle w:val="6"/>
        <w:keepNext/>
        <w:keepLines/>
        <w:spacing w:before="260" w:beforeLines="0" w:after="260" w:afterLines="0" w:line="408" w:lineRule="auto"/>
        <w:jc w:val="both"/>
        <w:rPr>
          <w:rFonts w:hint="eastAsia" w:ascii="仿宋" w:hAnsi="仿宋" w:eastAsia="仿宋"/>
          <w:color w:val="auto"/>
          <w:kern w:val="2"/>
          <w:sz w:val="32"/>
          <w:szCs w:val="24"/>
          <w:lang w:val="en-US"/>
        </w:rPr>
      </w:pPr>
      <w:bookmarkStart w:id="18" w:name="_Toc6586"/>
      <w:r>
        <w:rPr>
          <w:rFonts w:hint="eastAsia" w:ascii="仿宋" w:hAnsi="仿宋" w:eastAsia="仿宋"/>
          <w:color w:val="auto"/>
          <w:kern w:val="2"/>
          <w:sz w:val="32"/>
          <w:szCs w:val="24"/>
          <w:lang w:val="en-US"/>
        </w:rPr>
        <w:t>四、财政拨款收入支出决算总表</w:t>
      </w:r>
      <w:bookmarkEnd w:id="18"/>
    </w:p>
    <w:p w14:paraId="7EC733DA">
      <w:pPr>
        <w:pStyle w:val="6"/>
        <w:keepNext/>
        <w:keepLines/>
        <w:spacing w:before="260" w:beforeLines="0" w:after="260" w:afterLines="0" w:line="408" w:lineRule="auto"/>
        <w:jc w:val="both"/>
        <w:rPr>
          <w:rFonts w:hint="eastAsia" w:ascii="仿宋" w:hAnsi="仿宋" w:eastAsia="仿宋"/>
          <w:color w:val="auto"/>
          <w:kern w:val="2"/>
          <w:sz w:val="32"/>
          <w:szCs w:val="24"/>
          <w:lang w:val="en-US"/>
        </w:rPr>
      </w:pPr>
      <w:bookmarkStart w:id="19" w:name="_Toc32521"/>
      <w:r>
        <w:rPr>
          <w:rFonts w:hint="eastAsia" w:ascii="仿宋" w:hAnsi="仿宋" w:eastAsia="仿宋"/>
          <w:color w:val="auto"/>
          <w:kern w:val="2"/>
          <w:sz w:val="32"/>
          <w:szCs w:val="24"/>
          <w:lang w:val="en-US"/>
        </w:rPr>
        <w:t>五、财政拨款支出决算明细表</w:t>
      </w:r>
      <w:bookmarkEnd w:id="19"/>
    </w:p>
    <w:p w14:paraId="629746ED">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0" w:name="_Toc36"/>
      <w:r>
        <w:rPr>
          <w:rFonts w:hint="eastAsia" w:ascii="仿宋" w:hAnsi="仿宋" w:eastAsia="仿宋"/>
          <w:color w:val="auto"/>
          <w:kern w:val="2"/>
          <w:sz w:val="32"/>
          <w:szCs w:val="24"/>
          <w:lang w:val="en-US"/>
        </w:rPr>
        <w:t>六、一般公共预算财政拨款支出决算表</w:t>
      </w:r>
      <w:bookmarkEnd w:id="20"/>
    </w:p>
    <w:p w14:paraId="12E4A6AB">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1" w:name="_Toc18539"/>
      <w:r>
        <w:rPr>
          <w:rFonts w:hint="eastAsia" w:ascii="仿宋" w:hAnsi="仿宋" w:eastAsia="仿宋"/>
          <w:color w:val="auto"/>
          <w:kern w:val="2"/>
          <w:sz w:val="32"/>
          <w:szCs w:val="24"/>
          <w:lang w:val="en-US"/>
        </w:rPr>
        <w:t>七、一般公共预算财政拨款支出决算明细表</w:t>
      </w:r>
      <w:bookmarkEnd w:id="21"/>
    </w:p>
    <w:p w14:paraId="63A469D4">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2" w:name="_Toc12478"/>
      <w:r>
        <w:rPr>
          <w:rFonts w:hint="eastAsia" w:ascii="仿宋" w:hAnsi="仿宋" w:eastAsia="仿宋"/>
          <w:color w:val="auto"/>
          <w:kern w:val="2"/>
          <w:sz w:val="32"/>
          <w:szCs w:val="24"/>
          <w:lang w:val="en-US"/>
        </w:rPr>
        <w:t>八、一般公共预算财政拨款基本支出决算表</w:t>
      </w:r>
      <w:bookmarkEnd w:id="22"/>
    </w:p>
    <w:p w14:paraId="2F0B2E90">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3" w:name="_Toc2174"/>
      <w:r>
        <w:rPr>
          <w:rFonts w:hint="eastAsia" w:ascii="仿宋" w:hAnsi="仿宋" w:eastAsia="仿宋"/>
          <w:color w:val="auto"/>
          <w:kern w:val="2"/>
          <w:sz w:val="32"/>
          <w:szCs w:val="24"/>
          <w:lang w:val="en-US"/>
        </w:rPr>
        <w:t>九、一般公共预算财政拨款项目支出决算表</w:t>
      </w:r>
      <w:bookmarkEnd w:id="23"/>
    </w:p>
    <w:p w14:paraId="7A384E20">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4" w:name="_Toc4736"/>
      <w:r>
        <w:rPr>
          <w:rFonts w:hint="eastAsia" w:ascii="仿宋" w:hAnsi="仿宋" w:eastAsia="仿宋"/>
          <w:color w:val="auto"/>
          <w:kern w:val="2"/>
          <w:sz w:val="32"/>
          <w:szCs w:val="24"/>
          <w:lang w:val="en-US"/>
        </w:rPr>
        <w:t>十、政府性基金预算财政拨款收入支出决算表</w:t>
      </w:r>
      <w:bookmarkEnd w:id="24"/>
    </w:p>
    <w:p w14:paraId="549BA6E9">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5" w:name="_Toc13927"/>
      <w:r>
        <w:rPr>
          <w:rFonts w:hint="eastAsia" w:ascii="仿宋" w:hAnsi="仿宋" w:eastAsia="仿宋"/>
          <w:color w:val="auto"/>
          <w:kern w:val="2"/>
          <w:sz w:val="32"/>
          <w:szCs w:val="24"/>
          <w:lang w:val="en-US"/>
        </w:rPr>
        <w:t>十一、国有资本经营预算财政拨款收入支出决算表</w:t>
      </w:r>
      <w:bookmarkEnd w:id="25"/>
    </w:p>
    <w:p w14:paraId="0599724A">
      <w:pPr>
        <w:pStyle w:val="6"/>
        <w:keepNext/>
        <w:keepLines/>
        <w:spacing w:before="260" w:beforeLines="0" w:after="260" w:afterLines="0" w:line="408" w:lineRule="auto"/>
        <w:jc w:val="both"/>
        <w:rPr>
          <w:rFonts w:hint="eastAsia" w:ascii="仿宋" w:hAnsi="仿宋" w:eastAsia="仿宋"/>
          <w:b/>
          <w:color w:val="auto"/>
          <w:kern w:val="2"/>
          <w:sz w:val="32"/>
          <w:szCs w:val="24"/>
          <w:lang w:val="en-US"/>
        </w:rPr>
      </w:pPr>
      <w:bookmarkStart w:id="26" w:name="_Toc25568"/>
      <w:r>
        <w:rPr>
          <w:rFonts w:hint="eastAsia" w:ascii="仿宋" w:hAnsi="仿宋" w:eastAsia="仿宋"/>
          <w:color w:val="auto"/>
          <w:kern w:val="2"/>
          <w:sz w:val="32"/>
          <w:szCs w:val="24"/>
          <w:lang w:val="en-US"/>
        </w:rPr>
        <w:t>十二、国有资本经营预算财政拨款支出决算表</w:t>
      </w:r>
      <w:bookmarkEnd w:id="26"/>
    </w:p>
    <w:p w14:paraId="471D1E20">
      <w:pPr>
        <w:pStyle w:val="6"/>
        <w:keepNext/>
        <w:keepLines/>
        <w:spacing w:before="260" w:beforeLines="0" w:after="260" w:afterLines="0" w:line="408" w:lineRule="auto"/>
        <w:jc w:val="both"/>
        <w:rPr>
          <w:rFonts w:hint="eastAsia" w:ascii="宋体" w:hAnsi="宋体" w:eastAsia="宋体" w:cs="宋体"/>
          <w:i w:val="0"/>
          <w:color w:val="000000"/>
          <w:spacing w:val="20"/>
          <w:kern w:val="0"/>
          <w:sz w:val="18"/>
          <w:szCs w:val="18"/>
          <w:u w:val="none"/>
          <w:lang w:val="en-US" w:eastAsia="zh-CN" w:bidi="ar"/>
        </w:rPr>
      </w:pPr>
      <w:bookmarkStart w:id="27" w:name="_Toc13081"/>
      <w:r>
        <w:rPr>
          <w:rFonts w:hint="eastAsia" w:ascii="仿宋" w:hAnsi="仿宋" w:eastAsia="仿宋"/>
          <w:color w:val="auto"/>
          <w:kern w:val="2"/>
          <w:sz w:val="32"/>
          <w:szCs w:val="24"/>
          <w:lang w:val="en-US"/>
        </w:rPr>
        <w:t>十三、财政拨款</w:t>
      </w:r>
      <w:r>
        <w:rPr>
          <w:rFonts w:hint="default" w:ascii="仿宋" w:hAnsi="仿宋" w:eastAsia="仿宋"/>
          <w:color w:val="auto"/>
          <w:kern w:val="2"/>
          <w:sz w:val="32"/>
          <w:szCs w:val="24"/>
          <w:lang w:val="en-US"/>
        </w:rPr>
        <w:t>“</w:t>
      </w:r>
      <w:r>
        <w:rPr>
          <w:rFonts w:hint="eastAsia" w:ascii="仿宋" w:hAnsi="仿宋" w:eastAsia="仿宋"/>
          <w:color w:val="auto"/>
          <w:kern w:val="2"/>
          <w:sz w:val="32"/>
          <w:szCs w:val="24"/>
          <w:lang w:val="en-US"/>
        </w:rPr>
        <w:t>三公</w:t>
      </w:r>
      <w:r>
        <w:rPr>
          <w:rFonts w:hint="default" w:ascii="仿宋" w:hAnsi="仿宋" w:eastAsia="仿宋"/>
          <w:color w:val="auto"/>
          <w:kern w:val="2"/>
          <w:sz w:val="32"/>
          <w:szCs w:val="24"/>
          <w:lang w:val="en-US"/>
        </w:rPr>
        <w:t>”</w:t>
      </w:r>
      <w:r>
        <w:rPr>
          <w:rFonts w:hint="eastAsia" w:ascii="仿宋" w:hAnsi="仿宋" w:eastAsia="仿宋"/>
          <w:color w:val="auto"/>
          <w:kern w:val="2"/>
          <w:sz w:val="32"/>
          <w:szCs w:val="24"/>
          <w:lang w:val="en-US"/>
        </w:rPr>
        <w:t>经费支出决算</w:t>
      </w:r>
      <w:bookmarkEnd w:id="27"/>
    </w:p>
    <w:sectPr>
      <w:footerReference r:id="rId4" w:type="default"/>
      <w:pgSz w:w="12240" w:h="15840"/>
      <w:pgMar w:top="1440" w:right="1406" w:bottom="1440" w:left="1803" w:header="720" w:footer="720" w:gutter="0"/>
      <w:lnNumType w:countBy="0" w:distance="360"/>
      <w:pgNumType w:fmt="decimal"/>
      <w:cols w:space="0" w:num="1"/>
      <w:rtlGutter w:val="0"/>
      <w:docGrid w:type="linesAndChars" w:linePitch="312" w:charSpace="-491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方正小标宋简体">
    <w:panose1 w:val="03000509000000000000"/>
    <w:charset w:val="86"/>
    <w:family w:val="script"/>
    <w:pitch w:val="default"/>
    <w:sig w:usb0="00000001" w:usb1="080E0000" w:usb2="00000000" w:usb3="00000000" w:csb0="00040000" w:csb1="00000000"/>
  </w:font>
  <w:font w:name="方正楷体简体">
    <w:altName w:val="宋体"/>
    <w:panose1 w:val="03000509000000000000"/>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27F6AC">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E0EDC2">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0DE0EDC2">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B3D2817"/>
    <w:multiLevelType w:val="singleLevel"/>
    <w:tmpl w:val="FB3D2817"/>
    <w:lvl w:ilvl="0" w:tentative="0">
      <w:start w:val="3"/>
      <w:numFmt w:val="decimal"/>
      <w:lvlText w:val="%1."/>
      <w:lvlJc w:val="left"/>
      <w:pPr>
        <w:tabs>
          <w:tab w:val="left" w:pos="312"/>
        </w:tabs>
      </w:pPr>
    </w:lvl>
  </w:abstractNum>
  <w:abstractNum w:abstractNumId="1">
    <w:nsid w:val="29BDAABC"/>
    <w:multiLevelType w:val="singleLevel"/>
    <w:tmpl w:val="29BDAABC"/>
    <w:lvl w:ilvl="0" w:tentative="0">
      <w:start w:val="2"/>
      <w:numFmt w:val="chineseCounting"/>
      <w:suff w:val="nothing"/>
      <w:lvlText w:val="（%1）"/>
      <w:lvlJc w:val="left"/>
      <w:rPr>
        <w:rFonts w:hint="eastAsia"/>
      </w:rPr>
    </w:lvl>
  </w:abstractNum>
  <w:abstractNum w:abstractNumId="2">
    <w:nsid w:val="2A7ABAC3"/>
    <w:multiLevelType w:val="singleLevel"/>
    <w:tmpl w:val="2A7ABAC3"/>
    <w:lvl w:ilvl="0" w:tentative="0">
      <w:start w:val="4"/>
      <w:numFmt w:val="chineseCounting"/>
      <w:suff w:val="space"/>
      <w:lvlText w:val="第%1部分"/>
      <w:lvlJc w:val="left"/>
      <w:rPr>
        <w:rFonts w:hint="eastAsia"/>
      </w:rPr>
    </w:lvl>
  </w:abstractNum>
  <w:abstractNum w:abstractNumId="3">
    <w:nsid w:val="446782F1"/>
    <w:multiLevelType w:val="singleLevel"/>
    <w:tmpl w:val="446782F1"/>
    <w:lvl w:ilvl="0" w:tentative="0">
      <w:start w:val="1"/>
      <w:numFmt w:val="decimal"/>
      <w:lvlText w:val="%1."/>
      <w:lvlJc w:val="left"/>
      <w:pPr>
        <w:tabs>
          <w:tab w:val="left" w:pos="312"/>
        </w:tabs>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HorizontalSpacing w:val="108"/>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U2YjA5ZTEwYmJkYTA3YmQxMzY2ZGJmMDQwNmYyZWMifQ=="/>
  </w:docVars>
  <w:rsids>
    <w:rsidRoot w:val="00172A27"/>
    <w:rsid w:val="006D383F"/>
    <w:rsid w:val="007C282D"/>
    <w:rsid w:val="01CE6C6C"/>
    <w:rsid w:val="032D3E59"/>
    <w:rsid w:val="03491D8A"/>
    <w:rsid w:val="03C712CE"/>
    <w:rsid w:val="04072D0F"/>
    <w:rsid w:val="0476643F"/>
    <w:rsid w:val="04D611E5"/>
    <w:rsid w:val="050360A8"/>
    <w:rsid w:val="05097E95"/>
    <w:rsid w:val="05386C77"/>
    <w:rsid w:val="05802F58"/>
    <w:rsid w:val="05A23A96"/>
    <w:rsid w:val="05C15930"/>
    <w:rsid w:val="06782B59"/>
    <w:rsid w:val="072E7A9F"/>
    <w:rsid w:val="07D35DC6"/>
    <w:rsid w:val="07F76FEB"/>
    <w:rsid w:val="08A46D95"/>
    <w:rsid w:val="08B43EE9"/>
    <w:rsid w:val="08D654D7"/>
    <w:rsid w:val="08E546B9"/>
    <w:rsid w:val="08EC7D21"/>
    <w:rsid w:val="09F26C1D"/>
    <w:rsid w:val="0A0E0994"/>
    <w:rsid w:val="0A45343A"/>
    <w:rsid w:val="0A635E0B"/>
    <w:rsid w:val="0AA100B1"/>
    <w:rsid w:val="0AD56A50"/>
    <w:rsid w:val="0B2652D5"/>
    <w:rsid w:val="0B2873FE"/>
    <w:rsid w:val="0C844DD5"/>
    <w:rsid w:val="0CAF524D"/>
    <w:rsid w:val="0E7E361E"/>
    <w:rsid w:val="0E884996"/>
    <w:rsid w:val="0ED764AE"/>
    <w:rsid w:val="0F09528B"/>
    <w:rsid w:val="0FD172C6"/>
    <w:rsid w:val="10BB6CB8"/>
    <w:rsid w:val="11356946"/>
    <w:rsid w:val="11575E4A"/>
    <w:rsid w:val="116B4C95"/>
    <w:rsid w:val="11926E97"/>
    <w:rsid w:val="11B635A0"/>
    <w:rsid w:val="135D54E1"/>
    <w:rsid w:val="13F14594"/>
    <w:rsid w:val="14D317E3"/>
    <w:rsid w:val="15253AAC"/>
    <w:rsid w:val="158166EB"/>
    <w:rsid w:val="16337695"/>
    <w:rsid w:val="16D177F3"/>
    <w:rsid w:val="172550A7"/>
    <w:rsid w:val="17CE7E68"/>
    <w:rsid w:val="18001BBA"/>
    <w:rsid w:val="18892DF0"/>
    <w:rsid w:val="1907501F"/>
    <w:rsid w:val="19330401"/>
    <w:rsid w:val="1B534258"/>
    <w:rsid w:val="1C090333"/>
    <w:rsid w:val="1CD5428E"/>
    <w:rsid w:val="1DBB7A0D"/>
    <w:rsid w:val="1DBC5843"/>
    <w:rsid w:val="1EF667FE"/>
    <w:rsid w:val="1EFC4B20"/>
    <w:rsid w:val="1F282812"/>
    <w:rsid w:val="1F865EB5"/>
    <w:rsid w:val="1FC66D1E"/>
    <w:rsid w:val="1FF1025D"/>
    <w:rsid w:val="214320D5"/>
    <w:rsid w:val="22A93444"/>
    <w:rsid w:val="232B3DB6"/>
    <w:rsid w:val="23506CFD"/>
    <w:rsid w:val="25137784"/>
    <w:rsid w:val="25693AA6"/>
    <w:rsid w:val="25F27E2B"/>
    <w:rsid w:val="268C5AE4"/>
    <w:rsid w:val="26976763"/>
    <w:rsid w:val="26BD4802"/>
    <w:rsid w:val="26BE554B"/>
    <w:rsid w:val="281A74F2"/>
    <w:rsid w:val="2940589C"/>
    <w:rsid w:val="29A869F0"/>
    <w:rsid w:val="2A1B0631"/>
    <w:rsid w:val="2A2606E1"/>
    <w:rsid w:val="2C83159F"/>
    <w:rsid w:val="2CE03E95"/>
    <w:rsid w:val="2D0D6C6E"/>
    <w:rsid w:val="2E7A565F"/>
    <w:rsid w:val="2ED633FD"/>
    <w:rsid w:val="2F242726"/>
    <w:rsid w:val="2FDD66C4"/>
    <w:rsid w:val="2FE2232C"/>
    <w:rsid w:val="300755A7"/>
    <w:rsid w:val="30625B6E"/>
    <w:rsid w:val="30A24DC4"/>
    <w:rsid w:val="310B0E16"/>
    <w:rsid w:val="32C94820"/>
    <w:rsid w:val="32D333BE"/>
    <w:rsid w:val="363428F3"/>
    <w:rsid w:val="365C43B7"/>
    <w:rsid w:val="376F13DC"/>
    <w:rsid w:val="38543B3D"/>
    <w:rsid w:val="39030503"/>
    <w:rsid w:val="3952631C"/>
    <w:rsid w:val="39625BEF"/>
    <w:rsid w:val="39C85AF1"/>
    <w:rsid w:val="3A023B1A"/>
    <w:rsid w:val="3A3517D1"/>
    <w:rsid w:val="3A4F3628"/>
    <w:rsid w:val="3B3A40A4"/>
    <w:rsid w:val="3BE75E96"/>
    <w:rsid w:val="3BF34662"/>
    <w:rsid w:val="3C6F376F"/>
    <w:rsid w:val="3CB3145C"/>
    <w:rsid w:val="3D192B62"/>
    <w:rsid w:val="3DA31CBC"/>
    <w:rsid w:val="3DF10377"/>
    <w:rsid w:val="3E9D26D7"/>
    <w:rsid w:val="3ED160A4"/>
    <w:rsid w:val="3F697760"/>
    <w:rsid w:val="3FC50848"/>
    <w:rsid w:val="3FE3402F"/>
    <w:rsid w:val="401B3B62"/>
    <w:rsid w:val="411947DA"/>
    <w:rsid w:val="412C54FC"/>
    <w:rsid w:val="422B23E1"/>
    <w:rsid w:val="427B72BE"/>
    <w:rsid w:val="42A22CE9"/>
    <w:rsid w:val="433F5CD6"/>
    <w:rsid w:val="44E04722"/>
    <w:rsid w:val="45015451"/>
    <w:rsid w:val="456541D9"/>
    <w:rsid w:val="45E8618D"/>
    <w:rsid w:val="475F6B36"/>
    <w:rsid w:val="47B7336D"/>
    <w:rsid w:val="485F3980"/>
    <w:rsid w:val="490371E0"/>
    <w:rsid w:val="491D2923"/>
    <w:rsid w:val="49D8290E"/>
    <w:rsid w:val="4C1C4F8F"/>
    <w:rsid w:val="4C7205E1"/>
    <w:rsid w:val="4C797734"/>
    <w:rsid w:val="4CAE7093"/>
    <w:rsid w:val="4D4840E6"/>
    <w:rsid w:val="4DAB1808"/>
    <w:rsid w:val="4DB328A9"/>
    <w:rsid w:val="4DB5615D"/>
    <w:rsid w:val="4E780FCF"/>
    <w:rsid w:val="4F4F6532"/>
    <w:rsid w:val="4F816637"/>
    <w:rsid w:val="50EA4918"/>
    <w:rsid w:val="517A28AE"/>
    <w:rsid w:val="5212109F"/>
    <w:rsid w:val="529E499C"/>
    <w:rsid w:val="53362B8F"/>
    <w:rsid w:val="5372092B"/>
    <w:rsid w:val="540921DC"/>
    <w:rsid w:val="540B7959"/>
    <w:rsid w:val="54826C2B"/>
    <w:rsid w:val="54A6083F"/>
    <w:rsid w:val="554720EF"/>
    <w:rsid w:val="55953B98"/>
    <w:rsid w:val="56546584"/>
    <w:rsid w:val="56C763BC"/>
    <w:rsid w:val="58630BAA"/>
    <w:rsid w:val="5882163E"/>
    <w:rsid w:val="59001955"/>
    <w:rsid w:val="59DB38E9"/>
    <w:rsid w:val="5A687A55"/>
    <w:rsid w:val="5BDB2A82"/>
    <w:rsid w:val="5C1647D9"/>
    <w:rsid w:val="5C187721"/>
    <w:rsid w:val="5C2B1AED"/>
    <w:rsid w:val="5CC8652E"/>
    <w:rsid w:val="5CF77631"/>
    <w:rsid w:val="5D624DDB"/>
    <w:rsid w:val="5D86494A"/>
    <w:rsid w:val="5DD81210"/>
    <w:rsid w:val="5E1B5FD4"/>
    <w:rsid w:val="5FC529E9"/>
    <w:rsid w:val="6004534E"/>
    <w:rsid w:val="600478F2"/>
    <w:rsid w:val="60F235C2"/>
    <w:rsid w:val="62873523"/>
    <w:rsid w:val="63415C56"/>
    <w:rsid w:val="65EE0BFF"/>
    <w:rsid w:val="66D1642D"/>
    <w:rsid w:val="67FF5CDC"/>
    <w:rsid w:val="689240F8"/>
    <w:rsid w:val="68A7762D"/>
    <w:rsid w:val="6AC45B43"/>
    <w:rsid w:val="6B44661A"/>
    <w:rsid w:val="6DC62151"/>
    <w:rsid w:val="6E2852E1"/>
    <w:rsid w:val="6E4C3B14"/>
    <w:rsid w:val="6E674395"/>
    <w:rsid w:val="6EC40BC4"/>
    <w:rsid w:val="6F406B33"/>
    <w:rsid w:val="7041564F"/>
    <w:rsid w:val="70500823"/>
    <w:rsid w:val="70A76963"/>
    <w:rsid w:val="718667A9"/>
    <w:rsid w:val="71F24D00"/>
    <w:rsid w:val="722618B7"/>
    <w:rsid w:val="72493E00"/>
    <w:rsid w:val="73115FFE"/>
    <w:rsid w:val="73C2433A"/>
    <w:rsid w:val="74E17932"/>
    <w:rsid w:val="77702D7C"/>
    <w:rsid w:val="780572DA"/>
    <w:rsid w:val="78197FD0"/>
    <w:rsid w:val="78A75132"/>
    <w:rsid w:val="78EF7F19"/>
    <w:rsid w:val="78F87CDB"/>
    <w:rsid w:val="7A034F91"/>
    <w:rsid w:val="7A5C2ACA"/>
    <w:rsid w:val="7E605ED5"/>
    <w:rsid w:val="7E9B5823"/>
    <w:rsid w:val="7F085D14"/>
    <w:rsid w:val="7F7B4EF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iPriority="99" w:semiHidden="0" w:name="Normal"/>
    <w:lsdException w:qFormat="1" w:uiPriority="99" w:semiHidden="0" w:name="heading 1"/>
    <w:lsdException w:qFormat="1" w:uiPriority="9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qFormat="1" w:unhideWhenUsed="0" w:uiPriority="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99"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paragraph" w:styleId="5">
    <w:name w:val="heading 1"/>
    <w:next w:val="1"/>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paragraph" w:styleId="6">
    <w:name w:val="heading 2"/>
    <w:next w:val="1"/>
    <w:unhideWhenUsed/>
    <w:qFormat/>
    <w:uiPriority w:val="99"/>
    <w:pPr>
      <w:widowControl w:val="0"/>
      <w:autoSpaceDE w:val="0"/>
      <w:autoSpaceDN w:val="0"/>
      <w:adjustRightInd w:val="0"/>
      <w:spacing w:beforeLines="0" w:afterLines="0"/>
    </w:pPr>
    <w:rPr>
      <w:rFonts w:hint="default" w:asciiTheme="minorHAnsi" w:hAnsiTheme="minorHAnsi" w:eastAsiaTheme="minorEastAsia" w:cstheme="minorBidi"/>
      <w:sz w:val="24"/>
      <w:szCs w:val="24"/>
    </w:rPr>
  </w:style>
  <w:style w:type="character" w:default="1" w:styleId="11">
    <w:name w:val="Default Paragraph Font"/>
    <w:semiHidden/>
    <w:qFormat/>
    <w:uiPriority w:val="0"/>
  </w:style>
  <w:style w:type="table" w:default="1" w:styleId="10">
    <w:name w:val="Normal Table"/>
    <w:semiHidden/>
    <w:qFormat/>
    <w:uiPriority w:val="0"/>
    <w:tblPr>
      <w:tblCellMar>
        <w:top w:w="0" w:type="dxa"/>
        <w:left w:w="108" w:type="dxa"/>
        <w:bottom w:w="0" w:type="dxa"/>
        <w:right w:w="108" w:type="dxa"/>
      </w:tblCellMar>
    </w:tblPr>
  </w:style>
  <w:style w:type="paragraph" w:styleId="2">
    <w:name w:val="footnote text"/>
    <w:basedOn w:val="1"/>
    <w:next w:val="3"/>
    <w:semiHidden/>
    <w:qFormat/>
    <w:uiPriority w:val="0"/>
    <w:pPr>
      <w:snapToGrid w:val="0"/>
      <w:jc w:val="left"/>
    </w:pPr>
    <w:rPr>
      <w:sz w:val="18"/>
      <w:szCs w:val="18"/>
    </w:rPr>
  </w:style>
  <w:style w:type="paragraph" w:styleId="3">
    <w:name w:val="Body Text First Indent 2"/>
    <w:basedOn w:val="4"/>
    <w:unhideWhenUsed/>
    <w:qFormat/>
    <w:uiPriority w:val="99"/>
    <w:pPr>
      <w:ind w:firstLine="420" w:firstLineChars="200"/>
    </w:pPr>
  </w:style>
  <w:style w:type="paragraph" w:styleId="4">
    <w:name w:val="Body Text Indent"/>
    <w:basedOn w:val="1"/>
    <w:next w:val="3"/>
    <w:qFormat/>
    <w:uiPriority w:val="0"/>
    <w:pPr>
      <w:spacing w:after="120"/>
      <w:ind w:leftChars="200"/>
    </w:pPr>
    <w:rPr>
      <w:rFonts w:ascii="仿宋_GB2312"/>
      <w:szCs w:val="32"/>
    </w:r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unhideWhenUsed/>
    <w:qFormat/>
    <w:uiPriority w:val="39"/>
    <w:pPr>
      <w:tabs>
        <w:tab w:val="right" w:leader="dot" w:pos="8296"/>
      </w:tabs>
      <w:spacing w:before="93"/>
      <w:jc w:val="center"/>
    </w:pPr>
    <w:rPr>
      <w:rFonts w:ascii="仿宋" w:hAnsi="仿宋" w:eastAsia="仿宋"/>
      <w:sz w:val="28"/>
      <w:szCs w:val="28"/>
    </w:rPr>
  </w:style>
  <w:style w:type="character" w:styleId="12">
    <w:name w:val="Strong"/>
    <w:basedOn w:val="11"/>
    <w:qFormat/>
    <w:uiPriority w:val="99"/>
    <w:rPr>
      <w:rFonts w:cs="Times New Roman"/>
      <w:b/>
    </w:rPr>
  </w:style>
  <w:style w:type="paragraph" w:customStyle="1" w:styleId="13">
    <w:name w:val="Default"/>
    <w:qFormat/>
    <w:uiPriority w:val="99"/>
    <w:pPr>
      <w:widowControl w:val="0"/>
      <w:autoSpaceDE w:val="0"/>
      <w:autoSpaceDN w:val="0"/>
      <w:adjustRightInd w:val="0"/>
    </w:pPr>
    <w:rPr>
      <w:rFonts w:ascii="仿宋" w:hAnsi="Calibri" w:eastAsia="仿宋" w:cs="仿宋"/>
      <w:color w:val="000000"/>
      <w:sz w:val="24"/>
      <w:szCs w:val="24"/>
      <w:lang w:val="en-US" w:eastAsia="zh-CN" w:bidi="ar-SA"/>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chart" Target="charts/chart4.xml"/><Relationship Id="rId8" Type="http://schemas.openxmlformats.org/officeDocument/2006/relationships/chart" Target="charts/chart3.xml"/><Relationship Id="rId7" Type="http://schemas.openxmlformats.org/officeDocument/2006/relationships/chart" Target="charts/chart2.xml"/><Relationship Id="rId6" Type="http://schemas.openxmlformats.org/officeDocument/2006/relationships/chart" Target="charts/chart1.xml"/><Relationship Id="rId5" Type="http://schemas.openxmlformats.org/officeDocument/2006/relationships/theme" Target="theme/theme1.xml"/><Relationship Id="rId4" Type="http://schemas.openxmlformats.org/officeDocument/2006/relationships/footer" Target="foot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19.jpeg"/><Relationship Id="rId30" Type="http://schemas.openxmlformats.org/officeDocument/2006/relationships/image" Target="media/image18.jpeg"/><Relationship Id="rId3" Type="http://schemas.openxmlformats.org/officeDocument/2006/relationships/footnotes" Target="footnotes.xml"/><Relationship Id="rId29" Type="http://schemas.openxmlformats.org/officeDocument/2006/relationships/image" Target="media/image17.jpeg"/><Relationship Id="rId28" Type="http://schemas.openxmlformats.org/officeDocument/2006/relationships/image" Target="media/image16.jpeg"/><Relationship Id="rId27" Type="http://schemas.openxmlformats.org/officeDocument/2006/relationships/image" Target="media/image15.jpeg"/><Relationship Id="rId26" Type="http://schemas.openxmlformats.org/officeDocument/2006/relationships/image" Target="media/image14.jpeg"/><Relationship Id="rId25" Type="http://schemas.openxmlformats.org/officeDocument/2006/relationships/image" Target="media/image13.jpeg"/><Relationship Id="rId24" Type="http://schemas.openxmlformats.org/officeDocument/2006/relationships/image" Target="media/image12.jpeg"/><Relationship Id="rId23" Type="http://schemas.openxmlformats.org/officeDocument/2006/relationships/image" Target="media/image11.jpeg"/><Relationship Id="rId22" Type="http://schemas.openxmlformats.org/officeDocument/2006/relationships/image" Target="media/image10.jpe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jpeg"/><Relationship Id="rId18" Type="http://schemas.openxmlformats.org/officeDocument/2006/relationships/image" Target="media/image6.jpeg"/><Relationship Id="rId17" Type="http://schemas.openxmlformats.org/officeDocument/2006/relationships/image" Target="media/image5.jpeg"/><Relationship Id="rId16" Type="http://schemas.openxmlformats.org/officeDocument/2006/relationships/image" Target="media/image4.jpeg"/><Relationship Id="rId15" Type="http://schemas.openxmlformats.org/officeDocument/2006/relationships/image" Target="media/image3.jpeg"/><Relationship Id="rId14" Type="http://schemas.openxmlformats.org/officeDocument/2006/relationships/image" Target="media/image2.jpeg"/><Relationship Id="rId13" Type="http://schemas.openxmlformats.org/officeDocument/2006/relationships/image" Target="media/image1.jpeg"/><Relationship Id="rId12" Type="http://schemas.openxmlformats.org/officeDocument/2006/relationships/chart" Target="charts/chart7.xml"/><Relationship Id="rId11" Type="http://schemas.openxmlformats.org/officeDocument/2006/relationships/chart" Target="charts/chart6.xml"/><Relationship Id="rId10" Type="http://schemas.openxmlformats.org/officeDocument/2006/relationships/chart" Target="charts/chart5.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2.xml.rels><?xml version="1.0" encoding="UTF-8" standalone="yes"?>
<Relationships xmlns="http://schemas.openxmlformats.org/package/2006/relationships"><Relationship Id="rId1" Type="http://schemas.openxmlformats.org/officeDocument/2006/relationships/package" Target="../embeddings/Workbook2.xlsx"/></Relationships>
</file>

<file path=word/charts/_rels/chart3.xml.rels><?xml version="1.0" encoding="UTF-8" standalone="yes"?>
<Relationships xmlns="http://schemas.openxmlformats.org/package/2006/relationships"><Relationship Id="rId1" Type="http://schemas.openxmlformats.org/officeDocument/2006/relationships/oleObject" Target="../embeddings/oleObject5.bin"/></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5.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6.xml.rels><?xml version="1.0" encoding="UTF-8" standalone="yes"?>
<Relationships xmlns="http://schemas.openxmlformats.org/package/2006/relationships"><Relationship Id="rId1" Type="http://schemas.openxmlformats.org/officeDocument/2006/relationships/oleObject" Target="../embeddings/oleObject4.bin"/></Relationships>
</file>

<file path=word/charts/_rels/chart7.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0562310211024"/>
          <c:y val="0.137105069248584"/>
          <c:w val="0.677372125762553"/>
          <c:h val="0.598249129838625"/>
        </c:manualLayout>
      </c:layout>
      <c:barChart>
        <c:barDir val="col"/>
        <c:grouping val="clustered"/>
        <c:varyColors val="0"/>
        <c:ser>
          <c:idx val="2"/>
          <c:order val="0"/>
          <c:tx>
            <c:strRef>
              <c:f>Sheet1!$B$1</c:f>
              <c:strCache>
                <c:ptCount val="1"/>
                <c:pt idx="0">
                  <c:v>2023年收支</c:v>
                </c:pt>
              </c:strCache>
            </c:strRef>
          </c:tx>
          <c:spPr>
            <a:gradFill>
              <a:gsLst>
                <a:gs pos="0">
                  <a:srgbClr val="14CD68"/>
                </a:gs>
                <a:gs pos="100000">
                  <a:srgbClr val="0B6E38"/>
                </a:gs>
              </a:gsLst>
              <a:lin scaled="0"/>
            </a:gra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Sheet1!$B$2</c:f>
              <c:numCache>
                <c:formatCode>General</c:formatCode>
                <c:ptCount val="1"/>
                <c:pt idx="0">
                  <c:v>383.39</c:v>
                </c:pt>
              </c:numCache>
            </c:numRef>
          </c:val>
        </c:ser>
        <c:ser>
          <c:idx val="3"/>
          <c:order val="1"/>
          <c:tx>
            <c:strRef>
              <c:f>Sheet1!$C$1</c:f>
              <c:strCache>
                <c:ptCount val="1"/>
                <c:pt idx="0">
                  <c:v>2024年收支</c:v>
                </c:pt>
              </c:strCache>
            </c:strRef>
          </c:tx>
          <c:spPr>
            <a:solidFill>
              <a:srgbClr val="FF000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Sheet1!$C$2</c:f>
              <c:numCache>
                <c:formatCode>General</c:formatCode>
                <c:ptCount val="1"/>
                <c:pt idx="0">
                  <c:v>339.07</c:v>
                </c:pt>
              </c:numCache>
            </c:numRef>
          </c:val>
        </c:ser>
        <c:dLbls>
          <c:showLegendKey val="0"/>
          <c:showVal val="1"/>
          <c:showCatName val="0"/>
          <c:showSerName val="0"/>
          <c:showPercent val="0"/>
          <c:showBubbleSize val="0"/>
        </c:dLbls>
        <c:gapWidth val="267"/>
        <c:overlap val="-43"/>
        <c:axId val="41233408"/>
        <c:axId val="41262080"/>
      </c:barChart>
      <c:catAx>
        <c:axId val="41233408"/>
        <c:scaling>
          <c:orientation val="minMax"/>
        </c:scaling>
        <c:delete val="1"/>
        <c:axPos val="b"/>
        <c:majorGridlines>
          <c:spPr>
            <a:ln w="9525" cap="flat" cmpd="sng" algn="ctr">
              <a:solidFill>
                <a:schemeClr val="dk1">
                  <a:lumMod val="15000"/>
                  <a:lumOff val="85000"/>
                </a:schemeClr>
              </a:solidFill>
              <a:prstDash val="solid"/>
              <a:round/>
            </a:ln>
            <a:effectLst/>
          </c:spPr>
        </c:majorGridlines>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62080"/>
        <c:crosses val="autoZero"/>
        <c:auto val="1"/>
        <c:lblAlgn val="ctr"/>
        <c:lblOffset val="100"/>
        <c:noMultiLvlLbl val="0"/>
      </c:catAx>
      <c:valAx>
        <c:axId val="412620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2334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81360137704181"/>
          <c:y val="0.768487027366369"/>
          <c:w val="0.680555555555556"/>
          <c:h val="0.06705364291433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5ad59389-30ac-40b2-b8b1-45be684050e2}"/>
      </c:ext>
    </c:extLst>
  </c:chart>
  <c:spPr>
    <a:solidFill>
      <a:schemeClr val="lt1"/>
    </a:soli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1"/>
          <c:order val="0"/>
          <c:tx>
            <c:strRef>
              <c:f>Sheet1!$C$1</c:f>
              <c:strCache>
                <c:ptCount val="1"/>
                <c:pt idx="0">
                  <c:v>列1</c:v>
                </c:pt>
              </c:strCache>
            </c:strRef>
          </c:tx>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931390714369144"/>
                  <c:y val="-0.304655199916147"/>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一般公共预算财政拨款收入, </a:t>
                    </a:r>
                    <a:r>
                      <a:rPr lang="en-US" altLang="zh-CN"/>
                      <a:t>97.9%</a:t>
                    </a:r>
                    <a:endParaRPr lang="en-US" altLang="zh-CN" u="heavy"/>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0590929236223964"/>
                  <c:y val="0.122744629006393"/>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其他收入</a:t>
                    </a:r>
                    <a:r>
                      <a:rPr lang="en-US" altLang="zh-CN"/>
                      <a:t>2.1%</a:t>
                    </a:r>
                    <a:endParaRPr lang="en-US" altLang="zh-CN"/>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一般公共预算财政拨款收入</c:v>
                </c:pt>
                <c:pt idx="1">
                  <c:v>其他收入</c:v>
                </c:pt>
              </c:strCache>
            </c:strRef>
          </c:cat>
          <c:val>
            <c:numRef>
              <c:f>Sheet1!$C$2:$C$3</c:f>
              <c:numCache>
                <c:formatCode>General</c:formatCode>
                <c:ptCount val="2"/>
                <c:pt idx="0">
                  <c:v>348.01</c:v>
                </c:pt>
                <c:pt idx="1">
                  <c:v>9.53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0ad1d0df-bd2c-424a-bd6f-4ced34e314bf}"/>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19030669665167"/>
          <c:y val="0.0468716285347801"/>
          <c:w val="0.442214871278585"/>
          <c:h val="0.700870754501937"/>
        </c:manualLayout>
      </c:layout>
      <c:pieChart>
        <c:varyColors val="1"/>
        <c:ser>
          <c:idx val="1"/>
          <c:order val="0"/>
          <c:tx>
            <c:strRef>
              <c:f>Sheet1!$C$1</c:f>
              <c:strCache>
                <c:ptCount val="1"/>
                <c:pt idx="0">
                  <c:v>列1</c:v>
                </c:pt>
              </c:strCache>
            </c:strRef>
          </c:tx>
          <c:explosion val="0"/>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c:spPr>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dPt>
          <c:dLbls>
            <c:dLbl>
              <c:idx val="0"/>
              <c:layout>
                <c:manualLayout>
                  <c:x val="-0.173872099278328"/>
                  <c:y val="-0.176728995008941"/>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基本支出, </a:t>
                    </a:r>
                  </a:p>
                  <a:p>
                    <a:pPr>
                      <a:defRPr lang="zh-CN" sz="900" b="0" i="0" u="none" strike="noStrike" kern="1200" baseline="0">
                        <a:solidFill>
                          <a:schemeClr val="tx1">
                            <a:lumMod val="75000"/>
                            <a:lumOff val="25000"/>
                          </a:schemeClr>
                        </a:solidFill>
                        <a:latin typeface="+mn-lt"/>
                        <a:ea typeface="+mn-ea"/>
                        <a:cs typeface="+mn-cs"/>
                      </a:defRPr>
                    </a:pPr>
                    <a:r>
                      <a:rPr lang="en-US" altLang="zh-CN"/>
                      <a:t>218.8</a:t>
                    </a:r>
                    <a:r>
                      <a:rPr altLang="en-US"/>
                      <a:t>万</a:t>
                    </a:r>
                    <a:r>
                      <a:t>元</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74671886693555"/>
                  <c:y val="0.073712597723949"/>
                </c:manualLayout>
              </c:layout>
              <c:tx>
                <c:rich>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r>
                      <a:t>项目支出, </a:t>
                    </a:r>
                    <a:r>
                      <a:rPr lang="en-US"/>
                      <a:t>120.27</a:t>
                    </a:r>
                    <a:r>
                      <a:t>万元</a:t>
                    </a:r>
                  </a:p>
                </c:rich>
              </c:tx>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基本支出</c:v>
                </c:pt>
                <c:pt idx="1">
                  <c:v>项目支出</c:v>
                </c:pt>
              </c:strCache>
            </c:strRef>
          </c:cat>
          <c:val>
            <c:numRef>
              <c:f>Sheet1!$C$2:$C$3</c:f>
              <c:numCache>
                <c:formatCode>General</c:formatCode>
                <c:ptCount val="2"/>
                <c:pt idx="0">
                  <c:v>218.8</c:v>
                </c:pt>
                <c:pt idx="1">
                  <c:v>120.27</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manualLayout>
          <c:xMode val="edge"/>
          <c:yMode val="edge"/>
          <c:x val="0.400546526679131"/>
          <c:y val="0.75836899068713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da77f1a8-ee7a-4ffc-bd72-aedf190c5c39}"/>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4463502211679"/>
          <c:y val="0.113969580746134"/>
          <c:w val="0.677372125762553"/>
          <c:h val="0.598249129838625"/>
        </c:manualLayout>
      </c:layout>
      <c:barChart>
        <c:barDir val="col"/>
        <c:grouping val="clustered"/>
        <c:varyColors val="0"/>
        <c:ser>
          <c:idx val="2"/>
          <c:order val="0"/>
          <c:tx>
            <c:strRef>
              <c:f>Sheet1!$D$1</c:f>
              <c:strCache>
                <c:ptCount val="1"/>
                <c:pt idx="0">
                  <c:v>2023年收支</c:v>
                </c:pt>
              </c:strCache>
            </c:strRef>
          </c:tx>
          <c:spPr>
            <a:solidFill>
              <a:srgbClr val="92D05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383.39</c:v>
                </c:pt>
              </c:numCache>
            </c:numRef>
          </c:val>
        </c:ser>
        <c:ser>
          <c:idx val="3"/>
          <c:order val="1"/>
          <c:tx>
            <c:strRef>
              <c:f>Sheet1!$E$1</c:f>
              <c:strCache>
                <c:ptCount val="1"/>
                <c:pt idx="0">
                  <c:v>2024年收支</c:v>
                </c:pt>
              </c:strCache>
            </c:strRef>
          </c:tx>
          <c:spPr>
            <a:solidFill>
              <a:srgbClr val="FF0000"/>
            </a:solidFill>
            <a:ln>
              <a:noFill/>
            </a:ln>
            <a:effectLst/>
          </c:spPr>
          <c:invertIfNegative val="0"/>
          <c:dLbls>
            <c:dLbl>
              <c:idx val="0"/>
              <c:layout/>
              <c:tx>
                <c:rich>
                  <a:bodyPr rot="0" spcFirstLastPara="0" vertOverflow="ellipsis" vert="horz" wrap="square" lIns="38100" tIns="19050" rIns="38100" bIns="19050" anchor="ctr" anchorCtr="1"/>
                  <a:lstStyle/>
                  <a:p>
                    <a:pPr defTabSz="914400">
                      <a:defRPr lang="zh-CN" sz="900" b="0" i="0" u="none" strike="noStrike" kern="1200" baseline="0">
                        <a:solidFill>
                          <a:schemeClr val="dk1">
                            <a:lumMod val="75000"/>
                            <a:lumOff val="25000"/>
                          </a:schemeClr>
                        </a:solidFill>
                        <a:latin typeface="+mn-lt"/>
                        <a:ea typeface="+mn-ea"/>
                        <a:cs typeface="+mn-cs"/>
                      </a:defRPr>
                    </a:pPr>
                    <a:r>
                      <a:t>3</a:t>
                    </a:r>
                    <a:r>
                      <a:rPr lang="en-US" altLang="zh-CN"/>
                      <a:t>39.07</a:t>
                    </a:r>
                    <a:endParaRPr lang="en-US" altLang="zh-CN"/>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dk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dk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339.07</c:v>
                </c:pt>
              </c:numCache>
            </c:numRef>
          </c:val>
        </c:ser>
        <c:dLbls>
          <c:showLegendKey val="0"/>
          <c:showVal val="1"/>
          <c:showCatName val="0"/>
          <c:showSerName val="0"/>
          <c:showPercent val="0"/>
          <c:showBubbleSize val="0"/>
        </c:dLbls>
        <c:gapWidth val="267"/>
        <c:overlap val="-43"/>
        <c:axId val="41233408"/>
        <c:axId val="41262080"/>
      </c:barChart>
      <c:catAx>
        <c:axId val="41233408"/>
        <c:scaling>
          <c:orientation val="minMax"/>
        </c:scaling>
        <c:delete val="1"/>
        <c:axPos val="b"/>
        <c:majorGridlines>
          <c:spPr>
            <a:ln w="9525" cap="flat" cmpd="sng" algn="ctr">
              <a:solidFill>
                <a:schemeClr val="dk1">
                  <a:lumMod val="15000"/>
                  <a:lumOff val="85000"/>
                </a:schemeClr>
              </a:solidFill>
              <a:prstDash val="solid"/>
              <a:round/>
            </a:ln>
            <a:effectLst/>
          </c:spPr>
        </c:majorGridlines>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1262080"/>
        <c:crosses val="autoZero"/>
        <c:auto val="1"/>
        <c:lblAlgn val="ctr"/>
        <c:lblOffset val="100"/>
        <c:noMultiLvlLbl val="0"/>
      </c:catAx>
      <c:valAx>
        <c:axId val="41262080"/>
        <c:scaling>
          <c:orientation val="minMax"/>
        </c:scaling>
        <c:delete val="0"/>
        <c:axPos val="l"/>
        <c:majorGridlines>
          <c:spPr>
            <a:ln w="9525" cap="flat" cmpd="sng" algn="ctr">
              <a:solidFill>
                <a:schemeClr val="dk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crossAx val="41233408"/>
        <c:crosses val="autoZero"/>
        <c:crossBetween val="between"/>
      </c:valAx>
      <c:spPr>
        <a:pattFill prst="ltDnDiag">
          <a:fgClr>
            <a:schemeClr val="dk1">
              <a:lumMod val="15000"/>
              <a:lumOff val="85000"/>
            </a:schemeClr>
          </a:fgClr>
          <a:bgClr>
            <a:schemeClr val="lt1"/>
          </a:bgClr>
        </a:pattFill>
        <a:ln>
          <a:noFill/>
        </a:ln>
        <a:effectLst/>
      </c:spPr>
    </c:plotArea>
    <c:legend>
      <c:legendPos val="b"/>
      <c:layout>
        <c:manualLayout>
          <c:xMode val="edge"/>
          <c:yMode val="edge"/>
          <c:x val="0.178579049188017"/>
          <c:y val="0.770171727283939"/>
          <c:w val="0.680555555555556"/>
          <c:h val="0.0670536429143316"/>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d8b7a910-4107-4a8d-b39f-cee80b21e3da}"/>
      </c:ext>
    </c:extLst>
  </c:chart>
  <c:spPr>
    <a:solidFill>
      <a:schemeClr val="lt1"/>
    </a:solid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61568782026015"/>
          <c:y val="0.143743734580619"/>
          <c:w val="0.903965006349654"/>
          <c:h val="0.847266154541347"/>
        </c:manualLayout>
      </c:layout>
      <c:barChart>
        <c:barDir val="col"/>
        <c:grouping val="clustered"/>
        <c:varyColors val="0"/>
        <c:ser>
          <c:idx val="2"/>
          <c:order val="0"/>
          <c:tx>
            <c:strRef>
              <c:f>Sheet1!$D$1</c:f>
              <c:strCache>
                <c:ptCount val="1"/>
                <c:pt idx="0">
                  <c:v>2023年支出</c:v>
                </c:pt>
              </c:strCache>
            </c:strRef>
          </c:tx>
          <c:spPr>
            <a:solidFill>
              <a:srgbClr val="92D050"/>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类别 1</c:v>
                </c:pt>
              </c:strCache>
            </c:strRef>
          </c:cat>
          <c:val>
            <c:numRef>
              <c:f>Sheet1!$D$2</c:f>
              <c:numCache>
                <c:formatCode>General</c:formatCode>
                <c:ptCount val="1"/>
                <c:pt idx="0">
                  <c:v>348.01</c:v>
                </c:pt>
              </c:numCache>
            </c:numRef>
          </c:val>
        </c:ser>
        <c:ser>
          <c:idx val="3"/>
          <c:order val="1"/>
          <c:tx>
            <c:strRef>
              <c:f>Sheet1!$E$1</c:f>
              <c:strCache>
                <c:ptCount val="1"/>
                <c:pt idx="0">
                  <c:v>2024年支出</c:v>
                </c:pt>
              </c:strCache>
            </c:strRef>
          </c:tx>
          <c:spPr>
            <a:solidFill>
              <a:schemeClr val="accent4"/>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prstDash val="solid"/>
                      <a:round/>
                    </a:ln>
                    <a:effectLst/>
                  </c:spPr>
                </c15:leaderLines>
              </c:ext>
            </c:extLst>
          </c:dLbls>
          <c:cat>
            <c:strRef>
              <c:f>Sheet1!$A$2</c:f>
              <c:strCache>
                <c:ptCount val="1"/>
                <c:pt idx="0">
                  <c:v>类别 1</c:v>
                </c:pt>
              </c:strCache>
            </c:strRef>
          </c:cat>
          <c:val>
            <c:numRef>
              <c:f>Sheet1!$E$2</c:f>
              <c:numCache>
                <c:formatCode>General</c:formatCode>
                <c:ptCount val="1"/>
                <c:pt idx="0">
                  <c:v>331.67</c:v>
                </c:pt>
              </c:numCache>
            </c:numRef>
          </c:val>
        </c:ser>
        <c:dLbls>
          <c:showLegendKey val="0"/>
          <c:showVal val="1"/>
          <c:showCatName val="0"/>
          <c:showSerName val="0"/>
          <c:showPercent val="0"/>
          <c:showBubbleSize val="0"/>
        </c:dLbls>
        <c:gapWidth val="219"/>
        <c:overlap val="-27"/>
        <c:axId val="43118592"/>
        <c:axId val="43120128"/>
      </c:barChart>
      <c:catAx>
        <c:axId val="43118592"/>
        <c:scaling>
          <c:orientation val="minMax"/>
        </c:scaling>
        <c:delete val="1"/>
        <c:axPos val="b"/>
        <c:majorTickMark val="none"/>
        <c:minorTickMark val="none"/>
        <c:tickLblPos val="none"/>
        <c:txPr>
          <a:bodyPr rot="-60000000" spcFirstLastPara="0" vertOverflow="ellipsis" vert="horz" wrap="square" anchor="ctr" anchorCtr="1"/>
          <a:lstStyle/>
          <a:p>
            <a:pPr>
              <a:defRPr lang="zh-CN" sz="1000" b="0" i="0" u="none" strike="noStrike" kern="1200" baseline="0">
                <a:solidFill>
                  <a:schemeClr val="tx1"/>
                </a:solidFill>
                <a:latin typeface="+mn-lt"/>
                <a:ea typeface="+mn-ea"/>
                <a:cs typeface="+mn-cs"/>
              </a:defRPr>
            </a:pPr>
          </a:p>
        </c:txPr>
        <c:crossAx val="43120128"/>
        <c:crosses val="autoZero"/>
        <c:auto val="1"/>
        <c:lblAlgn val="ctr"/>
        <c:lblOffset val="100"/>
        <c:noMultiLvlLbl val="0"/>
      </c:catAx>
      <c:valAx>
        <c:axId val="43120128"/>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118592"/>
        <c:crosses val="autoZero"/>
        <c:crossBetween val="between"/>
      </c:valAx>
      <c:spPr>
        <a:noFill/>
        <a:ln>
          <a:noFill/>
        </a:ln>
        <a:effectLst/>
      </c:spPr>
    </c:plotArea>
    <c:legend>
      <c:legendPos val="b"/>
      <c:layout>
        <c:manualLayout>
          <c:xMode val="edge"/>
          <c:yMode val="edge"/>
          <c:x val="0.280804582389771"/>
          <c:y val="0.896876964996855"/>
          <c:w val="0.487811376049021"/>
          <c:h val="0.0702158876545798"/>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extLst>
      <c:ext uri="{0b15fc19-7d7d-44ad-8c2d-2c3a37ce22c3}">
        <chartProps xmlns="https://web.wps.cn/et/2018/main" chartId="{bae9f097-0e85-4fd8-b10b-a2caca9e3373}"/>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74081061399117"/>
          <c:y val="0.00259552010264666"/>
          <c:w val="0.528466387510809"/>
          <c:h val="0.702726249341815"/>
        </c:manualLayout>
      </c:layout>
      <c:pieChart>
        <c:varyColors val="1"/>
        <c:ser>
          <c:idx val="0"/>
          <c:order val="0"/>
          <c:tx>
            <c:strRef>
              <c:f>Sheet1!$B$1</c:f>
              <c:strCache>
                <c:ptCount val="1"/>
                <c:pt idx="0">
                  <c:v>列1</c:v>
                </c:pt>
              </c:strCache>
            </c:strRef>
          </c:tx>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dLbl>
              <c:idx val="0"/>
              <c:layout>
                <c:manualLayout>
                  <c:x val="0.0914280810646474"/>
                  <c:y val="0.0236309205494108"/>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solidFill>
                          <a:schemeClr val="tx1"/>
                        </a:solidFill>
                      </a:rPr>
                      <a:t>86.35</a:t>
                    </a:r>
                    <a:r>
                      <a:rPr>
                        <a:solidFill>
                          <a:schemeClr val="tx1"/>
                        </a:solidFill>
                      </a:rPr>
                      <a:t>%</a:t>
                    </a:r>
                    <a:endParaRPr>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layout>
                    <c:manualLayout>
                      <c:w val="0.133381502890173"/>
                      <c:h val="0.0945426594926979"/>
                    </c:manualLayout>
                  </c15:layout>
                </c:ext>
              </c:extLst>
            </c:dLbl>
            <c:dLbl>
              <c:idx val="1"/>
              <c:layout>
                <c:manualLayout>
                  <c:x val="-0.108576350210888"/>
                  <c:y val="-0.130976404279004"/>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solidFill>
                          <a:schemeClr val="tx1"/>
                        </a:solidFill>
                      </a:rPr>
                      <a:t>7.34</a:t>
                    </a:r>
                    <a:r>
                      <a:rPr>
                        <a:solidFill>
                          <a:schemeClr val="tx1"/>
                        </a:solidFill>
                      </a:rPr>
                      <a:t>%</a:t>
                    </a:r>
                    <a:endParaRPr>
                      <a:solidFill>
                        <a:schemeClr val="tx1"/>
                      </a:solidFill>
                    </a:endParaRPr>
                  </a:p>
                </c:rich>
              </c:tx>
              <c:dLblPos val="bestFit"/>
              <c:showLegendKey val="0"/>
              <c:showVal val="0"/>
              <c:showCatName val="0"/>
              <c:showSerName val="0"/>
              <c:showPercent val="1"/>
              <c:showBubbleSize val="0"/>
              <c:extLst>
                <c:ext xmlns:c15="http://schemas.microsoft.com/office/drawing/2012/chart" uri="{CE6537A1-D6FC-4f65-9D91-7224C49458BB}">
                  <c15:layout>
                    <c:manualLayout>
                      <c:w val="0.101589595375723"/>
                      <c:h val="0.0680245964642583"/>
                    </c:manualLayout>
                  </c15:layout>
                </c:ext>
              </c:extLst>
            </c:dLbl>
            <c:dLbl>
              <c:idx val="2"/>
              <c:layout>
                <c:manualLayout>
                  <c:x val="0.0243752677263516"/>
                  <c:y val="0.0553029314361345"/>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t>1.8</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dLbl>
              <c:idx val="3"/>
              <c:layout>
                <c:manualLayout>
                  <c:x val="0.00917210416914514"/>
                  <c:y val="0"/>
                </c:manualLayout>
              </c:layout>
              <c:tx>
                <c:rich>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r>
                      <a:rPr lang="en-US" altLang="zh-CN"/>
                      <a:t>4.5</a:t>
                    </a:r>
                    <a:r>
                      <a:t>%</a:t>
                    </a:r>
                  </a:p>
                </c:rich>
              </c:tx>
              <c:dLblPos val="bestFit"/>
              <c:showLegendKey val="0"/>
              <c:showVal val="0"/>
              <c:showCatName val="0"/>
              <c:showSerName val="0"/>
              <c:showPercent val="1"/>
              <c:showBubbleSize val="0"/>
              <c:extLst>
                <c:ext xmlns:c15="http://schemas.microsoft.com/office/drawing/2012/chart" uri="{CE6537A1-D6FC-4f65-9D91-7224C49458BB}">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tx1"/>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Sheet1!$B$2:$B$5</c:f>
              <c:numCache>
                <c:formatCode>General</c:formatCode>
                <c:ptCount val="4"/>
                <c:pt idx="0">
                  <c:v>296</c:v>
                </c:pt>
                <c:pt idx="1">
                  <c:v>31.09</c:v>
                </c:pt>
                <c:pt idx="2">
                  <c:v>6.27</c:v>
                </c:pt>
                <c:pt idx="3">
                  <c:v>14.66</c:v>
                </c:pt>
              </c:numCache>
            </c:numRef>
          </c:val>
        </c:ser>
        <c:ser>
          <c:idx val="1"/>
          <c:order val="1"/>
          <c:tx>
            <c:strRef>
              <c:f>Sheet1!$C$1</c:f>
              <c:strCache>
                <c:ptCount val="1"/>
                <c:pt idx="0">
                  <c:v>列2</c:v>
                </c:pt>
              </c:strCache>
            </c:strRef>
          </c:tx>
          <c:explosion val="0"/>
          <c:dPt>
            <c:idx val="0"/>
            <c:bubble3D val="0"/>
            <c:spPr>
              <a:solidFill>
                <a:schemeClr val="accent1"/>
              </a:solidFill>
              <a:ln>
                <a:noFill/>
              </a:ln>
              <a:effectLst>
                <a:outerShdw blurRad="317500" algn="ctr" rotWithShape="0">
                  <a:prstClr val="black">
                    <a:alpha val="25000"/>
                  </a:prstClr>
                </a:outerShdw>
              </a:effectLst>
            </c:spPr>
          </c:dPt>
          <c:dPt>
            <c:idx val="1"/>
            <c:bubble3D val="0"/>
            <c:spPr>
              <a:solidFill>
                <a:schemeClr val="accent2"/>
              </a:solidFill>
              <a:ln>
                <a:noFill/>
              </a:ln>
              <a:effectLst>
                <a:outerShdw blurRad="317500" algn="ctr" rotWithShape="0">
                  <a:prstClr val="black">
                    <a:alpha val="25000"/>
                  </a:prstClr>
                </a:outerShdw>
              </a:effectLst>
            </c:spPr>
          </c:dPt>
          <c:dPt>
            <c:idx val="2"/>
            <c:bubble3D val="0"/>
            <c:spPr>
              <a:solidFill>
                <a:schemeClr val="accent3"/>
              </a:solidFill>
              <a:ln>
                <a:noFill/>
              </a:ln>
              <a:effectLst>
                <a:outerShdw blurRad="317500" algn="ctr" rotWithShape="0">
                  <a:prstClr val="black">
                    <a:alpha val="25000"/>
                  </a:prstClr>
                </a:outerShdw>
              </a:effectLst>
            </c:spPr>
          </c:dPt>
          <c:dPt>
            <c:idx val="3"/>
            <c:bubble3D val="0"/>
            <c:spPr>
              <a:solidFill>
                <a:schemeClr val="accent4"/>
              </a:solidFill>
              <a:ln>
                <a:noFill/>
              </a:ln>
              <a:effectLst>
                <a:outerShdw blurRad="317500" algn="ctr" rotWithShape="0">
                  <a:prstClr val="black">
                    <a:alpha val="25000"/>
                  </a:prstClr>
                </a:outerShdw>
              </a:effectLst>
            </c:spPr>
          </c:dPt>
          <c:dLbls>
            <c:spPr>
              <a:noFill/>
              <a:ln>
                <a:noFill/>
              </a:ln>
              <a:effectLst/>
            </c:spPr>
            <c:txPr>
              <a:bodyPr rot="0" spcFirstLastPara="0" vertOverflow="ellipsis" vert="horz" wrap="square" lIns="38100" tIns="19050" rIns="38100" bIns="19050" anchor="ctr" anchorCtr="1"/>
              <a:lstStyle/>
              <a:p>
                <a:pPr>
                  <a:defRPr lang="zh-CN" sz="900" b="1" i="0" u="none" strike="noStrike" kern="1200" baseline="0">
                    <a:solidFill>
                      <a:schemeClr val="lt1"/>
                    </a:solidFill>
                    <a:latin typeface="+mn-lt"/>
                    <a:ea typeface="+mn-ea"/>
                    <a:cs typeface="+mn-cs"/>
                  </a:defRPr>
                </a:pPr>
              </a:p>
            </c:txPr>
            <c:dLblPos val="bestFit"/>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cap="flat" cmpd="sng" algn="ctr">
                      <a:solidFill>
                        <a:schemeClr val="dk1">
                          <a:lumMod val="35000"/>
                          <a:lumOff val="65000"/>
                        </a:schemeClr>
                      </a:solidFill>
                      <a:prstDash val="solid"/>
                      <a:round/>
                    </a:ln>
                    <a:effectLst/>
                  </c:spPr>
                </c15:leaderLines>
              </c:ext>
            </c:extLst>
          </c:dLbls>
          <c:cat>
            <c:strRef>
              <c:f>Sheet1!$A$2:$A$5</c:f>
              <c:strCache>
                <c:ptCount val="4"/>
                <c:pt idx="0">
                  <c:v>教育支出（类）</c:v>
                </c:pt>
                <c:pt idx="1">
                  <c:v>社会保障和就业（类）</c:v>
                </c:pt>
                <c:pt idx="2">
                  <c:v>卫生健康支出（类）</c:v>
                </c:pt>
                <c:pt idx="3">
                  <c:v>住房保障支出（类）</c:v>
                </c:pt>
              </c:strCache>
            </c:strRef>
          </c:cat>
          <c:val>
            <c:numRef>
              <c:f>Sheet1!$C$2:$C$5</c:f>
              <c:numCache>
                <c:formatCode>General</c:formatCode>
                <c:ptCount val="4"/>
                <c:pt idx="0">
                  <c:v>379.2</c:v>
                </c:pt>
                <c:pt idx="1">
                  <c:v>27.2</c:v>
                </c:pt>
                <c:pt idx="2">
                  <c:v>6.02</c:v>
                </c:pt>
                <c:pt idx="3">
                  <c:v>14.08</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r"/>
      <c:layout/>
      <c:overlay val="0"/>
      <c:spPr>
        <a:solidFill>
          <a:schemeClr val="lt1">
            <a:alpha val="78000"/>
          </a:schemeClr>
        </a:solidFill>
        <a:ln>
          <a:noFill/>
        </a:ln>
        <a:effectLst/>
      </c:spPr>
      <c:txPr>
        <a:bodyPr rot="0" spcFirstLastPara="0" vertOverflow="ellipsis" vert="horz" wrap="square" anchor="ctr" anchorCtr="1"/>
        <a:lstStyle/>
        <a:p>
          <a:pPr>
            <a:defRPr lang="zh-CN" sz="900" b="0" i="0" u="none" strike="noStrike" kern="1200" baseline="0">
              <a:solidFill>
                <a:schemeClr val="dk1">
                  <a:lumMod val="65000"/>
                  <a:lumOff val="35000"/>
                </a:schemeClr>
              </a:solidFill>
              <a:latin typeface="+mn-lt"/>
              <a:ea typeface="+mn-ea"/>
              <a:cs typeface="+mn-cs"/>
            </a:defRPr>
          </a:pPr>
        </a:p>
      </c:txPr>
    </c:legend>
    <c:plotVisOnly val="1"/>
    <c:dispBlanksAs val="zero"/>
    <c:showDLblsOverMax val="0"/>
    <c:extLst>
      <c:ext uri="{0b15fc19-7d7d-44ad-8c2d-2c3a37ce22c3}">
        <chartProps xmlns="https://web.wps.cn/et/2018/main" chartId="{639b04bd-1918-4e4c-98bf-5e132abedeb6}"/>
      </c:ext>
    </c:extLst>
  </c:chart>
  <c:spPr>
    <a:pattFill prst="dkDnDiag">
      <a:fgClr>
        <a:schemeClr val="lt1">
          <a:lumMod val="95000"/>
        </a:schemeClr>
      </a:fgClr>
      <a:bgClr>
        <a:schemeClr val="lt1"/>
      </a:bgClr>
    </a:pattFill>
    <a:ln w="9525" cap="flat" cmpd="sng" algn="ctr">
      <a:solidFill>
        <a:schemeClr val="dk1">
          <a:lumMod val="15000"/>
          <a:lumOff val="85000"/>
        </a:schemeClr>
      </a:solidFill>
      <a:prstDash val="solid"/>
      <a:round/>
    </a:ln>
    <a:effectLst/>
  </c:spPr>
  <c:txPr>
    <a:bodyPr/>
    <a:lstStyle/>
    <a:p>
      <a:pPr>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0234726659167604"/>
          <c:y val="0.00307890085167926"/>
          <c:w val="0.440467067600802"/>
          <c:h val="0.682008368200837"/>
        </c:manualLayout>
      </c:layout>
      <c:pieChart>
        <c:varyColors val="1"/>
        <c:ser>
          <c:idx val="0"/>
          <c:order val="0"/>
          <c:tx>
            <c:strRef>
              <c:f>Sheet1!$B$1</c:f>
              <c:strCache>
                <c:ptCount val="1"/>
                <c:pt idx="0">
                  <c:v>列1</c:v>
                </c:pt>
              </c:strCache>
            </c:strRef>
          </c:tx>
          <c:spPr/>
          <c:explosion val="0"/>
          <c:dPt>
            <c:idx val="0"/>
            <c:bubble3D val="0"/>
            <c:spPr>
              <a:gradFill rotWithShape="1">
                <a:gsLst>
                  <a:gs pos="0">
                    <a:schemeClr val="accent1">
                      <a:lumMod val="110000"/>
                      <a:satMod val="105000"/>
                      <a:tint val="67000"/>
                    </a:schemeClr>
                  </a:gs>
                  <a:gs pos="50000">
                    <a:schemeClr val="accent1">
                      <a:lumMod val="105000"/>
                      <a:satMod val="103000"/>
                      <a:tint val="73000"/>
                    </a:schemeClr>
                  </a:gs>
                  <a:gs pos="100000">
                    <a:schemeClr val="accent1">
                      <a:lumMod val="105000"/>
                      <a:satMod val="109000"/>
                      <a:tint val="81000"/>
                    </a:schemeClr>
                  </a:gs>
                </a:gsLst>
                <a:lin ang="5400000" scaled="0"/>
              </a:gradFill>
              <a:ln w="9525" cap="flat" cmpd="sng" algn="ctr">
                <a:solidFill>
                  <a:schemeClr val="accent1">
                    <a:shade val="95000"/>
                  </a:schemeClr>
                </a:solidFill>
                <a:round/>
              </a:ln>
              <a:effectLst/>
            </c:spPr>
          </c:dPt>
          <c:dPt>
            <c:idx val="1"/>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2"/>
            <c:bubble3D val="0"/>
            <c:spPr>
              <a:gradFill rotWithShape="1">
                <a:gsLst>
                  <a:gs pos="0">
                    <a:schemeClr val="accent3">
                      <a:lumMod val="110000"/>
                      <a:satMod val="105000"/>
                      <a:tint val="67000"/>
                    </a:schemeClr>
                  </a:gs>
                  <a:gs pos="50000">
                    <a:schemeClr val="accent3">
                      <a:lumMod val="105000"/>
                      <a:satMod val="103000"/>
                      <a:tint val="73000"/>
                    </a:schemeClr>
                  </a:gs>
                  <a:gs pos="100000">
                    <a:schemeClr val="accent3">
                      <a:lumMod val="105000"/>
                      <a:satMod val="109000"/>
                      <a:tint val="81000"/>
                    </a:schemeClr>
                  </a:gs>
                </a:gsLst>
                <a:lin ang="5400000" scaled="0"/>
              </a:gradFill>
              <a:ln w="9525" cap="flat" cmpd="sng" algn="ctr">
                <a:solidFill>
                  <a:schemeClr val="accent3">
                    <a:shade val="95000"/>
                  </a:schemeClr>
                </a:solidFill>
                <a:round/>
              </a:ln>
              <a:effectLst/>
            </c:spPr>
          </c:dPt>
          <c:dLbls>
            <c:dLbl>
              <c:idx val="0"/>
              <c:layout>
                <c:manualLayout>
                  <c:x val="0.0883960279315258"/>
                  <c:y val="0.0236309205494108"/>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1"/>
              <c:layout>
                <c:manualLayout>
                  <c:x val="-0.108576350210888"/>
                  <c:y val="-0.130976404279004"/>
                </c:manualLayout>
              </c:layout>
              <c:dLblPos val="bestFit"/>
              <c:showLegendKey val="0"/>
              <c:showVal val="0"/>
              <c:showCatName val="0"/>
              <c:showSerName val="0"/>
              <c:showPercent val="1"/>
              <c:showBubbleSize val="0"/>
              <c:extLst>
                <c:ext xmlns:c15="http://schemas.microsoft.com/office/drawing/2012/chart" uri="{CE6537A1-D6FC-4f65-9D91-7224C49458BB}">
                  <c15:layout/>
                </c:ext>
              </c:extLst>
            </c:dLbl>
            <c:dLbl>
              <c:idx val="2"/>
              <c:layout>
                <c:manualLayout>
                  <c:x val="0.00127391052161585"/>
                  <c:y val="0.0553029314361357"/>
                </c:manualLayout>
              </c:layout>
              <c:tx>
                <c:rich>
                  <a:bodyPr rot="0" spcFirstLastPara="0" vertOverflow="ellipsis" vert="horz" wrap="square" lIns="38100" tIns="19050" rIns="38100" bIns="19050" anchor="ctr" anchorCtr="1"/>
                  <a:lstStyle/>
                  <a:p>
                    <a:pPr defTabSz="914400">
                      <a:defRPr lang="zh-CN" sz="900" b="0" i="0" u="none" strike="noStrike" kern="1200" baseline="0">
                        <a:solidFill>
                          <a:schemeClr val="tx1">
                            <a:lumMod val="65000"/>
                            <a:lumOff val="35000"/>
                          </a:schemeClr>
                        </a:solidFill>
                        <a:latin typeface="+mn-lt"/>
                        <a:ea typeface="+mn-ea"/>
                        <a:cs typeface="+mn-cs"/>
                      </a:defRPr>
                    </a:pPr>
                    <a:r>
                      <a:rPr lang="en-US" altLang="zh-CN"/>
                      <a:t>0.</a:t>
                    </a:r>
                    <a:r>
                      <a:t>00%</a:t>
                    </a:r>
                  </a:p>
                </c:rich>
              </c:tx>
              <c:dLblPos val="bestFit"/>
              <c:showLegendKey val="0"/>
              <c:showVal val="0"/>
              <c:showCatName val="0"/>
              <c:showSerName val="0"/>
              <c:showPercent val="1"/>
              <c:showBubbleSize val="0"/>
              <c:extLst>
                <c:ext xmlns:c15="http://schemas.microsoft.com/office/drawing/2012/chart" uri="{CE6537A1-D6FC-4f65-9D91-7224C49458BB}">
                  <c15:layout>
                    <c:manualLayout>
                      <c:w val="0.126949152542373"/>
                      <c:h val="0.395604395604396"/>
                    </c:manualLayout>
                  </c15:layout>
                </c:ext>
              </c:extLst>
            </c:dLbl>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65000"/>
                        <a:lumOff val="35000"/>
                      </a:schemeClr>
                    </a:solidFill>
                    <a:latin typeface="+mn-lt"/>
                    <a:ea typeface="+mn-ea"/>
                    <a:cs typeface="+mn-cs"/>
                  </a:defRPr>
                </a:pPr>
              </a:p>
            </c:txPr>
            <c:dLblPos val="inEnd"/>
            <c:showLegendKey val="0"/>
            <c:showVal val="0"/>
            <c:showCatName val="0"/>
            <c:showSerName val="0"/>
            <c:showPercent val="1"/>
            <c:showBubbleSize val="0"/>
            <c:showLeaderLines val="1"/>
            <c:extLst>
              <c:ext xmlns:c15="http://schemas.microsoft.com/office/drawing/2012/chart" uri="{CE6537A1-D6FC-4f65-9D91-7224C49458BB}">
                <c15:layout/>
                <c15:showLeaderLines val="1"/>
                <c15:leaderLines>
                  <c:spPr>
                    <a:ln w="9525">
                      <a:solidFill>
                        <a:schemeClr val="tx1">
                          <a:lumMod val="35000"/>
                          <a:lumOff val="65000"/>
                        </a:schemeClr>
                      </a:solidFill>
                    </a:ln>
                    <a:effectLst/>
                  </c:spPr>
                </c15:leaderLines>
              </c:ext>
            </c:extLst>
          </c:dLbls>
          <c:cat>
            <c:strRef>
              <c:f>Sheet1!$A$2:$A$4</c:f>
              <c:strCache>
                <c:ptCount val="3"/>
                <c:pt idx="0">
                  <c:v>因公出国费</c:v>
                </c:pt>
                <c:pt idx="1">
                  <c:v>公务用车购置及运行维护费</c:v>
                </c:pt>
                <c:pt idx="2">
                  <c:v>公务接待费</c:v>
                </c:pt>
              </c:strCache>
            </c:strRef>
          </c:cat>
          <c:val>
            <c:numRef>
              <c:f>Sheet1!$B$2:$B$4</c:f>
              <c:numCache>
                <c:formatCode>General</c:formatCode>
                <c:ptCount val="3"/>
                <c:pt idx="0">
                  <c:v>0</c:v>
                </c:pt>
                <c:pt idx="1">
                  <c:v>0</c:v>
                </c:pt>
                <c:pt idx="2">
                  <c:v>0.13</c:v>
                </c:pt>
              </c:numCache>
            </c:numRef>
          </c:val>
        </c:ser>
        <c:dLbls>
          <c:showLegendKey val="0"/>
          <c:showVal val="0"/>
          <c:showCatName val="0"/>
          <c:showSerName val="0"/>
          <c:showPercent val="1"/>
          <c:showBubbleSize val="0"/>
          <c:showLeaderLines val="1"/>
        </c:dLbls>
        <c:firstSliceAng val="0"/>
      </c:pieChart>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50000"/>
                  <a:lumOff val="50000"/>
                </a:schemeClr>
              </a:solidFill>
              <a:latin typeface="+mn-lt"/>
              <a:ea typeface="+mn-ea"/>
              <a:cs typeface="+mn-cs"/>
            </a:defRPr>
          </a:pPr>
        </a:p>
      </c:txPr>
    </c:legend>
    <c:plotVisOnly val="1"/>
    <c:dispBlanksAs val="zero"/>
    <c:showDLblsOverMax val="0"/>
    <c:extLst>
      <c:ext uri="{0b15fc19-7d7d-44ad-8c2d-2c3a37ce22c3}">
        <chartProps xmlns="https://web.wps.cn/et/2018/main" chartId="{f72bf934-82e1-4222-8d69-b136835b9a83}"/>
      </c:ext>
    </c:extLst>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acrossLinear" id="2">
  <a:schemeClr val="accent1"/>
  <a:schemeClr val="accent2"/>
  <a:schemeClr val="accent3"/>
  <a:schemeClr val="accent4"/>
  <a:schemeClr val="accent5"/>
  <a:schemeClr val="accent6"/>
</cs:colorStyle>
</file>

<file path=word/charts/style1.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contractReview xmlns="http://schemas.wps.cn/vas-ai-hub/contract-review">
  <reviewItems>
    <reviewItem>
      <errorID>3975ca92-77f8-4b27-899e-976836f1235f</errorID>
      <errorWord>:</errorWord>
      <group>L1_Format</group>
      <groupName>格式问题</groupName>
      <ability>L2_HalfPunc</ability>
      <abilityName>全半角检查</abilityName>
      <candidateList>
        <item>：</item>
      </candidateList>
      <explain>文本全半角错误。</explain>
      <paraID>4D1E1D21</paraID>
      <start>31</start>
      <end>32</end>
      <status>modified</status>
      <modifiedWord>：</modifiedWord>
      <trackRevisions>false</trackRevisions>
    </reviewItem>
    <reviewItem>
      <errorID>a05ecf7d-b7d7-44a7-a41d-fc26851efafe</errorID>
      <errorWord>:</errorWord>
      <group>L1_Format</group>
      <groupName>格式问题</groupName>
      <ability>L2_HalfPunc</ability>
      <abilityName>全半角检查</abilityName>
      <candidateList>
        <item>：</item>
      </candidateList>
      <explain>文本全半角错误。</explain>
      <paraID>7E27FD47</paraID>
      <start>34</start>
      <end>35</end>
      <status>modified</status>
      <modifiedWord>：</modifiedWord>
      <trackRevisions>false</trackRevisions>
    </reviewItem>
    <reviewItem>
      <errorID>b5fcf516-d069-476e-a4f8-03f0fc8dacef</errorID>
      <errorWord>:</errorWord>
      <group>L1_Format</group>
      <groupName>格式问题</groupName>
      <ability>L2_HalfPunc</ability>
      <abilityName>全半角检查</abilityName>
      <candidateList>
        <item>：</item>
      </candidateList>
      <explain>文本全半角错误。</explain>
      <paraID>5B8F1D41</paraID>
      <start>23</start>
      <end>24</end>
      <status>modified</status>
      <modifiedWord>：</modifiedWord>
      <trackRevisions>false</trackRevisions>
    </reviewItem>
    <reviewItem>
      <errorID>7332cfdb-abf7-4eb3-ac4f-b663556b58e9</errorID>
      <errorWord>:</errorWord>
      <group>L1_Format</group>
      <groupName>格式问题</groupName>
      <ability>L2_HalfPunc</ability>
      <abilityName>全半角检查</abilityName>
      <candidateList>
        <item>：</item>
      </candidateList>
      <explain>文本全半角错误。</explain>
      <paraID> 7571A3C</paraID>
      <start>24</start>
      <end>25</end>
      <status>modified</status>
      <modifiedWord>：</modifiedWord>
      <trackRevisions>false</trackRevisions>
    </reviewItem>
    <reviewItem>
      <errorID>e7627cb5-8905-4d48-b3f8-c58f46e0f0c9</errorID>
      <errorWord>:</errorWord>
      <group>L1_Format</group>
      <groupName>格式问题</groupName>
      <ability>L2_HalfPunc</ability>
      <abilityName>全半角检查</abilityName>
      <candidateList>
        <item>：</item>
      </candidateList>
      <explain>文本全半角错误。</explain>
      <paraID>38BFE79E</paraID>
      <start>44</start>
      <end>45</end>
      <status>modified</status>
      <modifiedWord>：</modifiedWord>
      <trackRevisions>false</trackRevisions>
    </reviewItem>
    <reviewItem>
      <errorID>80eac948-53d6-4fac-82b6-0b9451786a43</errorID>
      <errorWord>:</errorWord>
      <group>L1_Format</group>
      <groupName>格式问题</groupName>
      <ability>L2_HalfPunc</ability>
      <abilityName>全半角检查</abilityName>
      <candidateList>
        <item>：</item>
      </candidateList>
      <explain>文本全半角错误。</explain>
      <paraID> 770941C</paraID>
      <start>42</start>
      <end>43</end>
      <status>modified</status>
      <modifiedWord>：</modifiedWord>
      <trackRevisions>false</trackRevisions>
    </reviewItem>
    <reviewItem>
      <errorID>7560dc1c-c134-4b89-8559-653bce29c65b</errorID>
      <errorWord>:</errorWord>
      <group>L1_Format</group>
      <groupName>格式问题</groupName>
      <ability>L2_HalfPunc</ability>
      <abilityName>全半角检查</abilityName>
      <candidateList>
        <item>：</item>
      </candidateList>
      <explain>文本全半角错误。</explain>
      <paraID>77700247</paraID>
      <start>40</start>
      <end>41</end>
      <status>modified</status>
      <modifiedWord>：</modifiedWord>
      <trackRevisions>false</trackRevisions>
    </reviewItem>
    <reviewItem>
      <errorID>6896def7-569f-418d-bb52-717af9b652a3</errorID>
      <errorWord>:</errorWord>
      <group>L1_Format</group>
      <groupName>格式问题</groupName>
      <ability>L2_HalfPunc</ability>
      <abilityName>全半角检查</abilityName>
      <candidateList>
        <item>：</item>
      </candidateList>
      <explain>文本全半角错误。</explain>
      <paraID>4ED3293D</paraID>
      <start>27</start>
      <end>28</end>
      <status>modified</status>
      <modifiedWord>：</modifiedWord>
      <trackRevisions>false</trackRevisions>
    </reviewItem>
    <reviewItem>
      <errorID>e6656a03-af8b-45a1-8370-8eb669073aed</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79F693A9</paraID>
      <start>0</start>
      <end>2</end>
      <status>modified</status>
      <modifiedWord>8.</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d16a547-77d8-440e-908b-98f511adebeb}">
  <ds:schemaRefs/>
</ds:datastoreItem>
</file>

<file path=docProps/app.xml><?xml version="1.0" encoding="utf-8"?>
<Properties xmlns="http://schemas.openxmlformats.org/officeDocument/2006/extended-properties" xmlns:vt="http://schemas.openxmlformats.org/officeDocument/2006/docPropsVTypes">
  <Template>Normal.dotm</Template>
  <Pages>33</Pages>
  <Words>4381</Words>
  <Characters>4747</Characters>
  <Lines>0</Lines>
  <Paragraphs>0</Paragraphs>
  <TotalTime>13</TotalTime>
  <ScaleCrop>false</ScaleCrop>
  <LinksUpToDate>false</LinksUpToDate>
  <CharactersWithSpaces>4918</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2023-10-19T08:24:00Z</dcterms:created>
  <dc:creator>Administrator</dc:creator>
  <cp:lastModifiedBy>碧云天</cp:lastModifiedBy>
  <cp:lastPrinted>2023-10-20T05:09:00Z</cp:lastPrinted>
  <dcterms:modified xsi:type="dcterms:W3CDTF">2025-12-01T06:11:43Z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F91B1775832A48B1B2030B06D9AF05BC_13</vt:lpwstr>
  </property>
  <property fmtid="{D5CDD505-2E9C-101B-9397-08002B2CF9AE}" pid="4" name="KSOTemplateDocerSaveRecord">
    <vt:lpwstr>eyJoZGlkIjoiNzI2ZGI0OGUzMDAzMzk0YmE1OTYyMDVlZGMwMmYyODYiLCJ1c2VySWQiOiIxMTM5NjM2MTk5In0=</vt:lpwstr>
  </property>
</Properties>
</file>