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BE959">
      <w:pPr>
        <w:spacing w:line="600" w:lineRule="exact"/>
        <w:jc w:val="left"/>
        <w:outlineLvl w:val="9"/>
        <w:rPr>
          <w:rFonts w:ascii="方正小标宋简体" w:hAnsi="宋体" w:eastAsia="方正小标宋简体"/>
          <w:szCs w:val="21"/>
        </w:rPr>
      </w:pPr>
      <w:bookmarkStart w:id="0" w:name="_Toc15306267"/>
    </w:p>
    <w:p w14:paraId="52EBC877">
      <w:pPr>
        <w:pStyle w:val="5"/>
        <w:spacing w:before="93"/>
      </w:pPr>
    </w:p>
    <w:p w14:paraId="1D771F24">
      <w:pPr>
        <w:spacing w:line="600" w:lineRule="exact"/>
        <w:jc w:val="center"/>
        <w:outlineLvl w:val="9"/>
        <w:rPr>
          <w:rFonts w:ascii="方正小标宋简体" w:hAnsi="宋体" w:eastAsia="方正小标宋简体"/>
          <w:sz w:val="72"/>
          <w:szCs w:val="72"/>
        </w:rPr>
      </w:pPr>
    </w:p>
    <w:p w14:paraId="1DF1C281">
      <w:pPr>
        <w:spacing w:line="600" w:lineRule="exact"/>
        <w:jc w:val="center"/>
        <w:outlineLvl w:val="9"/>
        <w:rPr>
          <w:rFonts w:ascii="方正小标宋简体" w:hAnsi="宋体" w:eastAsia="方正小标宋简体"/>
          <w:sz w:val="72"/>
          <w:szCs w:val="72"/>
        </w:rPr>
      </w:pPr>
    </w:p>
    <w:p w14:paraId="56677E7D">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2418"/>
      <w:bookmarkStart w:id="4" w:name="_Toc15396597"/>
      <w:bookmarkStart w:id="5" w:name="_Toc15377425"/>
      <w:bookmarkStart w:id="6"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6435FF72">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426"/>
      <w:bookmarkStart w:id="8" w:name="_Toc15396476"/>
      <w:bookmarkStart w:id="9" w:name="_Toc15377194"/>
      <w:bookmarkStart w:id="10" w:name="_Toc28835"/>
      <w:bookmarkStart w:id="11" w:name="_Toc15396598"/>
      <w:bookmarkStart w:id="12" w:name="_Toc15306268"/>
      <w:bookmarkStart w:id="13" w:name="_Toc15378442"/>
      <w:r>
        <w:rPr>
          <w:rFonts w:hint="eastAsia" w:ascii="方正小标宋简体" w:hAnsi="方正小标宋简体" w:eastAsia="方正小标宋简体" w:cs="方正小标宋简体"/>
          <w:sz w:val="72"/>
          <w:szCs w:val="72"/>
        </w:rPr>
        <w:t>峨边彝族自治县沙坪镇红花卫生院单位决算</w:t>
      </w:r>
      <w:bookmarkEnd w:id="7"/>
      <w:bookmarkEnd w:id="8"/>
      <w:bookmarkEnd w:id="9"/>
      <w:bookmarkEnd w:id="10"/>
      <w:bookmarkEnd w:id="11"/>
      <w:bookmarkEnd w:id="12"/>
      <w:bookmarkEnd w:id="13"/>
    </w:p>
    <w:p w14:paraId="42FC3814">
      <w:pPr>
        <w:adjustRightInd w:val="0"/>
        <w:snapToGrid w:val="0"/>
        <w:spacing w:line="360" w:lineRule="auto"/>
        <w:jc w:val="center"/>
        <w:outlineLvl w:val="9"/>
        <w:rPr>
          <w:rFonts w:ascii="方正小标宋简体" w:hAnsi="宋体" w:eastAsia="方正小标宋简体"/>
          <w:sz w:val="52"/>
          <w:szCs w:val="52"/>
        </w:rPr>
      </w:pPr>
    </w:p>
    <w:p w14:paraId="3246695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01F7C33">
      <w:pPr>
        <w:widowControl/>
        <w:jc w:val="center"/>
        <w:rPr>
          <w:rFonts w:ascii="黑体" w:hAnsi="黑体" w:eastAsia="黑体" w:cstheme="minorBidi"/>
          <w:sz w:val="28"/>
          <w:szCs w:val="28"/>
        </w:rPr>
      </w:pPr>
    </w:p>
    <w:p w14:paraId="7E7F9569">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22</w:t>
      </w:r>
      <w:r>
        <w:rPr>
          <w:rFonts w:hint="eastAsia"/>
        </w:rPr>
        <w:t>日</w:t>
      </w:r>
    </w:p>
    <w:p w14:paraId="522B3BFE"/>
    <w:sdt>
      <w:sdtPr>
        <w:rPr>
          <w:rFonts w:ascii="宋体" w:hAnsi="宋体" w:eastAsia="宋体" w:cs="Times New Roman"/>
          <w:kern w:val="2"/>
          <w:sz w:val="21"/>
          <w:szCs w:val="24"/>
          <w:lang w:val="en-US" w:eastAsia="zh-CN" w:bidi="ar-SA"/>
        </w:rPr>
        <w:id w:val="14747594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5D01DFE5">
          <w:pPr>
            <w:spacing w:before="0" w:beforeLines="0" w:after="0" w:afterLines="0" w:line="240" w:lineRule="auto"/>
            <w:ind w:left="0" w:leftChars="0" w:right="0" w:rightChars="0" w:firstLine="0" w:firstLineChars="0"/>
            <w:jc w:val="center"/>
            <w:rPr>
              <w:b/>
            </w:rPr>
          </w:pPr>
          <w:bookmarkStart w:id="14" w:name="_Toc15377196"/>
          <w:bookmarkStart w:id="15" w:name="_Toc15396599"/>
          <w:r>
            <w:fldChar w:fldCharType="begin"/>
          </w:r>
          <w:r>
            <w:instrText xml:space="preserve">TOC \o "1-2" \h \u </w:instrText>
          </w:r>
          <w:r>
            <w:fldChar w:fldCharType="separate"/>
          </w:r>
        </w:p>
        <w:p w14:paraId="4A968980">
          <w:pPr>
            <w:pStyle w:val="33"/>
            <w:tabs>
              <w:tab w:val="right" w:leader="dot" w:pos="8306"/>
            </w:tabs>
            <w:rPr>
              <w:b/>
            </w:rPr>
          </w:pPr>
          <w:r>
            <w:rPr>
              <w:b/>
            </w:rPr>
            <w:fldChar w:fldCharType="begin"/>
          </w:r>
          <w:r>
            <w:rPr>
              <w:b/>
            </w:rPr>
            <w:instrText xml:space="preserve"> HYPERLINK \l _Toc24180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_Toc24180 \h </w:instrText>
          </w:r>
          <w:r>
            <w:rPr>
              <w:b/>
            </w:rPr>
            <w:fldChar w:fldCharType="separate"/>
          </w:r>
          <w:r>
            <w:rPr>
              <w:b/>
            </w:rPr>
            <w:t>3</w:t>
          </w:r>
          <w:r>
            <w:rPr>
              <w:b/>
            </w:rPr>
            <w:fldChar w:fldCharType="end"/>
          </w:r>
          <w:r>
            <w:rPr>
              <w:b/>
            </w:rPr>
            <w:fldChar w:fldCharType="end"/>
          </w:r>
        </w:p>
        <w:p w14:paraId="54C075C2">
          <w:pPr>
            <w:pStyle w:val="34"/>
            <w:tabs>
              <w:tab w:val="right" w:leader="dot" w:pos="8306"/>
            </w:tabs>
          </w:pPr>
          <w:r>
            <w:fldChar w:fldCharType="begin"/>
          </w:r>
          <w:r>
            <w:instrText xml:space="preserve"> HYPERLINK \l _Toc21840 </w:instrText>
          </w:r>
          <w:r>
            <w:fldChar w:fldCharType="separate"/>
          </w:r>
          <w:r>
            <w:rPr>
              <w:rFonts w:hint="eastAsia" w:ascii="黑体" w:hAnsi="黑体" w:eastAsia="黑体"/>
              <w:bCs w:val="0"/>
            </w:rPr>
            <w:t>一、 主要职责</w:t>
          </w:r>
          <w:r>
            <w:tab/>
          </w:r>
          <w:r>
            <w:fldChar w:fldCharType="begin"/>
          </w:r>
          <w:r>
            <w:instrText xml:space="preserve"> PAGEREF _Toc21840 \h </w:instrText>
          </w:r>
          <w:r>
            <w:fldChar w:fldCharType="separate"/>
          </w:r>
          <w:r>
            <w:t>3</w:t>
          </w:r>
          <w:r>
            <w:fldChar w:fldCharType="end"/>
          </w:r>
          <w:r>
            <w:fldChar w:fldCharType="end"/>
          </w:r>
        </w:p>
        <w:p w14:paraId="75FC87EE">
          <w:pPr>
            <w:pStyle w:val="34"/>
            <w:tabs>
              <w:tab w:val="right" w:leader="dot" w:pos="8306"/>
            </w:tabs>
          </w:pPr>
          <w:r>
            <w:fldChar w:fldCharType="begin"/>
          </w:r>
          <w:r>
            <w:instrText xml:space="preserve"> HYPERLINK \l _Toc3843 </w:instrText>
          </w:r>
          <w:r>
            <w:fldChar w:fldCharType="separate"/>
          </w:r>
          <w:r>
            <w:rPr>
              <w:rFonts w:hint="eastAsia" w:ascii="黑体" w:hAnsi="黑体" w:eastAsia="黑体"/>
            </w:rPr>
            <w:t>二、机构设置</w:t>
          </w:r>
          <w:r>
            <w:tab/>
          </w:r>
          <w:r>
            <w:fldChar w:fldCharType="begin"/>
          </w:r>
          <w:r>
            <w:instrText xml:space="preserve"> PAGEREF _Toc3843 \h </w:instrText>
          </w:r>
          <w:r>
            <w:fldChar w:fldCharType="separate"/>
          </w:r>
          <w:r>
            <w:t>3</w:t>
          </w:r>
          <w:r>
            <w:fldChar w:fldCharType="end"/>
          </w:r>
          <w:r>
            <w:fldChar w:fldCharType="end"/>
          </w:r>
        </w:p>
        <w:p w14:paraId="1C923077">
          <w:pPr>
            <w:pStyle w:val="33"/>
            <w:tabs>
              <w:tab w:val="right" w:leader="dot" w:pos="8306"/>
            </w:tabs>
            <w:rPr>
              <w:b/>
            </w:rPr>
          </w:pPr>
          <w:r>
            <w:rPr>
              <w:b/>
            </w:rPr>
            <w:fldChar w:fldCharType="begin"/>
          </w:r>
          <w:r>
            <w:rPr>
              <w:b/>
            </w:rPr>
            <w:instrText xml:space="preserve"> HYPERLINK \l _Toc10633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_Toc10633 \h </w:instrText>
          </w:r>
          <w:r>
            <w:rPr>
              <w:b/>
            </w:rPr>
            <w:fldChar w:fldCharType="separate"/>
          </w:r>
          <w:r>
            <w:rPr>
              <w:b/>
            </w:rPr>
            <w:t>4</w:t>
          </w:r>
          <w:r>
            <w:rPr>
              <w:b/>
            </w:rPr>
            <w:fldChar w:fldCharType="end"/>
          </w:r>
          <w:r>
            <w:rPr>
              <w:b/>
            </w:rPr>
            <w:fldChar w:fldCharType="end"/>
          </w:r>
        </w:p>
        <w:p w14:paraId="67ADB7B5">
          <w:pPr>
            <w:pStyle w:val="34"/>
            <w:tabs>
              <w:tab w:val="right" w:leader="dot" w:pos="8306"/>
            </w:tabs>
          </w:pPr>
          <w:r>
            <w:fldChar w:fldCharType="begin"/>
          </w:r>
          <w:r>
            <w:instrText xml:space="preserve"> HYPERLINK \l _Toc23498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_Toc23498 \h </w:instrText>
          </w:r>
          <w:r>
            <w:fldChar w:fldCharType="separate"/>
          </w:r>
          <w:r>
            <w:t>4</w:t>
          </w:r>
          <w:r>
            <w:fldChar w:fldCharType="end"/>
          </w:r>
          <w:r>
            <w:fldChar w:fldCharType="end"/>
          </w:r>
        </w:p>
        <w:p w14:paraId="3A519CE5">
          <w:pPr>
            <w:pStyle w:val="34"/>
            <w:tabs>
              <w:tab w:val="right" w:leader="dot" w:pos="8306"/>
            </w:tabs>
          </w:pPr>
          <w:r>
            <w:fldChar w:fldCharType="begin"/>
          </w:r>
          <w:r>
            <w:instrText xml:space="preserve"> HYPERLINK \l _Toc30073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_Toc30073 \h </w:instrText>
          </w:r>
          <w:r>
            <w:fldChar w:fldCharType="separate"/>
          </w:r>
          <w:r>
            <w:t>4</w:t>
          </w:r>
          <w:r>
            <w:fldChar w:fldCharType="end"/>
          </w:r>
          <w:r>
            <w:fldChar w:fldCharType="end"/>
          </w:r>
        </w:p>
        <w:p w14:paraId="1338C6D7">
          <w:pPr>
            <w:pStyle w:val="34"/>
            <w:tabs>
              <w:tab w:val="right" w:leader="dot" w:pos="8306"/>
            </w:tabs>
          </w:pPr>
          <w:r>
            <w:fldChar w:fldCharType="begin"/>
          </w:r>
          <w:r>
            <w:instrText xml:space="preserve"> HYPERLINK \l _Toc13501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_Toc13501 \h </w:instrText>
          </w:r>
          <w:r>
            <w:fldChar w:fldCharType="separate"/>
          </w:r>
          <w:r>
            <w:t>5</w:t>
          </w:r>
          <w:r>
            <w:fldChar w:fldCharType="end"/>
          </w:r>
          <w:r>
            <w:fldChar w:fldCharType="end"/>
          </w:r>
        </w:p>
        <w:p w14:paraId="5B4F67B8">
          <w:pPr>
            <w:pStyle w:val="34"/>
            <w:tabs>
              <w:tab w:val="right" w:leader="dot" w:pos="8306"/>
            </w:tabs>
          </w:pPr>
          <w:r>
            <w:fldChar w:fldCharType="begin"/>
          </w:r>
          <w:r>
            <w:instrText xml:space="preserve"> HYPERLINK \l _Toc8997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_Toc8997 \h </w:instrText>
          </w:r>
          <w:r>
            <w:fldChar w:fldCharType="separate"/>
          </w:r>
          <w:r>
            <w:t>6</w:t>
          </w:r>
          <w:r>
            <w:fldChar w:fldCharType="end"/>
          </w:r>
          <w:r>
            <w:fldChar w:fldCharType="end"/>
          </w:r>
        </w:p>
        <w:p w14:paraId="0EEE3246">
          <w:pPr>
            <w:pStyle w:val="34"/>
            <w:tabs>
              <w:tab w:val="right" w:leader="dot" w:pos="8306"/>
            </w:tabs>
          </w:pPr>
          <w:r>
            <w:fldChar w:fldCharType="begin"/>
          </w:r>
          <w:r>
            <w:instrText xml:space="preserve"> HYPERLINK \l _Toc7137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_Toc7137 \h </w:instrText>
          </w:r>
          <w:r>
            <w:fldChar w:fldCharType="separate"/>
          </w:r>
          <w:r>
            <w:t>6</w:t>
          </w:r>
          <w:r>
            <w:fldChar w:fldCharType="end"/>
          </w:r>
          <w:r>
            <w:fldChar w:fldCharType="end"/>
          </w:r>
        </w:p>
        <w:p w14:paraId="78264A85">
          <w:pPr>
            <w:pStyle w:val="34"/>
            <w:tabs>
              <w:tab w:val="right" w:leader="dot" w:pos="8306"/>
            </w:tabs>
          </w:pPr>
          <w:r>
            <w:fldChar w:fldCharType="begin"/>
          </w:r>
          <w:r>
            <w:instrText xml:space="preserve"> HYPERLINK \l _Toc1428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_Toc1428 \h </w:instrText>
          </w:r>
          <w:r>
            <w:fldChar w:fldCharType="separate"/>
          </w:r>
          <w:r>
            <w:t>9</w:t>
          </w:r>
          <w:r>
            <w:fldChar w:fldCharType="end"/>
          </w:r>
          <w:r>
            <w:fldChar w:fldCharType="end"/>
          </w:r>
        </w:p>
        <w:p w14:paraId="3EA9B395">
          <w:pPr>
            <w:pStyle w:val="34"/>
            <w:tabs>
              <w:tab w:val="right" w:leader="dot" w:pos="8306"/>
            </w:tabs>
          </w:pPr>
          <w:r>
            <w:fldChar w:fldCharType="begin"/>
          </w:r>
          <w:r>
            <w:instrText xml:space="preserve"> HYPERLINK \l _Toc20965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_Toc20965 \h </w:instrText>
          </w:r>
          <w:r>
            <w:fldChar w:fldCharType="separate"/>
          </w:r>
          <w:r>
            <w:t>9</w:t>
          </w:r>
          <w:r>
            <w:fldChar w:fldCharType="end"/>
          </w:r>
          <w:r>
            <w:fldChar w:fldCharType="end"/>
          </w:r>
        </w:p>
        <w:p w14:paraId="3B851397">
          <w:pPr>
            <w:pStyle w:val="34"/>
            <w:tabs>
              <w:tab w:val="right" w:leader="dot" w:pos="8306"/>
            </w:tabs>
          </w:pPr>
          <w:r>
            <w:fldChar w:fldCharType="begin"/>
          </w:r>
          <w:r>
            <w:instrText xml:space="preserve"> HYPERLINK \l _Toc15658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_Toc15658 \h </w:instrText>
          </w:r>
          <w:r>
            <w:fldChar w:fldCharType="separate"/>
          </w:r>
          <w:r>
            <w:t>11</w:t>
          </w:r>
          <w:r>
            <w:fldChar w:fldCharType="end"/>
          </w:r>
          <w:r>
            <w:fldChar w:fldCharType="end"/>
          </w:r>
        </w:p>
        <w:p w14:paraId="5EFE92DA">
          <w:pPr>
            <w:pStyle w:val="34"/>
            <w:tabs>
              <w:tab w:val="right" w:leader="dot" w:pos="8306"/>
            </w:tabs>
          </w:pPr>
          <w:r>
            <w:fldChar w:fldCharType="begin"/>
          </w:r>
          <w:r>
            <w:instrText xml:space="preserve"> HYPERLINK \l _Toc17955 </w:instrText>
          </w:r>
          <w:r>
            <w:fldChar w:fldCharType="separate"/>
          </w:r>
          <w:r>
            <w:rPr>
              <w:rFonts w:hint="eastAsia" w:ascii="黑体" w:hAnsi="黑体" w:eastAsia="黑体"/>
            </w:rPr>
            <w:t>九、 国有资本经营预算支出决算情况说明</w:t>
          </w:r>
          <w:r>
            <w:tab/>
          </w:r>
          <w:r>
            <w:fldChar w:fldCharType="begin"/>
          </w:r>
          <w:r>
            <w:instrText xml:space="preserve"> PAGEREF _Toc17955 \h </w:instrText>
          </w:r>
          <w:r>
            <w:fldChar w:fldCharType="separate"/>
          </w:r>
          <w:r>
            <w:t>11</w:t>
          </w:r>
          <w:r>
            <w:fldChar w:fldCharType="end"/>
          </w:r>
          <w:r>
            <w:fldChar w:fldCharType="end"/>
          </w:r>
        </w:p>
        <w:p w14:paraId="6118E853">
          <w:pPr>
            <w:pStyle w:val="34"/>
            <w:tabs>
              <w:tab w:val="right" w:leader="dot" w:pos="8306"/>
            </w:tabs>
          </w:pPr>
          <w:r>
            <w:fldChar w:fldCharType="begin"/>
          </w:r>
          <w:r>
            <w:instrText xml:space="preserve"> HYPERLINK \l _Toc22672 </w:instrText>
          </w:r>
          <w:r>
            <w:fldChar w:fldCharType="separate"/>
          </w:r>
          <w:r>
            <w:rPr>
              <w:rFonts w:hint="eastAsia" w:ascii="黑体" w:hAnsi="黑体" w:eastAsia="黑体"/>
            </w:rPr>
            <w:t>十、 其他重要事项的情况说明</w:t>
          </w:r>
          <w:r>
            <w:tab/>
          </w:r>
          <w:r>
            <w:fldChar w:fldCharType="begin"/>
          </w:r>
          <w:r>
            <w:instrText xml:space="preserve"> PAGEREF _Toc22672 \h </w:instrText>
          </w:r>
          <w:r>
            <w:fldChar w:fldCharType="separate"/>
          </w:r>
          <w:r>
            <w:t>11</w:t>
          </w:r>
          <w:r>
            <w:fldChar w:fldCharType="end"/>
          </w:r>
          <w:r>
            <w:fldChar w:fldCharType="end"/>
          </w:r>
        </w:p>
        <w:p w14:paraId="0ADA8FAA">
          <w:pPr>
            <w:pStyle w:val="33"/>
            <w:tabs>
              <w:tab w:val="right" w:leader="dot" w:pos="8306"/>
            </w:tabs>
          </w:pPr>
          <w:r>
            <w:rPr>
              <w:b/>
            </w:rPr>
            <w:fldChar w:fldCharType="begin"/>
          </w:r>
          <w:r>
            <w:rPr>
              <w:b/>
            </w:rPr>
            <w:instrText xml:space="preserve"> HYPERLINK \l _Toc12333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_Toc12333 \h </w:instrText>
          </w:r>
          <w:r>
            <w:rPr>
              <w:b/>
            </w:rPr>
            <w:fldChar w:fldCharType="separate"/>
          </w:r>
          <w:r>
            <w:rPr>
              <w:b/>
            </w:rPr>
            <w:t>13</w:t>
          </w:r>
          <w:r>
            <w:rPr>
              <w:b/>
            </w:rPr>
            <w:fldChar w:fldCharType="end"/>
          </w:r>
          <w:r>
            <w:rPr>
              <w:b/>
            </w:rPr>
            <w:fldChar w:fldCharType="end"/>
          </w:r>
        </w:p>
        <w:p w14:paraId="6E817538">
          <w:pPr>
            <w:pStyle w:val="33"/>
            <w:tabs>
              <w:tab w:val="right" w:leader="dot" w:pos="8306"/>
            </w:tabs>
          </w:pPr>
          <w:r>
            <w:rPr>
              <w:b/>
            </w:rPr>
            <w:fldChar w:fldCharType="begin"/>
          </w:r>
          <w:r>
            <w:rPr>
              <w:b/>
            </w:rPr>
            <w:instrText xml:space="preserve"> HYPERLINK \l _Toc964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_Toc964 \h </w:instrText>
          </w:r>
          <w:r>
            <w:rPr>
              <w:b/>
            </w:rPr>
            <w:fldChar w:fldCharType="separate"/>
          </w:r>
          <w:r>
            <w:rPr>
              <w:b/>
            </w:rPr>
            <w:t>16</w:t>
          </w:r>
          <w:r>
            <w:rPr>
              <w:b/>
            </w:rPr>
            <w:fldChar w:fldCharType="end"/>
          </w:r>
          <w:r>
            <w:rPr>
              <w:b/>
            </w:rPr>
            <w:fldChar w:fldCharType="end"/>
          </w:r>
        </w:p>
        <w:p w14:paraId="7C83DD19">
          <w:pPr>
            <w:pStyle w:val="33"/>
            <w:tabs>
              <w:tab w:val="right" w:leader="dot" w:pos="8306"/>
            </w:tabs>
            <w:rPr>
              <w:b/>
            </w:rPr>
          </w:pPr>
          <w:r>
            <w:rPr>
              <w:b/>
            </w:rPr>
            <w:fldChar w:fldCharType="begin"/>
          </w:r>
          <w:r>
            <w:rPr>
              <w:b/>
            </w:rPr>
            <w:instrText xml:space="preserve"> HYPERLINK \l _Toc12725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_Toc12725 \h </w:instrText>
          </w:r>
          <w:r>
            <w:rPr>
              <w:b/>
            </w:rPr>
            <w:fldChar w:fldCharType="separate"/>
          </w:r>
          <w:r>
            <w:rPr>
              <w:b/>
            </w:rPr>
            <w:t>17</w:t>
          </w:r>
          <w:r>
            <w:rPr>
              <w:b/>
            </w:rPr>
            <w:fldChar w:fldCharType="end"/>
          </w:r>
          <w:r>
            <w:rPr>
              <w:b/>
            </w:rPr>
            <w:fldChar w:fldCharType="end"/>
          </w:r>
        </w:p>
        <w:p w14:paraId="61898E6B">
          <w:pPr>
            <w:pStyle w:val="34"/>
            <w:tabs>
              <w:tab w:val="right" w:leader="dot" w:pos="8306"/>
            </w:tabs>
          </w:pPr>
          <w:r>
            <w:fldChar w:fldCharType="begin"/>
          </w:r>
          <w:r>
            <w:instrText xml:space="preserve"> HYPERLINK \l _Toc32722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_Toc32722 \h </w:instrText>
          </w:r>
          <w:r>
            <w:fldChar w:fldCharType="separate"/>
          </w:r>
          <w:r>
            <w:t>17</w:t>
          </w:r>
          <w:r>
            <w:fldChar w:fldCharType="end"/>
          </w:r>
          <w:r>
            <w:fldChar w:fldCharType="end"/>
          </w:r>
        </w:p>
        <w:p w14:paraId="45610E56">
          <w:pPr>
            <w:pStyle w:val="34"/>
            <w:tabs>
              <w:tab w:val="right" w:leader="dot" w:pos="8306"/>
            </w:tabs>
          </w:pPr>
          <w:r>
            <w:fldChar w:fldCharType="begin"/>
          </w:r>
          <w:r>
            <w:instrText xml:space="preserve"> HYPERLINK \l _Toc10331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_Toc10331 \h </w:instrText>
          </w:r>
          <w:r>
            <w:fldChar w:fldCharType="separate"/>
          </w:r>
          <w:r>
            <w:t>17</w:t>
          </w:r>
          <w:r>
            <w:fldChar w:fldCharType="end"/>
          </w:r>
          <w:r>
            <w:fldChar w:fldCharType="end"/>
          </w:r>
        </w:p>
        <w:p w14:paraId="36286E25">
          <w:pPr>
            <w:pStyle w:val="34"/>
            <w:tabs>
              <w:tab w:val="right" w:leader="dot" w:pos="8306"/>
            </w:tabs>
          </w:pPr>
          <w:r>
            <w:fldChar w:fldCharType="begin"/>
          </w:r>
          <w:r>
            <w:instrText xml:space="preserve"> HYPERLINK \l _Toc16852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_Toc16852 \h </w:instrText>
          </w:r>
          <w:r>
            <w:fldChar w:fldCharType="separate"/>
          </w:r>
          <w:r>
            <w:t>17</w:t>
          </w:r>
          <w:r>
            <w:fldChar w:fldCharType="end"/>
          </w:r>
          <w:r>
            <w:fldChar w:fldCharType="end"/>
          </w:r>
        </w:p>
        <w:p w14:paraId="6948B057">
          <w:pPr>
            <w:pStyle w:val="34"/>
            <w:tabs>
              <w:tab w:val="right" w:leader="dot" w:pos="8306"/>
            </w:tabs>
          </w:pPr>
          <w:r>
            <w:fldChar w:fldCharType="begin"/>
          </w:r>
          <w:r>
            <w:instrText xml:space="preserve"> HYPERLINK \l _Toc6432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_Toc6432 \h </w:instrText>
          </w:r>
          <w:r>
            <w:fldChar w:fldCharType="separate"/>
          </w:r>
          <w:r>
            <w:t>17</w:t>
          </w:r>
          <w:r>
            <w:fldChar w:fldCharType="end"/>
          </w:r>
          <w:r>
            <w:fldChar w:fldCharType="end"/>
          </w:r>
        </w:p>
        <w:p w14:paraId="7BB423B4">
          <w:pPr>
            <w:pStyle w:val="34"/>
            <w:tabs>
              <w:tab w:val="right" w:leader="dot" w:pos="8306"/>
            </w:tabs>
          </w:pPr>
          <w:r>
            <w:fldChar w:fldCharType="begin"/>
          </w:r>
          <w:r>
            <w:instrText xml:space="preserve"> HYPERLINK \l _Toc20803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_Toc20803 \h </w:instrText>
          </w:r>
          <w:r>
            <w:fldChar w:fldCharType="separate"/>
          </w:r>
          <w:r>
            <w:t>17</w:t>
          </w:r>
          <w:r>
            <w:fldChar w:fldCharType="end"/>
          </w:r>
          <w:r>
            <w:fldChar w:fldCharType="end"/>
          </w:r>
        </w:p>
        <w:p w14:paraId="3B370A4F">
          <w:pPr>
            <w:pStyle w:val="34"/>
            <w:tabs>
              <w:tab w:val="right" w:leader="dot" w:pos="8306"/>
            </w:tabs>
          </w:pPr>
          <w:r>
            <w:fldChar w:fldCharType="begin"/>
          </w:r>
          <w:r>
            <w:instrText xml:space="preserve"> HYPERLINK \l _Toc13110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_Toc13110 \h </w:instrText>
          </w:r>
          <w:r>
            <w:fldChar w:fldCharType="separate"/>
          </w:r>
          <w:r>
            <w:t>17</w:t>
          </w:r>
          <w:r>
            <w:fldChar w:fldCharType="end"/>
          </w:r>
          <w:r>
            <w:fldChar w:fldCharType="end"/>
          </w:r>
        </w:p>
        <w:p w14:paraId="6CC630FD">
          <w:pPr>
            <w:pStyle w:val="34"/>
            <w:tabs>
              <w:tab w:val="right" w:leader="dot" w:pos="8306"/>
            </w:tabs>
          </w:pPr>
          <w:r>
            <w:fldChar w:fldCharType="begin"/>
          </w:r>
          <w:r>
            <w:instrText xml:space="preserve"> HYPERLINK \l _Toc24822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_Toc24822 \h </w:instrText>
          </w:r>
          <w:r>
            <w:fldChar w:fldCharType="separate"/>
          </w:r>
          <w:r>
            <w:t>17</w:t>
          </w:r>
          <w:r>
            <w:fldChar w:fldCharType="end"/>
          </w:r>
          <w:r>
            <w:fldChar w:fldCharType="end"/>
          </w:r>
        </w:p>
        <w:p w14:paraId="11B178BA">
          <w:pPr>
            <w:pStyle w:val="34"/>
            <w:tabs>
              <w:tab w:val="right" w:leader="dot" w:pos="8306"/>
            </w:tabs>
          </w:pPr>
          <w:r>
            <w:fldChar w:fldCharType="begin"/>
          </w:r>
          <w:r>
            <w:instrText xml:space="preserve"> HYPERLINK \l _Toc17628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_Toc17628 \h </w:instrText>
          </w:r>
          <w:r>
            <w:fldChar w:fldCharType="separate"/>
          </w:r>
          <w:r>
            <w:t>17</w:t>
          </w:r>
          <w:r>
            <w:fldChar w:fldCharType="end"/>
          </w:r>
          <w:r>
            <w:fldChar w:fldCharType="end"/>
          </w:r>
        </w:p>
        <w:p w14:paraId="43B3581A">
          <w:pPr>
            <w:pStyle w:val="34"/>
            <w:tabs>
              <w:tab w:val="right" w:leader="dot" w:pos="8306"/>
            </w:tabs>
          </w:pPr>
          <w:r>
            <w:fldChar w:fldCharType="begin"/>
          </w:r>
          <w:r>
            <w:instrText xml:space="preserve"> HYPERLINK \l _Toc23021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_Toc23021 \h </w:instrText>
          </w:r>
          <w:r>
            <w:fldChar w:fldCharType="separate"/>
          </w:r>
          <w:r>
            <w:t>17</w:t>
          </w:r>
          <w:r>
            <w:fldChar w:fldCharType="end"/>
          </w:r>
          <w:r>
            <w:fldChar w:fldCharType="end"/>
          </w:r>
        </w:p>
        <w:p w14:paraId="6638ED35">
          <w:pPr>
            <w:pStyle w:val="34"/>
            <w:tabs>
              <w:tab w:val="right" w:leader="dot" w:pos="8306"/>
            </w:tabs>
          </w:pPr>
          <w:r>
            <w:fldChar w:fldCharType="begin"/>
          </w:r>
          <w:r>
            <w:instrText xml:space="preserve"> HYPERLINK \l _Toc32734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_Toc32734 \h </w:instrText>
          </w:r>
          <w:r>
            <w:fldChar w:fldCharType="separate"/>
          </w:r>
          <w:r>
            <w:t>17</w:t>
          </w:r>
          <w:r>
            <w:fldChar w:fldCharType="end"/>
          </w:r>
          <w:r>
            <w:fldChar w:fldCharType="end"/>
          </w:r>
        </w:p>
        <w:p w14:paraId="4A061D31">
          <w:pPr>
            <w:pStyle w:val="34"/>
            <w:tabs>
              <w:tab w:val="right" w:leader="dot" w:pos="8306"/>
            </w:tabs>
          </w:pPr>
          <w:r>
            <w:fldChar w:fldCharType="begin"/>
          </w:r>
          <w:r>
            <w:instrText xml:space="preserve"> HYPERLINK \l _Toc10311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_Toc10311 \h </w:instrText>
          </w:r>
          <w:r>
            <w:fldChar w:fldCharType="separate"/>
          </w:r>
          <w:r>
            <w:t>17</w:t>
          </w:r>
          <w:r>
            <w:fldChar w:fldCharType="end"/>
          </w:r>
          <w:r>
            <w:fldChar w:fldCharType="end"/>
          </w:r>
        </w:p>
        <w:p w14:paraId="1D6DA038">
          <w:pPr>
            <w:pStyle w:val="34"/>
            <w:tabs>
              <w:tab w:val="right" w:leader="dot" w:pos="8306"/>
            </w:tabs>
          </w:pPr>
          <w:r>
            <w:fldChar w:fldCharType="begin"/>
          </w:r>
          <w:r>
            <w:instrText xml:space="preserve"> HYPERLINK \l _Toc17225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_Toc17225 \h </w:instrText>
          </w:r>
          <w:r>
            <w:fldChar w:fldCharType="separate"/>
          </w:r>
          <w:r>
            <w:t>17</w:t>
          </w:r>
          <w:r>
            <w:fldChar w:fldCharType="end"/>
          </w:r>
          <w:r>
            <w:fldChar w:fldCharType="end"/>
          </w:r>
        </w:p>
        <w:p w14:paraId="2D55B2B0">
          <w:pPr>
            <w:pStyle w:val="34"/>
            <w:tabs>
              <w:tab w:val="right" w:leader="dot" w:pos="8306"/>
            </w:tabs>
          </w:pPr>
          <w:r>
            <w:fldChar w:fldCharType="begin"/>
          </w:r>
          <w:r>
            <w:instrText xml:space="preserve"> HYPERLINK \l _Toc19649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_Toc19649 \h </w:instrText>
          </w:r>
          <w:r>
            <w:fldChar w:fldCharType="separate"/>
          </w:r>
          <w:r>
            <w:t>17</w:t>
          </w:r>
          <w:r>
            <w:fldChar w:fldCharType="end"/>
          </w:r>
          <w:r>
            <w:fldChar w:fldCharType="end"/>
          </w:r>
        </w:p>
        <w:p w14:paraId="2A66860E">
          <w:pPr>
            <w:rPr>
              <w:b/>
            </w:rPr>
          </w:pPr>
          <w:r>
            <w:rPr>
              <w:b/>
            </w:rPr>
            <w:fldChar w:fldCharType="end"/>
          </w:r>
        </w:p>
      </w:sdtContent>
    </w:sdt>
    <w:p w14:paraId="241B8A27">
      <w:pPr>
        <w:rPr>
          <w:b/>
        </w:rPr>
      </w:pPr>
    </w:p>
    <w:p w14:paraId="79B42165">
      <w:pPr>
        <w:widowControl/>
        <w:spacing w:line="440" w:lineRule="exact"/>
        <w:jc w:val="left"/>
        <w:rPr>
          <w:rFonts w:ascii="仿宋" w:hAnsi="仿宋" w:eastAsia="仿宋"/>
          <w:bCs/>
          <w:kern w:val="44"/>
          <w:sz w:val="24"/>
        </w:rPr>
      </w:pPr>
      <w:r>
        <w:rPr>
          <w:rFonts w:ascii="仿宋" w:hAnsi="仿宋" w:eastAsia="仿宋"/>
          <w:b/>
          <w:sz w:val="24"/>
        </w:rPr>
        <w:br w:type="page"/>
      </w:r>
    </w:p>
    <w:p w14:paraId="696082E4">
      <w:pPr>
        <w:pStyle w:val="2"/>
        <w:jc w:val="center"/>
        <w:rPr>
          <w:rStyle w:val="27"/>
          <w:rFonts w:ascii="黑体" w:hAnsi="黑体" w:eastAsia="黑体"/>
          <w:b/>
          <w:bCs w:val="0"/>
        </w:rPr>
      </w:pPr>
      <w:bookmarkStart w:id="16" w:name="_Toc24180"/>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6E5F29CD">
      <w:pPr>
        <w:widowControl/>
        <w:jc w:val="left"/>
        <w:rPr>
          <w:rFonts w:ascii="黑体" w:eastAsia="黑体"/>
          <w:sz w:val="32"/>
          <w:szCs w:val="32"/>
        </w:rPr>
      </w:pPr>
    </w:p>
    <w:p w14:paraId="236DFA47">
      <w:pPr>
        <w:pStyle w:val="3"/>
        <w:numPr>
          <w:ilvl w:val="0"/>
          <w:numId w:val="1"/>
        </w:numPr>
        <w:rPr>
          <w:rStyle w:val="28"/>
          <w:rFonts w:ascii="黑体" w:hAnsi="黑体" w:eastAsia="黑体"/>
          <w:b w:val="0"/>
          <w:bCs w:val="0"/>
        </w:rPr>
      </w:pPr>
      <w:bookmarkStart w:id="17" w:name="_Toc21840"/>
      <w:bookmarkStart w:id="18" w:name="_Toc15377197"/>
      <w:bookmarkStart w:id="19" w:name="_Toc15396600"/>
      <w:r>
        <w:rPr>
          <w:rStyle w:val="28"/>
          <w:rFonts w:hint="eastAsia" w:ascii="黑体" w:hAnsi="黑体" w:eastAsia="黑体"/>
          <w:b w:val="0"/>
          <w:bCs w:val="0"/>
        </w:rPr>
        <w:t>主要职责</w:t>
      </w:r>
      <w:bookmarkEnd w:id="17"/>
    </w:p>
    <w:p w14:paraId="4A5E5BC6">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主要职责：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w:t>
      </w:r>
    </w:p>
    <w:p w14:paraId="39DDDDDE">
      <w:pPr>
        <w:pStyle w:val="3"/>
        <w:rPr>
          <w:rFonts w:ascii="黑体" w:hAnsi="黑体" w:eastAsia="黑体"/>
          <w:b w:val="0"/>
        </w:rPr>
      </w:pPr>
      <w:bookmarkStart w:id="20" w:name="_Toc3843"/>
      <w:r>
        <w:rPr>
          <w:rFonts w:hint="eastAsia" w:ascii="黑体" w:hAnsi="黑体" w:eastAsia="黑体"/>
          <w:b w:val="0"/>
        </w:rPr>
        <w:t>二、机构设置</w:t>
      </w:r>
      <w:bookmarkEnd w:id="20"/>
    </w:p>
    <w:bookmarkEnd w:id="18"/>
    <w:bookmarkEnd w:id="19"/>
    <w:p w14:paraId="7C365CE4">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峨边彝族自治县沙坪镇红花卫生院是峨边卫生健康局下属二级预算单位，属于公益一类事业单位。</w:t>
      </w:r>
      <w:r>
        <w:rPr>
          <w:rFonts w:ascii="仿宋" w:hAnsi="仿宋" w:eastAsia="仿宋"/>
          <w:sz w:val="32"/>
          <w:szCs w:val="32"/>
        </w:rPr>
        <w:br w:type="page"/>
      </w:r>
    </w:p>
    <w:p w14:paraId="7B80C552">
      <w:pPr>
        <w:pStyle w:val="2"/>
        <w:ind w:right="440"/>
        <w:jc w:val="center"/>
        <w:rPr>
          <w:rStyle w:val="27"/>
          <w:rFonts w:ascii="黑体" w:hAnsi="黑体" w:eastAsia="黑体"/>
          <w:b w:val="0"/>
          <w:bCs/>
        </w:rPr>
      </w:pPr>
      <w:bookmarkStart w:id="21" w:name="_Toc15396602"/>
      <w:bookmarkStart w:id="22" w:name="_Toc10633"/>
      <w:bookmarkStart w:id="23" w:name="_Toc15377204"/>
      <w:r>
        <w:rPr>
          <w:rFonts w:hint="eastAsia" w:ascii="黑体" w:hAnsi="黑体" w:eastAsia="黑体"/>
          <w:b w:val="0"/>
        </w:rPr>
        <w:t>第二部分 2023年度</w:t>
      </w:r>
      <w:r>
        <w:rPr>
          <w:rStyle w:val="27"/>
          <w:rFonts w:hint="eastAsia" w:ascii="黑体" w:hAnsi="黑体" w:eastAsia="黑体"/>
          <w:b w:val="0"/>
          <w:bCs/>
        </w:rPr>
        <w:t>单位决算情况说明</w:t>
      </w:r>
      <w:bookmarkEnd w:id="21"/>
      <w:bookmarkEnd w:id="22"/>
      <w:bookmarkEnd w:id="23"/>
    </w:p>
    <w:p w14:paraId="30B4852C"/>
    <w:p w14:paraId="42782F4F">
      <w:pPr>
        <w:pStyle w:val="26"/>
        <w:numPr>
          <w:ilvl w:val="0"/>
          <w:numId w:val="2"/>
        </w:numPr>
        <w:spacing w:line="600" w:lineRule="exact"/>
        <w:ind w:firstLineChars="0"/>
        <w:outlineLvl w:val="1"/>
        <w:rPr>
          <w:rStyle w:val="28"/>
          <w:rFonts w:ascii="黑体" w:hAnsi="黑体" w:eastAsia="黑体"/>
          <w:b w:val="0"/>
        </w:rPr>
      </w:pPr>
      <w:bookmarkStart w:id="24" w:name="_Toc15396603"/>
      <w:bookmarkStart w:id="25" w:name="_Toc15377205"/>
      <w:bookmarkStart w:id="26" w:name="_Toc23498"/>
      <w:r>
        <w:rPr>
          <w:rFonts w:hint="eastAsia" w:ascii="黑体" w:hAnsi="黑体" w:eastAsia="黑体"/>
          <w:sz w:val="32"/>
          <w:szCs w:val="32"/>
        </w:rPr>
        <w:t>收</w:t>
      </w:r>
      <w:r>
        <w:rPr>
          <w:rStyle w:val="28"/>
          <w:rFonts w:hint="eastAsia" w:ascii="黑体" w:hAnsi="黑体" w:eastAsia="黑体"/>
          <w:b w:val="0"/>
        </w:rPr>
        <w:t>入支出决算总体情况说明</w:t>
      </w:r>
      <w:bookmarkEnd w:id="24"/>
      <w:bookmarkEnd w:id="25"/>
      <w:bookmarkEnd w:id="26"/>
    </w:p>
    <w:p w14:paraId="007D1FDF">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197.74</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30.83</w:t>
      </w:r>
      <w:r>
        <w:rPr>
          <w:rFonts w:hint="eastAsia" w:ascii="仿宋" w:hAnsi="仿宋" w:eastAsia="仿宋"/>
          <w:sz w:val="32"/>
          <w:szCs w:val="32"/>
        </w:rPr>
        <w:t>万元，增长</w:t>
      </w:r>
      <w:r>
        <w:rPr>
          <w:rFonts w:hint="eastAsia" w:ascii="仿宋" w:hAnsi="仿宋" w:eastAsia="仿宋"/>
          <w:sz w:val="32"/>
          <w:szCs w:val="32"/>
          <w:lang w:val="en-US" w:eastAsia="zh-CN"/>
        </w:rPr>
        <w:t>18.47</w:t>
      </w:r>
      <w:r>
        <w:rPr>
          <w:rFonts w:ascii="仿宋" w:hAnsi="仿宋" w:eastAsia="仿宋"/>
          <w:sz w:val="32"/>
          <w:szCs w:val="32"/>
        </w:rPr>
        <w:t>%</w:t>
      </w:r>
      <w:r>
        <w:rPr>
          <w:rFonts w:hint="eastAsia" w:ascii="仿宋" w:hAnsi="仿宋" w:eastAsia="仿宋"/>
          <w:sz w:val="32"/>
          <w:szCs w:val="32"/>
        </w:rPr>
        <w:t>。主要变动原因是2023年人员经费与项目经费预算增加。</w:t>
      </w:r>
    </w:p>
    <w:p w14:paraId="591B1D9C">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0CCB757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BEBFFB4">
      <w:pPr>
        <w:spacing w:line="600" w:lineRule="exact"/>
        <w:ind w:firstLine="640" w:firstLineChars="200"/>
        <w:jc w:val="left"/>
        <w:rPr>
          <w:rFonts w:ascii="仿宋_GB2312" w:eastAsia="仿宋_GB2312"/>
          <w:sz w:val="32"/>
          <w:szCs w:val="32"/>
        </w:rPr>
      </w:pPr>
    </w:p>
    <w:p w14:paraId="0999345D">
      <w:pPr>
        <w:pStyle w:val="26"/>
        <w:numPr>
          <w:ilvl w:val="0"/>
          <w:numId w:val="2"/>
        </w:numPr>
        <w:spacing w:line="600" w:lineRule="exact"/>
        <w:ind w:firstLineChars="0"/>
        <w:outlineLvl w:val="1"/>
        <w:rPr>
          <w:rStyle w:val="28"/>
          <w:rFonts w:ascii="黑体" w:hAnsi="黑体" w:eastAsia="黑体"/>
          <w:b w:val="0"/>
        </w:rPr>
      </w:pPr>
      <w:bookmarkStart w:id="27" w:name="_Toc15396604"/>
      <w:bookmarkStart w:id="28" w:name="_Toc30073"/>
      <w:bookmarkStart w:id="29" w:name="_Toc15377206"/>
      <w:r>
        <w:rPr>
          <w:rFonts w:hint="eastAsia" w:ascii="黑体" w:hAnsi="黑体" w:eastAsia="黑体"/>
          <w:sz w:val="32"/>
          <w:szCs w:val="32"/>
        </w:rPr>
        <w:t>收</w:t>
      </w:r>
      <w:r>
        <w:rPr>
          <w:rStyle w:val="28"/>
          <w:rFonts w:hint="eastAsia" w:ascii="黑体" w:hAnsi="黑体" w:eastAsia="黑体"/>
          <w:b w:val="0"/>
        </w:rPr>
        <w:t>入决算情况说明</w:t>
      </w:r>
      <w:bookmarkEnd w:id="27"/>
      <w:bookmarkEnd w:id="28"/>
      <w:bookmarkEnd w:id="29"/>
    </w:p>
    <w:p w14:paraId="3DC770EB">
      <w:pPr>
        <w:spacing w:line="600" w:lineRule="exact"/>
        <w:ind w:firstLine="640" w:firstLineChars="200"/>
        <w:outlineLvl w:val="1"/>
        <w:rPr>
          <w:rFonts w:hint="eastAsia" w:ascii="仿宋" w:hAnsi="仿宋" w:eastAsia="仿宋"/>
          <w:sz w:val="32"/>
          <w:szCs w:val="32"/>
          <w:lang w:val="en-US" w:eastAsia="zh-CN"/>
        </w:rPr>
      </w:pPr>
      <w:bookmarkStart w:id="30" w:name="_Toc13639"/>
      <w:r>
        <w:rPr>
          <w:rFonts w:hint="eastAsia" w:ascii="仿宋" w:hAnsi="仿宋" w:eastAsia="仿宋"/>
          <w:sz w:val="32"/>
          <w:szCs w:val="32"/>
        </w:rPr>
        <w:t>2023年度本年收入合计</w:t>
      </w:r>
      <w:r>
        <w:rPr>
          <w:rFonts w:ascii="仿宋" w:hAnsi="仿宋" w:eastAsia="仿宋"/>
          <w:b/>
          <w:sz w:val="32"/>
          <w:szCs w:val="32"/>
        </w:rPr>
        <w:t>197.74</w:t>
      </w:r>
      <w:r>
        <w:rPr>
          <w:rFonts w:hint="eastAsia" w:ascii="仿宋" w:hAnsi="仿宋" w:eastAsia="仿宋"/>
          <w:sz w:val="32"/>
          <w:szCs w:val="32"/>
        </w:rPr>
        <w:t>万元，其中：一般公共预算财政拨款收入</w:t>
      </w:r>
      <w:r>
        <w:rPr>
          <w:rFonts w:ascii="仿宋" w:hAnsi="仿宋" w:eastAsia="仿宋"/>
          <w:b/>
          <w:sz w:val="32"/>
          <w:szCs w:val="32"/>
        </w:rPr>
        <w:t>192.1</w:t>
      </w:r>
      <w:r>
        <w:rPr>
          <w:rFonts w:hint="eastAsia" w:ascii="仿宋" w:hAnsi="仿宋" w:eastAsia="仿宋"/>
          <w:sz w:val="32"/>
          <w:szCs w:val="32"/>
        </w:rPr>
        <w:t>万元，占</w:t>
      </w:r>
      <w:r>
        <w:rPr>
          <w:rFonts w:ascii="仿宋" w:hAnsi="仿宋" w:eastAsia="仿宋"/>
          <w:b/>
          <w:sz w:val="32"/>
          <w:szCs w:val="32"/>
        </w:rPr>
        <w:t>97.14%</w:t>
      </w:r>
      <w:r>
        <w:rPr>
          <w:rFonts w:hint="eastAsia" w:ascii="仿宋" w:hAnsi="仿宋" w:eastAsia="仿宋"/>
          <w:sz w:val="32"/>
          <w:szCs w:val="32"/>
        </w:rPr>
        <w:t>；事业收入</w:t>
      </w:r>
      <w:r>
        <w:rPr>
          <w:rFonts w:ascii="仿宋" w:hAnsi="仿宋" w:eastAsia="仿宋"/>
          <w:b/>
          <w:sz w:val="32"/>
          <w:szCs w:val="32"/>
        </w:rPr>
        <w:t>5.6</w:t>
      </w:r>
      <w:r>
        <w:rPr>
          <w:rFonts w:hint="eastAsia" w:ascii="仿宋" w:hAnsi="仿宋" w:eastAsia="仿宋"/>
          <w:b/>
          <w:sz w:val="32"/>
          <w:szCs w:val="32"/>
          <w:lang w:val="en-US" w:eastAsia="zh-CN"/>
        </w:rPr>
        <w:t>4</w:t>
      </w:r>
      <w:r>
        <w:rPr>
          <w:rFonts w:hint="eastAsia" w:ascii="仿宋" w:hAnsi="仿宋" w:eastAsia="仿宋"/>
          <w:sz w:val="32"/>
          <w:szCs w:val="32"/>
        </w:rPr>
        <w:t>万元，占</w:t>
      </w:r>
      <w:r>
        <w:rPr>
          <w:rFonts w:ascii="仿宋" w:hAnsi="仿宋" w:eastAsia="仿宋"/>
          <w:b/>
          <w:sz w:val="32"/>
          <w:szCs w:val="32"/>
        </w:rPr>
        <w:t>2.85</w:t>
      </w:r>
      <w:r>
        <w:rPr>
          <w:rFonts w:ascii="仿宋" w:hAnsi="仿宋" w:eastAsia="仿宋"/>
          <w:sz w:val="32"/>
          <w:szCs w:val="32"/>
        </w:rPr>
        <w:t>%</w:t>
      </w:r>
      <w:r>
        <w:rPr>
          <w:rFonts w:hint="eastAsia" w:ascii="仿宋" w:hAnsi="仿宋" w:eastAsia="仿宋"/>
          <w:sz w:val="32"/>
          <w:szCs w:val="32"/>
          <w:lang w:eastAsia="zh-CN"/>
        </w:rPr>
        <w:t>。</w:t>
      </w:r>
      <w:bookmarkEnd w:id="30"/>
    </w:p>
    <w:p w14:paraId="4E9F0EC9">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266EC6C2">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1C15BF3B">
      <w:pPr>
        <w:spacing w:line="600" w:lineRule="exact"/>
        <w:ind w:firstLine="640" w:firstLineChars="200"/>
        <w:rPr>
          <w:rFonts w:ascii="仿宋_GB2312" w:eastAsia="仿宋_GB2312"/>
          <w:sz w:val="32"/>
          <w:szCs w:val="32"/>
        </w:rPr>
      </w:pPr>
    </w:p>
    <w:p w14:paraId="3A8DB13A">
      <w:pPr>
        <w:pStyle w:val="26"/>
        <w:numPr>
          <w:ilvl w:val="0"/>
          <w:numId w:val="2"/>
        </w:numPr>
        <w:spacing w:line="600" w:lineRule="exact"/>
        <w:ind w:firstLineChars="0"/>
        <w:outlineLvl w:val="1"/>
        <w:rPr>
          <w:rStyle w:val="28"/>
          <w:rFonts w:ascii="黑体" w:hAnsi="黑体" w:eastAsia="黑体"/>
          <w:b w:val="0"/>
        </w:rPr>
      </w:pPr>
      <w:bookmarkStart w:id="31" w:name="_Toc15377207"/>
      <w:bookmarkStart w:id="32" w:name="_Toc15396605"/>
      <w:bookmarkStart w:id="33" w:name="_Toc13501"/>
      <w:r>
        <w:rPr>
          <w:rFonts w:hint="eastAsia" w:ascii="黑体" w:hAnsi="黑体" w:eastAsia="黑体"/>
          <w:sz w:val="32"/>
          <w:szCs w:val="32"/>
        </w:rPr>
        <w:t>支</w:t>
      </w:r>
      <w:r>
        <w:rPr>
          <w:rStyle w:val="28"/>
          <w:rFonts w:hint="eastAsia" w:ascii="黑体" w:hAnsi="黑体" w:eastAsia="黑体"/>
          <w:b w:val="0"/>
        </w:rPr>
        <w:t>出决算情况说明</w:t>
      </w:r>
      <w:bookmarkEnd w:id="31"/>
      <w:bookmarkEnd w:id="32"/>
      <w:bookmarkEnd w:id="33"/>
    </w:p>
    <w:p w14:paraId="06BD6A57">
      <w:pPr>
        <w:spacing w:line="600" w:lineRule="exact"/>
        <w:ind w:firstLine="640" w:firstLineChars="200"/>
        <w:outlineLvl w:val="1"/>
        <w:rPr>
          <w:rFonts w:ascii="仿宋" w:hAnsi="仿宋" w:eastAsia="仿宋"/>
          <w:sz w:val="32"/>
          <w:szCs w:val="32"/>
        </w:rPr>
      </w:pPr>
      <w:bookmarkStart w:id="34" w:name="_Toc2410"/>
      <w:r>
        <w:rPr>
          <w:rFonts w:hint="eastAsia" w:ascii="仿宋" w:hAnsi="仿宋" w:eastAsia="仿宋"/>
          <w:sz w:val="32"/>
          <w:szCs w:val="32"/>
        </w:rPr>
        <w:t>2023年度本年支出合计</w:t>
      </w:r>
      <w:r>
        <w:rPr>
          <w:rFonts w:ascii="仿宋" w:hAnsi="仿宋" w:eastAsia="仿宋"/>
          <w:b/>
          <w:sz w:val="32"/>
          <w:szCs w:val="32"/>
        </w:rPr>
        <w:t>197.74</w:t>
      </w:r>
      <w:r>
        <w:rPr>
          <w:rFonts w:hint="eastAsia" w:ascii="仿宋" w:hAnsi="仿宋" w:eastAsia="仿宋"/>
          <w:sz w:val="32"/>
          <w:szCs w:val="32"/>
        </w:rPr>
        <w:t>万元，其中：基本支出</w:t>
      </w:r>
      <w:r>
        <w:rPr>
          <w:rFonts w:ascii="仿宋" w:hAnsi="仿宋" w:eastAsia="仿宋"/>
          <w:b/>
          <w:sz w:val="32"/>
          <w:szCs w:val="32"/>
        </w:rPr>
        <w:t>170.18</w:t>
      </w:r>
      <w:r>
        <w:rPr>
          <w:rFonts w:hint="eastAsia" w:ascii="仿宋" w:hAnsi="仿宋" w:eastAsia="仿宋"/>
          <w:sz w:val="32"/>
          <w:szCs w:val="32"/>
        </w:rPr>
        <w:t>万元，占</w:t>
      </w:r>
      <w:r>
        <w:rPr>
          <w:rFonts w:ascii="仿宋" w:hAnsi="仿宋" w:eastAsia="仿宋"/>
          <w:b/>
          <w:sz w:val="32"/>
          <w:szCs w:val="32"/>
        </w:rPr>
        <w:t>86.06</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27.56</w:t>
      </w:r>
      <w:r>
        <w:rPr>
          <w:rFonts w:hint="eastAsia" w:ascii="仿宋" w:hAnsi="仿宋" w:eastAsia="仿宋"/>
          <w:sz w:val="32"/>
          <w:szCs w:val="32"/>
        </w:rPr>
        <w:t>万元，占</w:t>
      </w:r>
      <w:r>
        <w:rPr>
          <w:rFonts w:ascii="仿宋" w:hAnsi="仿宋" w:eastAsia="仿宋"/>
          <w:b/>
          <w:sz w:val="32"/>
          <w:szCs w:val="32"/>
        </w:rPr>
        <w:t>13.9</w:t>
      </w:r>
      <w:r>
        <w:rPr>
          <w:rFonts w:hint="eastAsia" w:ascii="仿宋" w:hAnsi="仿宋" w:eastAsia="仿宋"/>
          <w:b/>
          <w:sz w:val="32"/>
          <w:szCs w:val="32"/>
          <w:lang w:val="en-US" w:eastAsia="zh-CN"/>
        </w:rPr>
        <w:t>4</w:t>
      </w:r>
      <w:r>
        <w:rPr>
          <w:rFonts w:ascii="仿宋" w:hAnsi="仿宋" w:eastAsia="仿宋"/>
          <w:sz w:val="32"/>
          <w:szCs w:val="32"/>
        </w:rPr>
        <w:t>%</w:t>
      </w:r>
      <w:r>
        <w:rPr>
          <w:rFonts w:hint="eastAsia" w:ascii="仿宋" w:hAnsi="仿宋" w:eastAsia="仿宋"/>
          <w:sz w:val="32"/>
          <w:szCs w:val="32"/>
        </w:rPr>
        <w:t>。</w:t>
      </w:r>
      <w:bookmarkEnd w:id="34"/>
    </w:p>
    <w:p w14:paraId="1F11B1AF">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58A8542C">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1B838A5C">
      <w:pPr>
        <w:spacing w:line="600" w:lineRule="exact"/>
        <w:ind w:firstLine="640" w:firstLineChars="200"/>
        <w:rPr>
          <w:rFonts w:ascii="仿宋_GB2312" w:eastAsia="仿宋_GB2312"/>
          <w:sz w:val="32"/>
          <w:szCs w:val="32"/>
        </w:rPr>
      </w:pPr>
    </w:p>
    <w:p w14:paraId="744946EA">
      <w:pPr>
        <w:spacing w:line="600" w:lineRule="exact"/>
        <w:ind w:firstLine="640" w:firstLineChars="200"/>
        <w:outlineLvl w:val="1"/>
        <w:rPr>
          <w:rStyle w:val="28"/>
          <w:rFonts w:ascii="黑体" w:hAnsi="黑体" w:eastAsia="黑体"/>
          <w:b w:val="0"/>
        </w:rPr>
      </w:pPr>
      <w:bookmarkStart w:id="35" w:name="_Toc8997"/>
      <w:bookmarkStart w:id="36" w:name="_Toc15377208"/>
      <w:bookmarkStart w:id="37"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5"/>
      <w:bookmarkEnd w:id="36"/>
      <w:bookmarkEnd w:id="37"/>
    </w:p>
    <w:p w14:paraId="6C08F224">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rFonts w:ascii="仿宋" w:hAnsi="仿宋" w:eastAsia="仿宋"/>
          <w:b/>
          <w:sz w:val="32"/>
          <w:szCs w:val="32"/>
        </w:rPr>
        <w:t>192.1</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32.62</w:t>
      </w:r>
      <w:r>
        <w:rPr>
          <w:rFonts w:hint="eastAsia" w:ascii="仿宋" w:hAnsi="仿宋" w:eastAsia="仿宋"/>
          <w:sz w:val="32"/>
          <w:szCs w:val="32"/>
        </w:rPr>
        <w:t>万元，增长</w:t>
      </w:r>
      <w:r>
        <w:rPr>
          <w:rFonts w:hint="eastAsia" w:ascii="仿宋" w:hAnsi="仿宋" w:eastAsia="仿宋"/>
          <w:sz w:val="32"/>
          <w:szCs w:val="32"/>
          <w:lang w:val="en-US" w:eastAsia="zh-CN"/>
        </w:rPr>
        <w:t>20.45</w:t>
      </w:r>
      <w:r>
        <w:rPr>
          <w:rFonts w:ascii="仿宋" w:hAnsi="仿宋" w:eastAsia="仿宋"/>
          <w:sz w:val="32"/>
          <w:szCs w:val="32"/>
        </w:rPr>
        <w:t>%</w:t>
      </w:r>
      <w:r>
        <w:rPr>
          <w:rFonts w:hint="eastAsia" w:ascii="仿宋" w:hAnsi="仿宋" w:eastAsia="仿宋"/>
          <w:sz w:val="32"/>
          <w:szCs w:val="32"/>
        </w:rPr>
        <w:t>。主要变动原因是2023年人员经费与项目经费预算增加</w:t>
      </w:r>
      <w:r>
        <w:rPr>
          <w:rFonts w:hint="eastAsia" w:ascii="仿宋" w:hAnsi="仿宋" w:eastAsia="仿宋"/>
          <w:sz w:val="32"/>
          <w:szCs w:val="32"/>
          <w:lang w:eastAsia="zh-CN"/>
        </w:rPr>
        <w:t>。</w:t>
      </w:r>
    </w:p>
    <w:p w14:paraId="7F88A8A2">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49A43CE3">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587DD5E4">
      <w:pPr>
        <w:spacing w:line="600" w:lineRule="exact"/>
        <w:ind w:firstLine="640"/>
        <w:rPr>
          <w:rFonts w:ascii="仿宋" w:hAnsi="仿宋" w:eastAsia="仿宋"/>
          <w:b/>
          <w:sz w:val="32"/>
          <w:szCs w:val="32"/>
        </w:rPr>
      </w:pPr>
    </w:p>
    <w:p w14:paraId="76B69E61">
      <w:pPr>
        <w:spacing w:line="600" w:lineRule="exact"/>
        <w:ind w:firstLine="640" w:firstLineChars="200"/>
        <w:outlineLvl w:val="1"/>
        <w:rPr>
          <w:rStyle w:val="28"/>
          <w:rFonts w:ascii="黑体" w:hAnsi="黑体" w:eastAsia="黑体"/>
          <w:b w:val="0"/>
        </w:rPr>
      </w:pPr>
      <w:bookmarkStart w:id="38" w:name="_Toc7137"/>
      <w:bookmarkStart w:id="39" w:name="_Toc15396607"/>
      <w:bookmarkStart w:id="40" w:name="_Toc15377209"/>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8"/>
      <w:bookmarkEnd w:id="39"/>
      <w:bookmarkEnd w:id="40"/>
    </w:p>
    <w:p w14:paraId="77A6B1D0">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14:paraId="4ACED213">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192.1</w:t>
      </w:r>
      <w:r>
        <w:rPr>
          <w:rFonts w:hint="eastAsia" w:ascii="仿宋" w:hAnsi="仿宋" w:eastAsia="仿宋"/>
          <w:sz w:val="32"/>
          <w:szCs w:val="32"/>
        </w:rPr>
        <w:t>万元，占本年支出合计的</w:t>
      </w:r>
      <w:r>
        <w:rPr>
          <w:rFonts w:ascii="仿宋" w:hAnsi="仿宋" w:eastAsia="仿宋"/>
          <w:b/>
          <w:sz w:val="32"/>
          <w:szCs w:val="32"/>
        </w:rPr>
        <w:t>97.14</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32.62</w:t>
      </w:r>
      <w:r>
        <w:rPr>
          <w:rFonts w:hint="eastAsia" w:ascii="仿宋" w:hAnsi="仿宋" w:eastAsia="仿宋"/>
          <w:sz w:val="32"/>
          <w:szCs w:val="32"/>
        </w:rPr>
        <w:t>万元，增长</w:t>
      </w:r>
      <w:r>
        <w:rPr>
          <w:rFonts w:hint="eastAsia" w:ascii="仿宋" w:hAnsi="仿宋" w:eastAsia="仿宋"/>
          <w:sz w:val="32"/>
          <w:szCs w:val="32"/>
          <w:lang w:val="en-US" w:eastAsia="zh-CN"/>
        </w:rPr>
        <w:t>20.45</w:t>
      </w:r>
      <w:r>
        <w:rPr>
          <w:rFonts w:ascii="仿宋" w:hAnsi="仿宋" w:eastAsia="仿宋"/>
          <w:sz w:val="32"/>
          <w:szCs w:val="32"/>
        </w:rPr>
        <w:t>%</w:t>
      </w:r>
      <w:r>
        <w:rPr>
          <w:rFonts w:hint="eastAsia" w:ascii="仿宋" w:hAnsi="仿宋" w:eastAsia="仿宋"/>
          <w:sz w:val="32"/>
          <w:szCs w:val="32"/>
        </w:rPr>
        <w:t>。主要变动原因是2023年人员经费与项目经费预算增加</w:t>
      </w:r>
      <w:r>
        <w:rPr>
          <w:rFonts w:hint="eastAsia" w:ascii="仿宋" w:hAnsi="仿宋" w:eastAsia="仿宋"/>
          <w:sz w:val="32"/>
          <w:szCs w:val="32"/>
          <w:lang w:eastAsia="zh-CN"/>
        </w:rPr>
        <w:t>。</w:t>
      </w:r>
    </w:p>
    <w:p w14:paraId="6509105E">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08EF8D0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F4EB612">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14:paraId="6476185D">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192.1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23.39</w:t>
      </w:r>
      <w:r>
        <w:rPr>
          <w:rFonts w:hint="eastAsia" w:ascii="仿宋" w:hAnsi="仿宋" w:eastAsia="仿宋"/>
          <w:sz w:val="32"/>
          <w:szCs w:val="32"/>
        </w:rPr>
        <w:t>万元，占</w:t>
      </w:r>
      <w:r>
        <w:rPr>
          <w:rFonts w:hint="eastAsia" w:ascii="仿宋" w:hAnsi="仿宋" w:eastAsia="仿宋"/>
          <w:sz w:val="32"/>
          <w:szCs w:val="32"/>
          <w:lang w:val="en-US" w:eastAsia="zh-CN"/>
        </w:rPr>
        <w:t>12.18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153.55</w:t>
      </w:r>
      <w:r>
        <w:rPr>
          <w:rFonts w:hint="eastAsia" w:ascii="仿宋" w:hAnsi="仿宋" w:eastAsia="仿宋"/>
          <w:sz w:val="32"/>
          <w:szCs w:val="32"/>
        </w:rPr>
        <w:t>万元，占</w:t>
      </w:r>
      <w:r>
        <w:rPr>
          <w:rFonts w:hint="eastAsia" w:ascii="仿宋" w:hAnsi="仿宋" w:eastAsia="仿宋"/>
          <w:sz w:val="32"/>
          <w:szCs w:val="32"/>
          <w:lang w:val="en-US" w:eastAsia="zh-CN"/>
        </w:rPr>
        <w:t>79.93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15.16</w:t>
      </w:r>
      <w:r>
        <w:rPr>
          <w:rFonts w:hint="eastAsia" w:ascii="仿宋" w:hAnsi="仿宋" w:eastAsia="仿宋"/>
          <w:sz w:val="32"/>
          <w:szCs w:val="32"/>
        </w:rPr>
        <w:t>万元，占</w:t>
      </w:r>
      <w:r>
        <w:rPr>
          <w:rFonts w:hint="eastAsia" w:ascii="仿宋" w:hAnsi="仿宋" w:eastAsia="仿宋"/>
          <w:sz w:val="32"/>
          <w:szCs w:val="32"/>
          <w:lang w:val="en-US" w:eastAsia="zh-CN"/>
        </w:rPr>
        <w:t>7.89</w:t>
      </w:r>
      <w:r>
        <w:rPr>
          <w:rFonts w:ascii="仿宋" w:hAnsi="仿宋" w:eastAsia="仿宋"/>
          <w:sz w:val="32"/>
          <w:szCs w:val="32"/>
        </w:rPr>
        <w:t>%</w:t>
      </w:r>
      <w:r>
        <w:rPr>
          <w:rFonts w:hint="eastAsia" w:ascii="仿宋" w:hAnsi="仿宋" w:eastAsia="仿宋"/>
          <w:sz w:val="32"/>
          <w:szCs w:val="32"/>
        </w:rPr>
        <w:t>。</w:t>
      </w:r>
    </w:p>
    <w:p w14:paraId="5EF95C7D">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53674B40">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40EE9E3A">
      <w:pPr>
        <w:spacing w:line="600" w:lineRule="exact"/>
        <w:ind w:firstLine="640" w:firstLineChars="200"/>
        <w:rPr>
          <w:rFonts w:ascii="仿宋" w:hAnsi="仿宋" w:eastAsia="仿宋"/>
          <w:sz w:val="32"/>
          <w:szCs w:val="32"/>
        </w:rPr>
      </w:pPr>
    </w:p>
    <w:p w14:paraId="3AE11E49">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14:paraId="0E06645F">
      <w:pPr>
        <w:spacing w:line="600" w:lineRule="exact"/>
        <w:ind w:firstLine="643" w:firstLineChars="200"/>
        <w:outlineLvl w:val="1"/>
        <w:rPr>
          <w:rFonts w:ascii="仿宋" w:hAnsi="仿宋" w:eastAsia="仿宋"/>
          <w:sz w:val="32"/>
          <w:szCs w:val="32"/>
        </w:rPr>
      </w:pPr>
      <w:bookmarkStart w:id="44" w:name="_Toc15378460"/>
      <w:bookmarkStart w:id="45" w:name="_Toc15377444"/>
      <w:bookmarkStart w:id="46" w:name="_Toc15377213"/>
      <w:bookmarkStart w:id="47" w:name="_Toc30810"/>
      <w:r>
        <w:rPr>
          <w:rFonts w:hint="eastAsia" w:ascii="仿宋" w:hAnsi="仿宋" w:eastAsia="仿宋"/>
          <w:b/>
          <w:sz w:val="32"/>
          <w:szCs w:val="32"/>
        </w:rPr>
        <w:t>2023年度一般公共预算支出决算数为</w:t>
      </w:r>
      <w:r>
        <w:rPr>
          <w:rFonts w:ascii="仿宋" w:hAnsi="仿宋" w:eastAsia="仿宋"/>
          <w:b/>
          <w:sz w:val="32"/>
          <w:szCs w:val="32"/>
        </w:rPr>
        <w:t>192.1</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4"/>
      <w:bookmarkEnd w:id="45"/>
      <w:bookmarkEnd w:id="46"/>
      <w:bookmarkEnd w:id="47"/>
    </w:p>
    <w:p w14:paraId="53C763A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1.社会保障和就业（类）行政事业单位养老支出（款）机关事业单位基本养老保险缴费支出（项）: </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4.09</w:t>
      </w:r>
      <w:r>
        <w:rPr>
          <w:rFonts w:hint="eastAsia" w:ascii="仿宋_GB2312" w:hAnsi="仿宋_GB2312" w:eastAsia="仿宋_GB2312"/>
          <w:color w:val="000000"/>
          <w:kern w:val="2"/>
          <w:sz w:val="32"/>
          <w:szCs w:val="24"/>
          <w:lang w:val="en-US"/>
        </w:rPr>
        <w:t>万元，完成预算100%，决算数与预算数持平。</w:t>
      </w:r>
    </w:p>
    <w:p w14:paraId="75BA3578">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 xml:space="preserve">2.社会保障和就业（类）行政事业单位养老支出（款）机关事业单位职业年金缴费支出（项）: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7.05</w:t>
      </w:r>
      <w:r>
        <w:rPr>
          <w:rFonts w:hint="eastAsia" w:ascii="仿宋_GB2312" w:hAnsi="仿宋_GB2312" w:eastAsia="仿宋_GB2312"/>
          <w:color w:val="000000"/>
          <w:kern w:val="2"/>
          <w:sz w:val="32"/>
          <w:szCs w:val="24"/>
          <w:lang w:val="en-US"/>
        </w:rPr>
        <w:t>万元，完成预算100%，决算数与预算数持平。</w:t>
      </w:r>
    </w:p>
    <w:p w14:paraId="28720CFC">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lang w:val="en-US"/>
        </w:rPr>
        <w:t xml:space="preserve">.社会保障和就业（类）其他社会保障和就业支出（款）其他社会保障和就业支出（项）: </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2.25</w:t>
      </w:r>
      <w:r>
        <w:rPr>
          <w:rFonts w:hint="eastAsia" w:ascii="仿宋_GB2312" w:hAnsi="仿宋_GB2312" w:eastAsia="仿宋_GB2312"/>
          <w:color w:val="000000"/>
          <w:kern w:val="2"/>
          <w:sz w:val="32"/>
          <w:szCs w:val="24"/>
          <w:lang w:val="en-US"/>
        </w:rPr>
        <w:t>万元，完成预算100%，决算数与预算数持平。</w:t>
      </w:r>
    </w:p>
    <w:p w14:paraId="1B376116">
      <w:pPr>
        <w:spacing w:beforeLines="0" w:afterLines="0" w:line="576" w:lineRule="exact"/>
        <w:ind w:firstLine="643"/>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lang w:val="en-US"/>
        </w:rPr>
        <w:t>.卫生健康（类）基层医疗卫生机构（款）乡镇卫生院（项）: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121.36</w:t>
      </w:r>
      <w:r>
        <w:rPr>
          <w:rFonts w:hint="eastAsia" w:ascii="仿宋_GB2312" w:hAnsi="仿宋_GB2312" w:eastAsia="仿宋_GB2312"/>
          <w:color w:val="000000"/>
          <w:kern w:val="2"/>
          <w:sz w:val="32"/>
          <w:szCs w:val="24"/>
          <w:lang w:val="en-US"/>
        </w:rPr>
        <w:t>万元，完成预算100%，决算数与预算数持平。</w:t>
      </w:r>
    </w:p>
    <w:p w14:paraId="7B2FBC1E">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lang w:val="en-US"/>
        </w:rPr>
        <w:t>.卫生健康（类）基层医疗卫生机构（款）其他基层医疗卫生机构支出（项）: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3.75</w:t>
      </w:r>
      <w:r>
        <w:rPr>
          <w:rFonts w:hint="eastAsia" w:ascii="仿宋_GB2312" w:hAnsi="仿宋_GB2312" w:eastAsia="仿宋_GB2312"/>
          <w:color w:val="000000"/>
          <w:kern w:val="2"/>
          <w:sz w:val="32"/>
          <w:szCs w:val="24"/>
          <w:lang w:val="en-US"/>
        </w:rPr>
        <w:t>万元，完成预算100%，决算数与预算数持平。</w:t>
      </w:r>
    </w:p>
    <w:p w14:paraId="7C96A819">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lang w:val="en-US"/>
        </w:rPr>
        <w:t>.卫生健康（类）公共卫生（款）基本公共卫生服务（项）: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22.24</w:t>
      </w:r>
      <w:r>
        <w:rPr>
          <w:rFonts w:hint="eastAsia" w:ascii="仿宋_GB2312" w:hAnsi="仿宋_GB2312" w:eastAsia="仿宋_GB2312"/>
          <w:color w:val="000000"/>
          <w:kern w:val="2"/>
          <w:sz w:val="32"/>
          <w:szCs w:val="24"/>
          <w:lang w:val="en-US"/>
        </w:rPr>
        <w:t>万元，完成预算100%，决算数与预算数持平。</w:t>
      </w:r>
    </w:p>
    <w:p w14:paraId="5BE57728">
      <w:pPr>
        <w:spacing w:beforeLines="0" w:afterLines="0" w:line="576" w:lineRule="exact"/>
        <w:ind w:firstLine="643"/>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.卫生健康（类）行政事业单位医疗（款）事业单位医疗（项）: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5.42</w:t>
      </w:r>
      <w:r>
        <w:rPr>
          <w:rFonts w:hint="eastAsia" w:ascii="仿宋_GB2312" w:hAnsi="仿宋_GB2312" w:eastAsia="仿宋_GB2312"/>
          <w:color w:val="000000"/>
          <w:kern w:val="2"/>
          <w:sz w:val="32"/>
          <w:szCs w:val="24"/>
          <w:lang w:val="en-US"/>
        </w:rPr>
        <w:t>万元，完成预算100%，决算数与预算数持平。</w:t>
      </w:r>
    </w:p>
    <w:p w14:paraId="479E3FC9">
      <w:pPr>
        <w:spacing w:beforeLines="0" w:afterLines="0" w:line="576" w:lineRule="exact"/>
        <w:ind w:firstLine="643"/>
        <w:jc w:val="both"/>
        <w:rPr>
          <w:rFonts w:hint="default"/>
          <w:sz w:val="24"/>
          <w:szCs w:val="24"/>
          <w:lang w:val="en-US"/>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.卫生健康（类）行政事业单位医疗（款）公务员医疗补助（项）:</w:t>
      </w:r>
      <w:r>
        <w:rPr>
          <w:rFonts w:hint="eastAsia" w:ascii="仿宋_GB2312" w:hAnsi="仿宋_GB2312" w:eastAsia="仿宋_GB2312"/>
          <w:color w:val="000000"/>
          <w:kern w:val="2"/>
          <w:sz w:val="32"/>
          <w:szCs w:val="24"/>
          <w:lang w:val="en-US"/>
        </w:rPr>
        <w:t>支出决算为</w:t>
      </w:r>
      <w:r>
        <w:rPr>
          <w:rFonts w:hint="eastAsia" w:ascii="仿宋_GB2312" w:hAnsi="仿宋_GB2312" w:eastAsia="仿宋_GB2312"/>
          <w:color w:val="000000"/>
          <w:kern w:val="2"/>
          <w:sz w:val="32"/>
          <w:szCs w:val="24"/>
          <w:lang w:val="en-US" w:eastAsia="zh-CN"/>
        </w:rPr>
        <w:t>0.78</w:t>
      </w:r>
      <w:r>
        <w:rPr>
          <w:rFonts w:hint="eastAsia" w:ascii="仿宋_GB2312" w:hAnsi="仿宋_GB2312" w:eastAsia="仿宋_GB2312"/>
          <w:color w:val="000000"/>
          <w:kern w:val="2"/>
          <w:sz w:val="32"/>
          <w:szCs w:val="24"/>
          <w:lang w:val="en-US"/>
        </w:rPr>
        <w:t>万元，完成预算100%，决算数与预算数持平。</w:t>
      </w:r>
    </w:p>
    <w:p w14:paraId="6CCB943B">
      <w:pPr>
        <w:spacing w:beforeLines="0" w:afterLines="0" w:line="576" w:lineRule="exact"/>
        <w:ind w:firstLine="643"/>
        <w:jc w:val="both"/>
        <w:rPr>
          <w:rFonts w:ascii="仿宋" w:hAnsi="仿宋" w:eastAsia="仿宋"/>
          <w:b/>
          <w:sz w:val="32"/>
          <w:szCs w:val="32"/>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支出决算为1</w:t>
      </w:r>
      <w:r>
        <w:rPr>
          <w:rFonts w:hint="eastAsia" w:ascii="仿宋_GB2312" w:hAnsi="仿宋_GB2312" w:eastAsia="仿宋_GB2312"/>
          <w:color w:val="000000"/>
          <w:kern w:val="2"/>
          <w:sz w:val="32"/>
          <w:szCs w:val="24"/>
          <w:lang w:val="en-US" w:eastAsia="zh-CN"/>
        </w:rPr>
        <w:t>5.16</w:t>
      </w:r>
      <w:r>
        <w:rPr>
          <w:rFonts w:hint="eastAsia" w:ascii="仿宋_GB2312" w:hAnsi="仿宋_GB2312" w:eastAsia="仿宋_GB2312"/>
          <w:color w:val="000000"/>
          <w:kern w:val="2"/>
          <w:sz w:val="32"/>
          <w:szCs w:val="24"/>
          <w:lang w:val="en-US"/>
        </w:rPr>
        <w:t>万元，完成预算100%，决算数与预算数持平</w:t>
      </w:r>
      <w:r>
        <w:rPr>
          <w:rStyle w:val="16"/>
          <w:rFonts w:hint="eastAsia" w:ascii="仿宋" w:hAnsi="仿宋" w:eastAsia="仿宋"/>
          <w:b w:val="0"/>
          <w:bCs/>
          <w:sz w:val="32"/>
          <w:szCs w:val="32"/>
        </w:rPr>
        <w:t>。</w:t>
      </w:r>
    </w:p>
    <w:p w14:paraId="176CC9E9">
      <w:pPr>
        <w:spacing w:line="600" w:lineRule="exact"/>
        <w:ind w:firstLine="640"/>
        <w:rPr>
          <w:rFonts w:ascii="仿宋" w:hAnsi="仿宋" w:eastAsia="仿宋"/>
          <w:b/>
          <w:sz w:val="32"/>
          <w:szCs w:val="32"/>
        </w:rPr>
      </w:pPr>
    </w:p>
    <w:p w14:paraId="38BB16CD">
      <w:pPr>
        <w:tabs>
          <w:tab w:val="right" w:pos="8306"/>
        </w:tabs>
        <w:spacing w:line="600" w:lineRule="exact"/>
        <w:ind w:firstLine="640"/>
        <w:outlineLvl w:val="1"/>
        <w:rPr>
          <w:rStyle w:val="28"/>
        </w:rPr>
      </w:pPr>
      <w:bookmarkStart w:id="48" w:name="_Toc15377214"/>
      <w:bookmarkStart w:id="49" w:name="_Toc1428"/>
      <w:bookmarkStart w:id="5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8"/>
      <w:bookmarkEnd w:id="49"/>
      <w:bookmarkEnd w:id="50"/>
      <w:r>
        <w:rPr>
          <w:rStyle w:val="28"/>
          <w:rFonts w:ascii="黑体" w:hAnsi="黑体" w:eastAsia="黑体"/>
          <w:b w:val="0"/>
        </w:rPr>
        <w:tab/>
      </w:r>
    </w:p>
    <w:p w14:paraId="030A7C9B">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164.54</w:t>
      </w:r>
      <w:r>
        <w:rPr>
          <w:rFonts w:hint="eastAsia" w:ascii="仿宋" w:hAnsi="仿宋" w:eastAsia="仿宋"/>
          <w:sz w:val="32"/>
          <w:szCs w:val="32"/>
        </w:rPr>
        <w:t>万元，其中：</w:t>
      </w:r>
    </w:p>
    <w:p w14:paraId="631E594C">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161.5</w:t>
      </w:r>
      <w:r>
        <w:rPr>
          <w:rFonts w:hint="eastAsia" w:ascii="仿宋" w:hAnsi="仿宋" w:eastAsia="仿宋"/>
          <w:sz w:val="32"/>
          <w:szCs w:val="32"/>
        </w:rPr>
        <w:t>万元，主要包括：基本工资、津贴补贴、奖金、伙食补助费、绩效工资、机关事业单位基本养老保险缴费、职业年金缴费、职工基本医疗保险缴费、公务员医疗补助缴费、其他社会保障缴费、其他工资福利支出</w:t>
      </w:r>
      <w:r>
        <w:rPr>
          <w:rFonts w:hint="eastAsia" w:ascii="仿宋" w:hAnsi="仿宋" w:eastAsia="仿宋"/>
          <w:sz w:val="32"/>
          <w:szCs w:val="32"/>
          <w:lang w:eastAsia="zh-CN"/>
        </w:rPr>
        <w:t>、</w:t>
      </w:r>
      <w:r>
        <w:rPr>
          <w:rFonts w:hint="eastAsia" w:ascii="仿宋" w:hAnsi="仿宋" w:eastAsia="仿宋"/>
          <w:sz w:val="32"/>
          <w:szCs w:val="32"/>
          <w:lang w:val="en-US" w:eastAsia="zh-CN"/>
        </w:rPr>
        <w:t>生活补助</w:t>
      </w:r>
      <w:r>
        <w:rPr>
          <w:rFonts w:hint="eastAsia" w:ascii="仿宋" w:hAnsi="仿宋" w:eastAsia="仿宋"/>
          <w:sz w:val="32"/>
          <w:szCs w:val="32"/>
        </w:rPr>
        <w:t>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3.04</w:t>
      </w:r>
      <w:r>
        <w:rPr>
          <w:rFonts w:hint="eastAsia" w:ascii="仿宋" w:hAnsi="仿宋" w:eastAsia="仿宋"/>
          <w:sz w:val="32"/>
          <w:szCs w:val="32"/>
        </w:rPr>
        <w:t>万元，主要包括：工会经费、福利费等。</w:t>
      </w:r>
    </w:p>
    <w:p w14:paraId="5FCA8763">
      <w:pPr>
        <w:spacing w:line="600" w:lineRule="exact"/>
        <w:ind w:firstLine="640"/>
        <w:rPr>
          <w:rFonts w:ascii="仿宋" w:hAnsi="仿宋" w:eastAsia="仿宋"/>
          <w:b/>
          <w:sz w:val="32"/>
          <w:szCs w:val="32"/>
        </w:rPr>
      </w:pPr>
    </w:p>
    <w:p w14:paraId="0E4E6D61">
      <w:pPr>
        <w:spacing w:line="600" w:lineRule="exact"/>
        <w:ind w:firstLine="640"/>
        <w:outlineLvl w:val="1"/>
        <w:rPr>
          <w:rStyle w:val="28"/>
          <w:rFonts w:ascii="黑体" w:hAnsi="黑体" w:eastAsia="黑体"/>
          <w:b w:val="0"/>
        </w:rPr>
      </w:pPr>
      <w:bookmarkStart w:id="51" w:name="_Toc15377215"/>
      <w:bookmarkStart w:id="52" w:name="_Toc15396609"/>
      <w:bookmarkStart w:id="53" w:name="_Toc2096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1"/>
      <w:bookmarkEnd w:id="52"/>
      <w:bookmarkEnd w:id="53"/>
    </w:p>
    <w:p w14:paraId="37C88F7F">
      <w:pPr>
        <w:spacing w:line="600" w:lineRule="exact"/>
        <w:ind w:firstLine="640"/>
        <w:outlineLvl w:val="2"/>
        <w:rPr>
          <w:rFonts w:ascii="仿宋" w:hAnsi="仿宋" w:eastAsia="仿宋"/>
          <w:b/>
          <w:sz w:val="32"/>
          <w:szCs w:val="32"/>
        </w:rPr>
      </w:pPr>
      <w:bookmarkStart w:id="54" w:name="_Toc15377216"/>
      <w:r>
        <w:rPr>
          <w:rFonts w:hint="eastAsia" w:ascii="仿宋" w:hAnsi="仿宋" w:eastAsia="仿宋"/>
          <w:b/>
          <w:sz w:val="32"/>
          <w:szCs w:val="32"/>
        </w:rPr>
        <w:t>（一）“三公”经费财政拨款支出决算总体情况说明</w:t>
      </w:r>
      <w:bookmarkEnd w:id="54"/>
    </w:p>
    <w:p w14:paraId="3311CB38">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%。决算数与预算数持平的主要原因是</w:t>
      </w:r>
      <w:r>
        <w:rPr>
          <w:rFonts w:hint="eastAsia" w:ascii="仿宋" w:hAnsi="仿宋" w:eastAsia="仿宋"/>
          <w:sz w:val="32"/>
          <w:szCs w:val="32"/>
          <w:lang w:val="en-US" w:eastAsia="zh-CN"/>
        </w:rPr>
        <w:t>2023年无三公经费预算</w:t>
      </w:r>
      <w:r>
        <w:rPr>
          <w:rFonts w:hint="eastAsia" w:ascii="仿宋" w:hAnsi="仿宋" w:eastAsia="仿宋"/>
          <w:sz w:val="32"/>
          <w:szCs w:val="32"/>
        </w:rPr>
        <w:t>。</w:t>
      </w:r>
    </w:p>
    <w:p w14:paraId="1585B04C">
      <w:pPr>
        <w:spacing w:line="600" w:lineRule="exact"/>
        <w:ind w:firstLine="640"/>
        <w:rPr>
          <w:rFonts w:ascii="仿宋" w:hAnsi="仿宋" w:eastAsia="仿宋"/>
          <w:b/>
          <w:sz w:val="32"/>
          <w:szCs w:val="32"/>
        </w:rPr>
      </w:pPr>
    </w:p>
    <w:p w14:paraId="5275B9FF">
      <w:pPr>
        <w:spacing w:line="600" w:lineRule="exact"/>
        <w:ind w:firstLine="640"/>
        <w:outlineLvl w:val="2"/>
        <w:rPr>
          <w:rFonts w:ascii="仿宋" w:hAnsi="仿宋" w:eastAsia="仿宋"/>
          <w:b/>
          <w:sz w:val="32"/>
          <w:szCs w:val="32"/>
        </w:rPr>
      </w:pPr>
      <w:bookmarkStart w:id="55" w:name="_Toc15377217"/>
      <w:r>
        <w:rPr>
          <w:rFonts w:hint="eastAsia" w:ascii="仿宋" w:hAnsi="仿宋" w:eastAsia="仿宋"/>
          <w:b/>
          <w:sz w:val="32"/>
          <w:szCs w:val="32"/>
        </w:rPr>
        <w:t>（二）“三公”经费财政拨款支出决算具体情况说明</w:t>
      </w:r>
      <w:bookmarkEnd w:id="55"/>
    </w:p>
    <w:p w14:paraId="04C2AA47">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4DBD3D9">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5FA90BBC">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3ABE6F2">
      <w:pPr>
        <w:spacing w:line="600" w:lineRule="exact"/>
        <w:ind w:firstLine="640"/>
        <w:rPr>
          <w:rFonts w:ascii="仿宋_GB2312" w:eastAsia="仿宋_GB2312"/>
          <w:sz w:val="32"/>
          <w:szCs w:val="32"/>
        </w:rPr>
      </w:pPr>
      <w:bookmarkStart w:id="56" w:name="_Toc15396610"/>
      <w:bookmarkStart w:id="57"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2CC6759">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bookmarkStart w:id="104" w:name="_GoBack"/>
      <w:bookmarkEnd w:id="104"/>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3D54329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6B73D42">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开展医疗业务工作</w:t>
      </w:r>
      <w:r>
        <w:rPr>
          <w:rFonts w:hint="eastAsia" w:ascii="仿宋_GB2312" w:eastAsia="仿宋_GB2312"/>
          <w:sz w:val="32"/>
          <w:szCs w:val="32"/>
        </w:rPr>
        <w:t>等所需的公务用车燃料费、维修费、过路过桥费、保险费等支出。</w:t>
      </w:r>
    </w:p>
    <w:p w14:paraId="6FCEF75F">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78D43EE1">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E00387D">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A49D848">
      <w:pPr>
        <w:spacing w:line="600" w:lineRule="exact"/>
        <w:ind w:firstLine="640"/>
        <w:outlineLvl w:val="9"/>
        <w:rPr>
          <w:rFonts w:ascii="黑体" w:eastAsia="黑体"/>
          <w:sz w:val="32"/>
          <w:szCs w:val="32"/>
        </w:rPr>
      </w:pPr>
    </w:p>
    <w:p w14:paraId="1FDCA608">
      <w:pPr>
        <w:spacing w:line="600" w:lineRule="exact"/>
        <w:ind w:firstLine="640"/>
        <w:outlineLvl w:val="1"/>
        <w:rPr>
          <w:rStyle w:val="28"/>
          <w:rFonts w:ascii="黑体" w:hAnsi="黑体" w:eastAsia="黑体"/>
        </w:rPr>
      </w:pPr>
      <w:bookmarkStart w:id="58" w:name="_Toc15658"/>
      <w:r>
        <w:rPr>
          <w:rFonts w:hint="eastAsia" w:ascii="黑体" w:eastAsia="黑体"/>
          <w:sz w:val="32"/>
          <w:szCs w:val="32"/>
        </w:rPr>
        <w:t>八、</w:t>
      </w:r>
      <w:r>
        <w:rPr>
          <w:rStyle w:val="28"/>
          <w:rFonts w:hint="eastAsia" w:ascii="黑体" w:hAnsi="黑体" w:eastAsia="黑体"/>
          <w:b w:val="0"/>
        </w:rPr>
        <w:t>政府性基金预算支出决算情况说明</w:t>
      </w:r>
      <w:bookmarkEnd w:id="56"/>
      <w:bookmarkEnd w:id="57"/>
      <w:bookmarkEnd w:id="58"/>
    </w:p>
    <w:p w14:paraId="7F12D55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4C6E70E0">
      <w:pPr>
        <w:spacing w:line="600" w:lineRule="exact"/>
        <w:ind w:firstLine="640"/>
        <w:rPr>
          <w:rFonts w:ascii="仿宋_GB2312" w:eastAsia="仿宋_GB2312"/>
          <w:sz w:val="32"/>
          <w:szCs w:val="32"/>
        </w:rPr>
      </w:pPr>
    </w:p>
    <w:p w14:paraId="0464EE59">
      <w:pPr>
        <w:numPr>
          <w:ilvl w:val="0"/>
          <w:numId w:val="3"/>
        </w:numPr>
        <w:spacing w:line="600" w:lineRule="exact"/>
        <w:ind w:firstLine="640"/>
        <w:outlineLvl w:val="1"/>
        <w:rPr>
          <w:rStyle w:val="28"/>
          <w:rFonts w:ascii="黑体" w:hAnsi="黑体" w:eastAsia="黑体"/>
          <w:b w:val="0"/>
        </w:rPr>
      </w:pPr>
      <w:bookmarkStart w:id="59" w:name="_Toc15377219"/>
      <w:bookmarkStart w:id="60" w:name="_Toc17955"/>
      <w:bookmarkStart w:id="61" w:name="_Toc15396611"/>
      <w:r>
        <w:rPr>
          <w:rStyle w:val="28"/>
          <w:rFonts w:hint="eastAsia" w:ascii="黑体" w:hAnsi="黑体" w:eastAsia="黑体"/>
          <w:b w:val="0"/>
        </w:rPr>
        <w:t>国有资本经营预算支出决算情况说明</w:t>
      </w:r>
      <w:bookmarkEnd w:id="59"/>
      <w:bookmarkEnd w:id="60"/>
      <w:bookmarkEnd w:id="61"/>
    </w:p>
    <w:p w14:paraId="4CBA5156">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A71CA35">
      <w:pPr>
        <w:spacing w:line="580" w:lineRule="exact"/>
        <w:jc w:val="center"/>
        <w:rPr>
          <w:rFonts w:ascii="方正小标宋简体" w:hAnsi="方正小标宋简体" w:eastAsia="方正小标宋简体" w:cs="方正小标宋简体"/>
          <w:sz w:val="44"/>
          <w:szCs w:val="44"/>
        </w:rPr>
      </w:pPr>
    </w:p>
    <w:p w14:paraId="7E3EE02A">
      <w:pPr>
        <w:numPr>
          <w:ilvl w:val="0"/>
          <w:numId w:val="3"/>
        </w:numPr>
        <w:spacing w:line="600" w:lineRule="exact"/>
        <w:ind w:firstLine="640"/>
        <w:outlineLvl w:val="1"/>
        <w:rPr>
          <w:rStyle w:val="28"/>
          <w:rFonts w:ascii="黑体" w:hAnsi="黑体" w:eastAsia="黑体"/>
          <w:b w:val="0"/>
        </w:rPr>
      </w:pPr>
      <w:bookmarkStart w:id="62" w:name="_Toc15396612"/>
      <w:bookmarkStart w:id="63" w:name="_Toc15377221"/>
      <w:bookmarkStart w:id="64" w:name="_Toc22672"/>
      <w:r>
        <w:rPr>
          <w:rStyle w:val="28"/>
          <w:rFonts w:hint="eastAsia" w:ascii="黑体" w:hAnsi="黑体" w:eastAsia="黑体"/>
          <w:b w:val="0"/>
        </w:rPr>
        <w:t>其他重要事项的情况说明</w:t>
      </w:r>
      <w:bookmarkEnd w:id="62"/>
      <w:bookmarkEnd w:id="63"/>
      <w:bookmarkEnd w:id="64"/>
    </w:p>
    <w:p w14:paraId="66B20332">
      <w:pPr>
        <w:spacing w:line="600" w:lineRule="exact"/>
        <w:ind w:firstLine="643" w:firstLineChars="200"/>
        <w:outlineLvl w:val="2"/>
        <w:rPr>
          <w:rFonts w:ascii="仿宋" w:hAnsi="仿宋" w:eastAsia="仿宋"/>
          <w:sz w:val="32"/>
          <w:szCs w:val="32"/>
        </w:rPr>
      </w:pPr>
      <w:bookmarkStart w:id="65" w:name="_Toc15377222"/>
      <w:r>
        <w:rPr>
          <w:rFonts w:hint="eastAsia" w:ascii="仿宋" w:hAnsi="仿宋" w:eastAsia="仿宋"/>
          <w:b/>
          <w:sz w:val="32"/>
          <w:szCs w:val="32"/>
        </w:rPr>
        <w:t>（一）机关运行经费支出情况</w:t>
      </w:r>
      <w:bookmarkEnd w:id="65"/>
    </w:p>
    <w:p w14:paraId="2F3B7F79">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峨边彝族自治县沙坪镇红花卫生院</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万元，与2022年度决算数持平。</w:t>
      </w:r>
    </w:p>
    <w:p w14:paraId="4BC148B7">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3"/>
      <w:r>
        <w:rPr>
          <w:rFonts w:hint="eastAsia" w:ascii="仿宋" w:hAnsi="仿宋" w:eastAsia="仿宋"/>
          <w:b/>
          <w:sz w:val="32"/>
          <w:szCs w:val="32"/>
        </w:rPr>
        <w:t>（二）政府采购支出情况</w:t>
      </w:r>
      <w:bookmarkEnd w:id="66"/>
    </w:p>
    <w:p w14:paraId="683ABC9B">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峨边彝族自治县沙坪镇红花卫生院</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9029194">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4"/>
      <w:r>
        <w:rPr>
          <w:rFonts w:hint="eastAsia" w:ascii="仿宋" w:hAnsi="仿宋" w:eastAsia="仿宋"/>
          <w:b/>
          <w:sz w:val="32"/>
          <w:szCs w:val="32"/>
        </w:rPr>
        <w:t>（三）国有资产占有使用情况</w:t>
      </w:r>
      <w:bookmarkEnd w:id="67"/>
    </w:p>
    <w:p w14:paraId="4CCC2434">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峨边彝族自治县沙坪镇红花卫生院</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1EEADB5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A1AB55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62C70FA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本单位项目主要为基层医疗机构基药补助、基本公共卫生服务补助资金，由主管部门统一进行预算绩效管理。</w:t>
      </w:r>
    </w:p>
    <w:p w14:paraId="32BD4B0D">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76F5D23">
      <w:pPr>
        <w:numPr>
          <w:ilvl w:val="0"/>
          <w:numId w:val="4"/>
        </w:numPr>
        <w:spacing w:line="600" w:lineRule="exact"/>
        <w:ind w:firstLine="660" w:firstLineChars="150"/>
        <w:jc w:val="center"/>
        <w:outlineLvl w:val="0"/>
        <w:rPr>
          <w:rStyle w:val="27"/>
          <w:rFonts w:ascii="黑体" w:hAnsi="黑体" w:eastAsia="黑体"/>
          <w:b w:val="0"/>
        </w:rPr>
      </w:pPr>
      <w:bookmarkStart w:id="68" w:name="_Toc15377225"/>
      <w:bookmarkStart w:id="69" w:name="_Toc12333"/>
      <w:bookmarkStart w:id="70" w:name="_Toc15396613"/>
      <w:r>
        <w:rPr>
          <w:rFonts w:hint="eastAsia" w:ascii="黑体" w:hAnsi="黑体" w:eastAsia="黑体"/>
          <w:sz w:val="44"/>
          <w:szCs w:val="44"/>
        </w:rPr>
        <w:t>名</w:t>
      </w:r>
      <w:r>
        <w:rPr>
          <w:rStyle w:val="27"/>
          <w:rFonts w:hint="eastAsia" w:ascii="黑体" w:hAnsi="黑体" w:eastAsia="黑体"/>
          <w:b w:val="0"/>
        </w:rPr>
        <w:t>词解释</w:t>
      </w:r>
      <w:bookmarkEnd w:id="68"/>
      <w:bookmarkEnd w:id="69"/>
      <w:bookmarkEnd w:id="70"/>
    </w:p>
    <w:p w14:paraId="2E28BB52">
      <w:pPr>
        <w:spacing w:line="600" w:lineRule="exact"/>
        <w:jc w:val="left"/>
        <w:rPr>
          <w:rFonts w:ascii="宋体"/>
          <w:b/>
          <w:sz w:val="44"/>
          <w:szCs w:val="44"/>
        </w:rPr>
      </w:pPr>
    </w:p>
    <w:p w14:paraId="67FF4971">
      <w:pPr>
        <w:pStyle w:val="25"/>
        <w:spacing w:beforeLines="0" w:afterLines="0" w:line="560" w:lineRule="exact"/>
        <w:ind w:firstLine="640" w:firstLineChars="200"/>
        <w:outlineLvl w:val="1"/>
        <w:rPr>
          <w:rFonts w:hint="eastAsia" w:ascii="仿宋_GB2312" w:eastAsia="仿宋_GB2312"/>
          <w:color w:val="auto"/>
          <w:sz w:val="32"/>
          <w:szCs w:val="32"/>
        </w:rPr>
      </w:pPr>
      <w:bookmarkStart w:id="71" w:name="_Toc30680"/>
      <w:r>
        <w:rPr>
          <w:rFonts w:hint="eastAsia" w:ascii="仿宋_GB2312" w:eastAsia="仿宋_GB2312"/>
          <w:color w:val="auto"/>
          <w:sz w:val="32"/>
          <w:szCs w:val="32"/>
        </w:rPr>
        <w:t>1.财政拨款收入：指单位从同级财政部门取得的财政预算资金。</w:t>
      </w:r>
      <w:bookmarkEnd w:id="71"/>
    </w:p>
    <w:p w14:paraId="0A0552F8">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4CCD51D2">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EAE2C67">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5B0A7AA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7429869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7F7F492C">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 机关事业单位基本养老保险缴费支出（项）：指反映机关事业单位实施养老保险制度由单位缴纳的基本养老保险费支出。</w:t>
      </w:r>
    </w:p>
    <w:p w14:paraId="28A57E9A">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8.社会保障和就业支出（类）行政事业单位养老支出（款）机关事业单位职业年金缴费支出（项）：指反映机关事业单位实施养老保险制度由单位实际缴纳的职业年金支出。</w:t>
      </w:r>
    </w:p>
    <w:p w14:paraId="5BD0A326">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9.社会保障和就业支出（类）其他社会保障和就业支出（款）其他社会保障和就业支出（项）：指反映除上述项目以外用于社会保障和就业方面的支出。</w:t>
      </w:r>
    </w:p>
    <w:p w14:paraId="5B60DCE9">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10.卫生健康支出（类）基层医疗卫生机构（款）乡镇卫生院（项）：指反映乡镇卫生院的支出。</w:t>
      </w:r>
    </w:p>
    <w:p w14:paraId="6E3A94D5">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11.卫生健康支出（类）基层医疗卫生机构（款）其他基层医疗卫生机构支出（项）：指反映除以上项目以外的其他用于基层医疗卫生机构的支出。</w:t>
      </w:r>
    </w:p>
    <w:p w14:paraId="76182CC6">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12.卫生健康支出（类）公共卫生（款）基本公共卫生服务（项）：指反映基本公共卫生服务支出</w:t>
      </w:r>
    </w:p>
    <w:p w14:paraId="6D25DAF8">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行政事业单位医疗（款）事业单位医疗（项）：指反映财政部门安排的事业单位基本医疗保险缴费经费，未参加医疗保险的事业单位的公费医疗经费，按国家规定享受离休人员待遇的医疗经费。</w:t>
      </w:r>
    </w:p>
    <w:p w14:paraId="7B9C61E1">
      <w:pPr>
        <w:spacing w:beforeLines="0" w:afterLines="0" w:line="576" w:lineRule="exact"/>
        <w:ind w:firstLine="640"/>
        <w:rPr>
          <w:rFonts w:hint="eastAsia" w:ascii="仿宋_GB2312" w:hAnsi="Times New Roman" w:eastAsia="仿宋_GB2312"/>
          <w:color w:val="auto"/>
          <w:sz w:val="32"/>
          <w:szCs w:val="24"/>
        </w:rPr>
      </w:pPr>
      <w:r>
        <w:rPr>
          <w:rFonts w:hint="eastAsia" w:ascii="仿宋_GB2312" w:hAnsi="仿宋_GB2312" w:eastAsia="仿宋_GB2312"/>
          <w:color w:val="000000"/>
          <w:sz w:val="32"/>
          <w:szCs w:val="24"/>
          <w:lang w:val="en-US" w:eastAsia="zh-CN"/>
        </w:rPr>
        <w:t>14</w:t>
      </w:r>
      <w:r>
        <w:rPr>
          <w:rFonts w:hint="eastAsia" w:ascii="仿宋_GB2312" w:hAnsi="仿宋_GB2312" w:eastAsia="仿宋_GB2312"/>
          <w:color w:val="000000"/>
          <w:sz w:val="32"/>
          <w:szCs w:val="24"/>
          <w:lang w:val="en-US"/>
        </w:rPr>
        <w:t>.卫生健康支出（类）行政事业单位医疗（款）公务员医疗补助（项）：反映财政部门安排的公务员医疗补助经费。</w:t>
      </w:r>
    </w:p>
    <w:p w14:paraId="399A5016">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15.住房保障支出（类）住房改革支出（款）住房公积金（项）：指反映行政事业单位按人力资源和社会保障部、财政部规定的基本工资和津贴补贴以及规定比例为职工缴纳的住房公积金。</w:t>
      </w:r>
    </w:p>
    <w:p w14:paraId="72F52C8D">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16.基本支出：指为保障机构正常运转、完成日常工作任务而发生的人员支出和公用支出。</w:t>
      </w:r>
    </w:p>
    <w:p w14:paraId="696482D5">
      <w:pPr>
        <w:pStyle w:val="25"/>
        <w:spacing w:beforeLines="0" w:afterLines="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17.项目支出：指在基本支出之外为完成特定行政任务和事业发展目标所发生的支出。 </w:t>
      </w:r>
    </w:p>
    <w:p w14:paraId="56440921">
      <w:pPr>
        <w:pStyle w:val="25"/>
        <w:spacing w:line="560" w:lineRule="exact"/>
        <w:ind w:firstLine="640" w:firstLineChars="200"/>
        <w:rPr>
          <w:rFonts w:ascii="仿宋_GB2312" w:eastAsia="仿宋_GB2312"/>
          <w:color w:val="auto"/>
          <w:sz w:val="32"/>
          <w:szCs w:val="32"/>
        </w:rPr>
      </w:pPr>
      <w:r>
        <w:rPr>
          <w:rFonts w:hint="eastAsia" w:ascii="仿宋_GB2312" w:hAnsi="Times New Roman" w:eastAsia="仿宋_GB2312"/>
          <w:color w:val="auto"/>
          <w:sz w:val="32"/>
          <w:szCs w:val="24"/>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eastAsia="仿宋_GB2312"/>
          <w:color w:val="auto"/>
          <w:sz w:val="32"/>
          <w:szCs w:val="32"/>
        </w:rPr>
        <w:t>。</w:t>
      </w:r>
    </w:p>
    <w:p w14:paraId="18CA4C4D">
      <w:pPr>
        <w:pStyle w:val="25"/>
        <w:spacing w:line="560" w:lineRule="exact"/>
        <w:ind w:firstLine="640" w:firstLineChars="200"/>
        <w:rPr>
          <w:rFonts w:ascii="仿宋_GB2312" w:eastAsia="仿宋_GB2312" w:cs="黑体"/>
          <w:color w:val="auto"/>
          <w:sz w:val="32"/>
          <w:szCs w:val="32"/>
        </w:rPr>
      </w:pPr>
    </w:p>
    <w:p w14:paraId="2B7DF793">
      <w:pPr>
        <w:spacing w:line="600" w:lineRule="exact"/>
        <w:jc w:val="center"/>
        <w:outlineLvl w:val="0"/>
        <w:rPr>
          <w:rStyle w:val="27"/>
          <w:rFonts w:ascii="黑体" w:hAnsi="黑体" w:eastAsia="黑体"/>
          <w:b w:val="0"/>
        </w:rPr>
      </w:pPr>
      <w:bookmarkStart w:id="72" w:name="_Toc15377226"/>
      <w:r>
        <w:rPr>
          <w:rFonts w:ascii="宋体"/>
          <w:b/>
          <w:sz w:val="44"/>
          <w:szCs w:val="44"/>
        </w:rPr>
        <w:br w:type="page"/>
      </w:r>
      <w:bookmarkStart w:id="73" w:name="_Toc964"/>
      <w:bookmarkStart w:id="74" w:name="_Toc15396614"/>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7B04A93E">
      <w:pPr>
        <w:spacing w:line="572" w:lineRule="exact"/>
        <w:jc w:val="left"/>
        <w:outlineLvl w:val="9"/>
        <w:rPr>
          <w:rFonts w:ascii="仿宋_GB2312" w:hAnsi="仿宋_GB2312" w:eastAsia="仿宋_GB2312" w:cs="仿宋_GB2312"/>
          <w:sz w:val="32"/>
          <w:szCs w:val="32"/>
        </w:rPr>
      </w:pPr>
    </w:p>
    <w:p w14:paraId="16314E47">
      <w:pPr>
        <w:spacing w:line="600" w:lineRule="exact"/>
        <w:jc w:val="center"/>
        <w:outlineLvl w:val="1"/>
        <w:rPr>
          <w:rFonts w:ascii="黑体" w:hAnsi="黑体" w:eastAsia="黑体"/>
          <w:color w:val="FF0000"/>
          <w:sz w:val="44"/>
          <w:szCs w:val="44"/>
        </w:rPr>
      </w:pPr>
      <w:bookmarkStart w:id="75" w:name="_Toc3048"/>
      <w:bookmarkStart w:id="76" w:name="_Toc15396618"/>
      <w:r>
        <w:rPr>
          <w:rFonts w:hint="eastAsia"/>
          <w:sz w:val="32"/>
          <w:szCs w:val="32"/>
        </w:rPr>
        <w:t>部门预算项目支出绩效自评表（2023年度）</w:t>
      </w:r>
      <w:bookmarkEnd w:id="75"/>
    </w:p>
    <w:p w14:paraId="75E25C57">
      <w:pPr>
        <w:pStyle w:val="13"/>
        <w:spacing w:line="560" w:lineRule="exact"/>
        <w:ind w:left="0" w:leftChars="0" w:firstLine="640"/>
        <w:rPr>
          <w:sz w:val="32"/>
        </w:rPr>
      </w:pPr>
    </w:p>
    <w:p w14:paraId="3308E4DD">
      <w:pPr>
        <w:spacing w:beforeLines="0" w:afterLines="0" w:line="600" w:lineRule="exact"/>
        <w:ind w:firstLine="640"/>
        <w:rPr>
          <w:rFonts w:hAnsi="Calibri" w:eastAsia="仿宋_GB2312" w:cs="仿宋"/>
          <w:sz w:val="32"/>
          <w:lang w:val="zh-CN"/>
        </w:rPr>
      </w:pPr>
      <w:r>
        <w:rPr>
          <w:rFonts w:hint="eastAsia" w:ascii="仿宋_GB2312" w:hAnsi="仿宋_GB2312" w:eastAsia="仿宋_GB2312"/>
          <w:color w:val="auto"/>
          <w:sz w:val="32"/>
          <w:szCs w:val="24"/>
          <w:lang w:val="en-US"/>
        </w:rPr>
        <w:t>本单位项目主要为基层医疗机构基药补助、基本公共卫生服务补助资金，由主管部门统一进行绩效管理以及开展项目绩效评价工作。</w:t>
      </w:r>
    </w:p>
    <w:p w14:paraId="5411C076">
      <w:pPr>
        <w:pStyle w:val="5"/>
        <w:spacing w:before="93"/>
        <w:rPr>
          <w:rFonts w:hAnsi="Calibri" w:cs="仿宋"/>
          <w:sz w:val="32"/>
          <w:szCs w:val="32"/>
        </w:rPr>
      </w:pPr>
    </w:p>
    <w:p w14:paraId="2514DEC1">
      <w:pPr>
        <w:pStyle w:val="5"/>
        <w:spacing w:before="93"/>
        <w:rPr>
          <w:rFonts w:hAnsi="Calibri" w:cs="仿宋"/>
          <w:sz w:val="32"/>
          <w:szCs w:val="32"/>
        </w:rPr>
      </w:pPr>
    </w:p>
    <w:p w14:paraId="3697AEB0">
      <w:pPr>
        <w:pStyle w:val="5"/>
        <w:spacing w:before="93"/>
        <w:rPr>
          <w:rFonts w:hAnsi="Calibri" w:cs="仿宋"/>
          <w:sz w:val="32"/>
          <w:szCs w:val="32"/>
        </w:rPr>
      </w:pPr>
    </w:p>
    <w:p w14:paraId="6FAA5546">
      <w:pPr>
        <w:pStyle w:val="5"/>
        <w:spacing w:before="93"/>
        <w:rPr>
          <w:rFonts w:hAnsi="Calibri" w:cs="仿宋"/>
          <w:sz w:val="32"/>
          <w:szCs w:val="32"/>
        </w:rPr>
      </w:pPr>
    </w:p>
    <w:p w14:paraId="64D502AB">
      <w:pPr>
        <w:pStyle w:val="5"/>
        <w:spacing w:before="93"/>
        <w:rPr>
          <w:rFonts w:hAnsi="Calibri" w:cs="仿宋"/>
          <w:sz w:val="32"/>
          <w:szCs w:val="32"/>
        </w:rPr>
      </w:pPr>
    </w:p>
    <w:p w14:paraId="63865D4D">
      <w:pPr>
        <w:pStyle w:val="5"/>
        <w:spacing w:before="93"/>
        <w:rPr>
          <w:rFonts w:hAnsi="Calibri" w:cs="仿宋"/>
          <w:sz w:val="32"/>
          <w:szCs w:val="32"/>
        </w:rPr>
      </w:pPr>
    </w:p>
    <w:p w14:paraId="43101DC6">
      <w:pPr>
        <w:pStyle w:val="5"/>
        <w:spacing w:before="93"/>
        <w:rPr>
          <w:rFonts w:hAnsi="Calibri" w:cs="仿宋"/>
          <w:sz w:val="32"/>
          <w:szCs w:val="32"/>
        </w:rPr>
      </w:pPr>
    </w:p>
    <w:p w14:paraId="4DA4FEB0">
      <w:pPr>
        <w:pStyle w:val="5"/>
        <w:spacing w:before="93"/>
        <w:rPr>
          <w:rFonts w:hAnsi="Calibri" w:cs="仿宋"/>
          <w:sz w:val="32"/>
          <w:szCs w:val="32"/>
        </w:rPr>
      </w:pPr>
    </w:p>
    <w:p w14:paraId="6C35934D">
      <w:pPr>
        <w:pStyle w:val="5"/>
        <w:spacing w:before="93"/>
        <w:rPr>
          <w:rFonts w:hAnsi="Calibri" w:cs="仿宋"/>
          <w:sz w:val="32"/>
          <w:szCs w:val="32"/>
        </w:rPr>
      </w:pPr>
    </w:p>
    <w:p w14:paraId="553388BE">
      <w:pPr>
        <w:pStyle w:val="5"/>
        <w:spacing w:before="93"/>
        <w:rPr>
          <w:rFonts w:hAnsi="Calibri" w:cs="仿宋"/>
          <w:sz w:val="32"/>
          <w:szCs w:val="32"/>
        </w:rPr>
      </w:pPr>
    </w:p>
    <w:p w14:paraId="2B54A24F">
      <w:pPr>
        <w:pStyle w:val="5"/>
        <w:spacing w:before="93"/>
        <w:rPr>
          <w:rFonts w:hAnsi="Calibri" w:cs="仿宋"/>
          <w:sz w:val="32"/>
          <w:szCs w:val="32"/>
        </w:rPr>
      </w:pPr>
    </w:p>
    <w:p w14:paraId="2F10E890">
      <w:pPr>
        <w:pStyle w:val="5"/>
        <w:spacing w:before="93"/>
        <w:rPr>
          <w:rFonts w:hAnsi="Calibri" w:cs="仿宋"/>
          <w:sz w:val="32"/>
          <w:szCs w:val="32"/>
        </w:rPr>
      </w:pPr>
    </w:p>
    <w:p w14:paraId="3EADBE24">
      <w:pPr>
        <w:pStyle w:val="5"/>
        <w:spacing w:before="93"/>
        <w:rPr>
          <w:rFonts w:hAnsi="Calibri" w:cs="仿宋"/>
          <w:sz w:val="32"/>
          <w:szCs w:val="32"/>
        </w:rPr>
      </w:pPr>
    </w:p>
    <w:p w14:paraId="26417AC6">
      <w:pPr>
        <w:spacing w:line="600" w:lineRule="exact"/>
        <w:jc w:val="center"/>
        <w:outlineLvl w:val="0"/>
        <w:rPr>
          <w:rFonts w:ascii="仿宋" w:hAnsi="仿宋" w:eastAsia="仿宋"/>
        </w:rPr>
      </w:pPr>
      <w:bookmarkStart w:id="77" w:name="_Toc12725"/>
      <w:r>
        <w:rPr>
          <w:rFonts w:hint="eastAsia" w:ascii="黑体" w:hAnsi="黑体" w:eastAsia="黑体"/>
          <w:sz w:val="44"/>
          <w:szCs w:val="44"/>
        </w:rPr>
        <w:t>第</w:t>
      </w:r>
      <w:r>
        <w:rPr>
          <w:rStyle w:val="27"/>
          <w:rFonts w:hint="eastAsia" w:ascii="黑体" w:hAnsi="黑体" w:eastAsia="黑体"/>
          <w:b w:val="0"/>
        </w:rPr>
        <w:t>五部分 附表</w:t>
      </w:r>
      <w:bookmarkEnd w:id="72"/>
      <w:bookmarkEnd w:id="76"/>
      <w:bookmarkEnd w:id="77"/>
      <w:bookmarkStart w:id="78" w:name="_Toc15396619"/>
    </w:p>
    <w:p w14:paraId="24670700">
      <w:pPr>
        <w:pStyle w:val="3"/>
        <w:rPr>
          <w:rFonts w:ascii="仿宋" w:hAnsi="仿宋" w:eastAsia="仿宋"/>
        </w:rPr>
      </w:pPr>
      <w:bookmarkStart w:id="79" w:name="_Toc32722"/>
      <w:r>
        <w:rPr>
          <w:rFonts w:hint="eastAsia" w:ascii="仿宋" w:hAnsi="仿宋" w:eastAsia="仿宋"/>
          <w:b w:val="0"/>
        </w:rPr>
        <w:t>一、收</w:t>
      </w:r>
      <w:r>
        <w:rPr>
          <w:rStyle w:val="28"/>
          <w:rFonts w:hint="eastAsia" w:ascii="仿宋" w:hAnsi="仿宋" w:eastAsia="仿宋"/>
          <w:b w:val="0"/>
          <w:bCs w:val="0"/>
        </w:rPr>
        <w:t>入支出决算总表</w:t>
      </w:r>
      <w:bookmarkEnd w:id="78"/>
      <w:bookmarkEnd w:id="79"/>
    </w:p>
    <w:p w14:paraId="70EC8BB8">
      <w:pPr>
        <w:pStyle w:val="3"/>
        <w:rPr>
          <w:rFonts w:ascii="仿宋" w:hAnsi="仿宋" w:eastAsia="仿宋"/>
        </w:rPr>
      </w:pPr>
      <w:bookmarkStart w:id="80" w:name="_Toc15396620"/>
      <w:bookmarkStart w:id="81" w:name="_Toc10331"/>
      <w:r>
        <w:rPr>
          <w:rFonts w:hint="eastAsia" w:ascii="仿宋" w:hAnsi="仿宋" w:eastAsia="仿宋"/>
          <w:b w:val="0"/>
        </w:rPr>
        <w:t>二、收</w:t>
      </w:r>
      <w:r>
        <w:rPr>
          <w:rStyle w:val="28"/>
          <w:rFonts w:hint="eastAsia" w:ascii="仿宋" w:hAnsi="仿宋" w:eastAsia="仿宋"/>
          <w:b w:val="0"/>
          <w:bCs w:val="0"/>
        </w:rPr>
        <w:t>入决算表</w:t>
      </w:r>
      <w:bookmarkEnd w:id="80"/>
      <w:bookmarkEnd w:id="81"/>
    </w:p>
    <w:p w14:paraId="0EFC9962">
      <w:pPr>
        <w:pStyle w:val="3"/>
        <w:rPr>
          <w:rFonts w:ascii="仿宋" w:hAnsi="仿宋" w:eastAsia="仿宋"/>
        </w:rPr>
      </w:pPr>
      <w:bookmarkStart w:id="82" w:name="_Toc15396621"/>
      <w:bookmarkStart w:id="83" w:name="_Toc16852"/>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2"/>
      <w:bookmarkEnd w:id="83"/>
    </w:p>
    <w:p w14:paraId="79319DE2">
      <w:pPr>
        <w:pStyle w:val="3"/>
        <w:rPr>
          <w:rFonts w:ascii="仿宋" w:hAnsi="仿宋" w:eastAsia="仿宋"/>
          <w:b w:val="0"/>
        </w:rPr>
      </w:pPr>
      <w:bookmarkStart w:id="84" w:name="_Toc6432"/>
      <w:bookmarkStart w:id="85"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4"/>
      <w:bookmarkEnd w:id="85"/>
    </w:p>
    <w:p w14:paraId="59757234">
      <w:pPr>
        <w:pStyle w:val="3"/>
        <w:rPr>
          <w:rStyle w:val="28"/>
          <w:rFonts w:ascii="仿宋" w:hAnsi="仿宋" w:eastAsia="仿宋"/>
          <w:b w:val="0"/>
          <w:bCs w:val="0"/>
        </w:rPr>
      </w:pPr>
      <w:bookmarkStart w:id="86" w:name="_Toc15396623"/>
      <w:bookmarkStart w:id="87" w:name="_Toc2080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6"/>
      <w:bookmarkEnd w:id="87"/>
      <w:bookmarkStart w:id="88" w:name="_Toc15396624"/>
    </w:p>
    <w:p w14:paraId="07C73E36">
      <w:pPr>
        <w:pStyle w:val="3"/>
        <w:rPr>
          <w:rFonts w:ascii="仿宋" w:hAnsi="仿宋" w:eastAsia="仿宋"/>
        </w:rPr>
      </w:pPr>
      <w:bookmarkStart w:id="89" w:name="_Toc13110"/>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8"/>
      <w:bookmarkEnd w:id="89"/>
    </w:p>
    <w:p w14:paraId="1897EF4D">
      <w:pPr>
        <w:pStyle w:val="3"/>
        <w:rPr>
          <w:rFonts w:ascii="仿宋" w:hAnsi="仿宋" w:eastAsia="仿宋"/>
        </w:rPr>
      </w:pPr>
      <w:bookmarkStart w:id="90" w:name="_Toc15396625"/>
      <w:bookmarkStart w:id="91" w:name="_Toc24822"/>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0"/>
      <w:bookmarkEnd w:id="91"/>
    </w:p>
    <w:p w14:paraId="4BFE4D1D">
      <w:pPr>
        <w:pStyle w:val="3"/>
        <w:rPr>
          <w:rFonts w:ascii="仿宋" w:hAnsi="仿宋" w:eastAsia="仿宋"/>
        </w:rPr>
      </w:pPr>
      <w:bookmarkStart w:id="92" w:name="_Toc17628"/>
      <w:bookmarkStart w:id="93"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2"/>
      <w:bookmarkEnd w:id="93"/>
    </w:p>
    <w:p w14:paraId="67D5102D">
      <w:pPr>
        <w:pStyle w:val="3"/>
        <w:rPr>
          <w:rFonts w:ascii="仿宋" w:hAnsi="仿宋" w:eastAsia="仿宋"/>
        </w:rPr>
      </w:pPr>
      <w:bookmarkStart w:id="94" w:name="_Toc15396627"/>
      <w:bookmarkStart w:id="95" w:name="_Toc23021"/>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4"/>
      <w:bookmarkEnd w:id="95"/>
    </w:p>
    <w:p w14:paraId="250F208F">
      <w:pPr>
        <w:pStyle w:val="3"/>
        <w:rPr>
          <w:rFonts w:ascii="仿宋" w:hAnsi="仿宋" w:eastAsia="仿宋"/>
        </w:rPr>
      </w:pPr>
      <w:bookmarkStart w:id="96" w:name="_Toc15396628"/>
      <w:bookmarkStart w:id="97" w:name="_Toc32734"/>
      <w:r>
        <w:rPr>
          <w:rStyle w:val="28"/>
          <w:rFonts w:hint="eastAsia" w:ascii="仿宋" w:hAnsi="仿宋" w:eastAsia="仿宋"/>
          <w:b w:val="0"/>
          <w:bCs w:val="0"/>
        </w:rPr>
        <w:t>十、</w:t>
      </w:r>
      <w:bookmarkEnd w:id="9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7"/>
    </w:p>
    <w:p w14:paraId="74275681">
      <w:pPr>
        <w:pStyle w:val="3"/>
        <w:rPr>
          <w:rFonts w:ascii="仿宋" w:hAnsi="仿宋" w:eastAsia="仿宋"/>
        </w:rPr>
      </w:pPr>
      <w:bookmarkStart w:id="98" w:name="_Toc15396629"/>
      <w:bookmarkStart w:id="99" w:name="_Toc10311"/>
      <w:r>
        <w:rPr>
          <w:rStyle w:val="28"/>
          <w:rFonts w:hint="eastAsia" w:ascii="仿宋" w:hAnsi="仿宋" w:eastAsia="仿宋"/>
          <w:b w:val="0"/>
          <w:bCs w:val="0"/>
        </w:rPr>
        <w:t>十一、</w:t>
      </w:r>
      <w:bookmarkEnd w:id="98"/>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99"/>
    </w:p>
    <w:p w14:paraId="7A47F60E">
      <w:pPr>
        <w:pStyle w:val="3"/>
        <w:rPr>
          <w:rFonts w:ascii="仿宋" w:hAnsi="仿宋" w:eastAsia="仿宋"/>
        </w:rPr>
      </w:pPr>
      <w:bookmarkStart w:id="100" w:name="_Toc15396630"/>
      <w:bookmarkStart w:id="101" w:name="_Toc17225"/>
      <w:r>
        <w:rPr>
          <w:rStyle w:val="28"/>
          <w:rFonts w:hint="eastAsia" w:ascii="仿宋" w:hAnsi="仿宋" w:eastAsia="仿宋"/>
          <w:b w:val="0"/>
          <w:bCs w:val="0"/>
        </w:rPr>
        <w:t>十二、</w:t>
      </w:r>
      <w:bookmarkEnd w:id="100"/>
      <w:r>
        <w:rPr>
          <w:rStyle w:val="28"/>
          <w:rFonts w:hint="eastAsia" w:ascii="仿宋" w:hAnsi="仿宋" w:eastAsia="仿宋"/>
          <w:b w:val="0"/>
          <w:bCs w:val="0"/>
        </w:rPr>
        <w:t>国有资本经营预算财政拨款支出决算表</w:t>
      </w:r>
      <w:bookmarkEnd w:id="101"/>
    </w:p>
    <w:p w14:paraId="4C6FB774">
      <w:pPr>
        <w:pStyle w:val="3"/>
        <w:rPr>
          <w:rFonts w:eastAsia="仿宋"/>
        </w:rPr>
      </w:pPr>
      <w:bookmarkStart w:id="102" w:name="_Toc15396631"/>
      <w:bookmarkStart w:id="103" w:name="_Toc19649"/>
      <w:r>
        <w:rPr>
          <w:rStyle w:val="28"/>
          <w:rFonts w:hint="eastAsia" w:ascii="仿宋" w:hAnsi="仿宋" w:eastAsia="仿宋"/>
          <w:b w:val="0"/>
          <w:bCs w:val="0"/>
        </w:rPr>
        <w:t>十三、</w:t>
      </w:r>
      <w:bookmarkEnd w:id="102"/>
      <w:r>
        <w:rPr>
          <w:rStyle w:val="28"/>
          <w:rFonts w:hint="eastAsia" w:ascii="仿宋" w:hAnsi="仿宋" w:eastAsia="仿宋"/>
          <w:b w:val="0"/>
          <w:bCs w:val="0"/>
        </w:rPr>
        <w:t>财政拨款“三公”经费支出决算表</w:t>
      </w:r>
      <w:bookmarkEnd w:id="10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D54AEE0">
        <w:pPr>
          <w:pStyle w:val="9"/>
          <w:jc w:val="center"/>
        </w:pPr>
        <w:r>
          <w:fldChar w:fldCharType="begin"/>
        </w:r>
        <w:r>
          <w:instrText xml:space="preserve">PAGE   \* MERGEFORMAT</w:instrText>
        </w:r>
        <w:r>
          <w:fldChar w:fldCharType="separate"/>
        </w:r>
        <w:r>
          <w:rPr>
            <w:lang w:val="zh-CN"/>
          </w:rPr>
          <w:t>15</w:t>
        </w:r>
        <w:r>
          <w:fldChar w:fldCharType="end"/>
        </w:r>
      </w:p>
    </w:sdtContent>
  </w:sdt>
  <w:p w14:paraId="19BDBD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22E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2NzI0OThiMDhjYjY1YmFkNWU1MGU3NjJiZGZmM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71C3F2C"/>
    <w:rsid w:val="18015F3F"/>
    <w:rsid w:val="1AF500E1"/>
    <w:rsid w:val="1BE8440E"/>
    <w:rsid w:val="1D155CEE"/>
    <w:rsid w:val="1FDBBF84"/>
    <w:rsid w:val="20F57F95"/>
    <w:rsid w:val="238800BA"/>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D661CE7"/>
    <w:rsid w:val="3EE7C2F4"/>
    <w:rsid w:val="3F371B56"/>
    <w:rsid w:val="3F792ED8"/>
    <w:rsid w:val="3F9F3A96"/>
    <w:rsid w:val="3FECA4B2"/>
    <w:rsid w:val="3FF58C48"/>
    <w:rsid w:val="42FF6694"/>
    <w:rsid w:val="44A4510A"/>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A39A1"/>
    <w:rsid w:val="68333127"/>
    <w:rsid w:val="69630ADE"/>
    <w:rsid w:val="69BD5F13"/>
    <w:rsid w:val="69FB0B4B"/>
    <w:rsid w:val="6BB25717"/>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A10B8D"/>
    <w:rsid w:val="79E7B28D"/>
    <w:rsid w:val="7ACFF0C2"/>
    <w:rsid w:val="7AFB9108"/>
    <w:rsid w:val="7BD5340C"/>
    <w:rsid w:val="7BFB19D2"/>
    <w:rsid w:val="7BFD1750"/>
    <w:rsid w:val="7BFDAA1B"/>
    <w:rsid w:val="7C1B314A"/>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4774</Words>
  <Characters>5150</Characters>
  <Lines>54</Lines>
  <Paragraphs>15</Paragraphs>
  <TotalTime>4</TotalTime>
  <ScaleCrop>false</ScaleCrop>
  <LinksUpToDate>false</LinksUpToDate>
  <CharactersWithSpaces>5266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晓凤</cp:lastModifiedBy>
  <cp:lastPrinted>2023-08-03T02:35:00Z</cp:lastPrinted>
  <dcterms:modified xsi:type="dcterms:W3CDTF">2024-10-24T03:28:19Z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FC7A27D5E6FB47A3B6FD43DADDF51B8E_12</vt:lpwstr>
  </property>
</Properties>
</file>