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503CC">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DA67B43">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峨边彝族自治县沙坪镇共和卫生院</w:t>
      </w:r>
    </w:p>
    <w:p w14:paraId="75A4BC7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321E4C0E">
      <w:pPr>
        <w:jc w:val="center"/>
        <w:rPr>
          <w:rFonts w:hint="eastAsia" w:ascii="方正小标宋简体" w:hAnsi="方正小标宋简体" w:eastAsia="方正小标宋简体" w:cs="方正小标宋简体"/>
          <w:b w:val="0"/>
          <w:bCs/>
          <w:sz w:val="52"/>
          <w:szCs w:val="52"/>
          <w:lang w:val="en-US" w:eastAsia="zh-CN"/>
        </w:rPr>
      </w:pPr>
    </w:p>
    <w:p w14:paraId="4A96F978">
      <w:pPr>
        <w:jc w:val="both"/>
        <w:rPr>
          <w:rFonts w:hint="default"/>
          <w:b/>
          <w:bCs/>
          <w:sz w:val="52"/>
          <w:szCs w:val="52"/>
          <w:lang w:val="en-US" w:eastAsia="zh-CN"/>
        </w:rPr>
      </w:pPr>
    </w:p>
    <w:p w14:paraId="187F3B72">
      <w:pPr>
        <w:jc w:val="both"/>
        <w:rPr>
          <w:rFonts w:hint="default"/>
          <w:b/>
          <w:bCs/>
          <w:sz w:val="52"/>
          <w:szCs w:val="52"/>
          <w:lang w:val="en-US" w:eastAsia="zh-CN"/>
        </w:rPr>
      </w:pPr>
    </w:p>
    <w:p w14:paraId="10088B69">
      <w:pPr>
        <w:jc w:val="both"/>
        <w:rPr>
          <w:rFonts w:hint="default"/>
          <w:b/>
          <w:bCs/>
          <w:sz w:val="52"/>
          <w:szCs w:val="52"/>
          <w:lang w:val="en-US" w:eastAsia="zh-CN"/>
        </w:rPr>
      </w:pPr>
    </w:p>
    <w:p w14:paraId="4F270E4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峨边彝族自治县沙坪镇共和卫生院</w:t>
      </w:r>
    </w:p>
    <w:p w14:paraId="0D2EE820">
      <w:pPr>
        <w:ind w:left="0" w:leftChars="0" w:firstLine="0" w:firstLineChars="0"/>
        <w:jc w:val="both"/>
        <w:rPr>
          <w:rFonts w:hint="default"/>
          <w:b/>
          <w:bCs/>
          <w:sz w:val="32"/>
          <w:szCs w:val="32"/>
          <w:lang w:val="en-US" w:eastAsia="zh-CN"/>
        </w:rPr>
      </w:pPr>
    </w:p>
    <w:p w14:paraId="1488B0F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1C8675DF">
      <w:pPr>
        <w:jc w:val="both"/>
        <w:rPr>
          <w:rFonts w:hint="eastAsia"/>
          <w:b/>
          <w:bCs/>
          <w:sz w:val="32"/>
          <w:szCs w:val="32"/>
          <w:lang w:val="en-US" w:eastAsia="zh-CN"/>
        </w:rPr>
      </w:pPr>
    </w:p>
    <w:p w14:paraId="2A21C02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A6A3E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峨边彝族自治县沙坪镇共和卫生院单位概况</w:t>
      </w:r>
    </w:p>
    <w:p w14:paraId="19BDFA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9BA97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1F230D4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17"/>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17"/>
          <w:sz w:val="32"/>
          <w:szCs w:val="32"/>
          <w:lang w:val="en-US" w:eastAsia="zh-CN"/>
        </w:rPr>
        <w:t>峨边彝族自治县沙坪镇共和卫生院2026年单位预算表</w:t>
      </w:r>
    </w:p>
    <w:p w14:paraId="1B2407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BB865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7A090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D4544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ACD35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2E2A3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B4BF7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EB4A7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92A355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BC56C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FB805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12A74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B5682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2D079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4636B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EF20E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34"/>
          <w:sz w:val="32"/>
          <w:szCs w:val="32"/>
          <w:lang w:val="en-US" w:eastAsia="zh-CN"/>
        </w:rPr>
        <w:t>峨边彝族自治县沙坪镇共和卫生院2026年单位预算情况说明</w:t>
      </w:r>
    </w:p>
    <w:p w14:paraId="4AE10A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DE13FB1">
      <w:pPr>
        <w:pStyle w:val="2"/>
        <w:numPr>
          <w:ilvl w:val="0"/>
          <w:numId w:val="0"/>
        </w:numPr>
        <w:bidi w:val="0"/>
        <w:jc w:val="both"/>
        <w:rPr>
          <w:rFonts w:hint="default"/>
          <w:lang w:val="en-US" w:eastAsia="zh-CN"/>
        </w:rPr>
      </w:pPr>
    </w:p>
    <w:p w14:paraId="6B0AFB2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峨边彝族自治县沙坪镇共和卫生院单位概况</w:t>
      </w:r>
    </w:p>
    <w:p w14:paraId="1C7AE908">
      <w:pPr>
        <w:widowControl w:val="0"/>
        <w:numPr>
          <w:ilvl w:val="0"/>
          <w:numId w:val="0"/>
        </w:numPr>
        <w:jc w:val="both"/>
        <w:rPr>
          <w:rFonts w:hint="default"/>
          <w:b/>
          <w:bCs/>
          <w:sz w:val="52"/>
          <w:szCs w:val="52"/>
          <w:lang w:val="en-US" w:eastAsia="zh-CN"/>
        </w:rPr>
      </w:pPr>
    </w:p>
    <w:p w14:paraId="7F7B945D">
      <w:pPr>
        <w:widowControl w:val="0"/>
        <w:numPr>
          <w:ilvl w:val="0"/>
          <w:numId w:val="0"/>
        </w:numPr>
        <w:jc w:val="both"/>
        <w:rPr>
          <w:rFonts w:hint="default"/>
          <w:b/>
          <w:bCs/>
          <w:sz w:val="52"/>
          <w:szCs w:val="52"/>
          <w:lang w:val="en-US" w:eastAsia="zh-CN"/>
        </w:rPr>
      </w:pPr>
    </w:p>
    <w:p w14:paraId="62CE99BC">
      <w:pPr>
        <w:widowControl w:val="0"/>
        <w:numPr>
          <w:ilvl w:val="0"/>
          <w:numId w:val="0"/>
        </w:numPr>
        <w:jc w:val="both"/>
        <w:rPr>
          <w:rFonts w:hint="default"/>
          <w:b/>
          <w:bCs/>
          <w:sz w:val="52"/>
          <w:szCs w:val="52"/>
          <w:lang w:val="en-US" w:eastAsia="zh-CN"/>
        </w:rPr>
      </w:pPr>
    </w:p>
    <w:p w14:paraId="70EB4097">
      <w:pPr>
        <w:widowControl w:val="0"/>
        <w:numPr>
          <w:ilvl w:val="0"/>
          <w:numId w:val="0"/>
        </w:numPr>
        <w:jc w:val="both"/>
        <w:rPr>
          <w:rFonts w:hint="default"/>
          <w:b/>
          <w:bCs/>
          <w:sz w:val="52"/>
          <w:szCs w:val="52"/>
          <w:lang w:val="en-US" w:eastAsia="zh-CN"/>
        </w:rPr>
      </w:pPr>
    </w:p>
    <w:p w14:paraId="27043410">
      <w:pPr>
        <w:widowControl w:val="0"/>
        <w:numPr>
          <w:ilvl w:val="0"/>
          <w:numId w:val="0"/>
        </w:numPr>
        <w:jc w:val="both"/>
        <w:rPr>
          <w:rFonts w:hint="default"/>
          <w:b/>
          <w:bCs/>
          <w:sz w:val="52"/>
          <w:szCs w:val="52"/>
          <w:lang w:val="en-US" w:eastAsia="zh-CN"/>
        </w:rPr>
      </w:pPr>
    </w:p>
    <w:p w14:paraId="452B63F4">
      <w:pPr>
        <w:widowControl w:val="0"/>
        <w:numPr>
          <w:ilvl w:val="0"/>
          <w:numId w:val="0"/>
        </w:numPr>
        <w:jc w:val="both"/>
        <w:rPr>
          <w:rFonts w:hint="default"/>
          <w:b/>
          <w:bCs/>
          <w:sz w:val="52"/>
          <w:szCs w:val="52"/>
          <w:lang w:val="en-US" w:eastAsia="zh-CN"/>
        </w:rPr>
      </w:pPr>
    </w:p>
    <w:p w14:paraId="7C8D3847">
      <w:pPr>
        <w:bidi w:val="0"/>
        <w:rPr>
          <w:rFonts w:hint="eastAsia" w:ascii="黑体" w:hAnsi="黑体" w:eastAsia="黑体" w:cs="黑体"/>
          <w:lang w:val="en-US" w:eastAsia="zh-CN"/>
        </w:rPr>
      </w:pPr>
    </w:p>
    <w:p w14:paraId="58BC6B09">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8EBD916">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auto"/>
          <w:sz w:val="32"/>
          <w:szCs w:val="32"/>
        </w:rPr>
        <w:t>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4F1482C1">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7DDB17E5">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持续推进乡村振兴相关工作。2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高度重视意识形态工作的开展。3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安全生产工作常抓不懈。4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保质保量完成国家基本公共卫生各项指标性工作。5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加强人员培训和临床辅助科室建设，提升基本医疗服务能力。6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积极转变全院职工服务理念和服务态度，从根本上改变和提升人民群众的认可度和满意度</w:t>
      </w:r>
      <w:r>
        <w:rPr>
          <w:rFonts w:hint="eastAsia" w:ascii="仿宋_GB2312" w:hAnsi="仿宋_GB2312" w:eastAsia="仿宋_GB2312" w:cs="仿宋_GB2312"/>
          <w:color w:val="auto"/>
          <w:sz w:val="32"/>
          <w:szCs w:val="32"/>
          <w:lang w:eastAsia="zh-CN"/>
        </w:rPr>
        <w:t>。</w:t>
      </w:r>
    </w:p>
    <w:p w14:paraId="38C57E9B">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08E5E948">
      <w:pPr>
        <w:bidi w:val="0"/>
        <w:rPr>
          <w:rFonts w:hint="eastAsia" w:ascii="仿宋" w:hAnsi="仿宋" w:eastAsia="仿宋"/>
          <w:sz w:val="32"/>
          <w:szCs w:val="32"/>
        </w:rPr>
      </w:pPr>
      <w:r>
        <w:rPr>
          <w:rFonts w:hint="eastAsia" w:ascii="仿宋" w:hAnsi="仿宋" w:eastAsia="仿宋"/>
          <w:sz w:val="32"/>
          <w:szCs w:val="32"/>
        </w:rPr>
        <w:t>峨边彝族自治县沙坪镇共和卫生院预算单位1个，其中：事业单位1个。</w:t>
      </w:r>
    </w:p>
    <w:p w14:paraId="4B60B764">
      <w:pPr>
        <w:bidi w:val="0"/>
        <w:rPr>
          <w:rFonts w:hint="eastAsia" w:ascii="仿宋" w:hAnsi="仿宋" w:eastAsia="仿宋"/>
          <w:sz w:val="32"/>
          <w:szCs w:val="32"/>
        </w:rPr>
      </w:pPr>
      <w:r>
        <w:rPr>
          <w:rFonts w:hint="eastAsia" w:ascii="仿宋" w:hAnsi="仿宋" w:eastAsia="仿宋"/>
          <w:sz w:val="32"/>
          <w:szCs w:val="32"/>
        </w:rPr>
        <w:t>峨边彝族自治县沙坪镇共和卫生院总编制8名，其中：事业编制8名。在职人员总数8名，其中：事业8名。</w:t>
      </w:r>
    </w:p>
    <w:p w14:paraId="375FF9E0">
      <w:pPr>
        <w:spacing w:line="600" w:lineRule="exact"/>
        <w:ind w:firstLine="640" w:firstLineChars="200"/>
        <w:rPr>
          <w:rFonts w:hint="eastAsia" w:ascii="仿宋" w:hAnsi="仿宋" w:eastAsia="仿宋"/>
          <w:sz w:val="32"/>
          <w:szCs w:val="32"/>
        </w:rPr>
      </w:pPr>
    </w:p>
    <w:p w14:paraId="199816D1">
      <w:pPr>
        <w:spacing w:line="600" w:lineRule="exact"/>
        <w:ind w:firstLine="640" w:firstLineChars="200"/>
        <w:rPr>
          <w:rFonts w:hint="eastAsia" w:ascii="仿宋" w:hAnsi="仿宋" w:eastAsia="仿宋"/>
          <w:sz w:val="32"/>
          <w:szCs w:val="32"/>
        </w:rPr>
      </w:pPr>
    </w:p>
    <w:p w14:paraId="6B898BAB">
      <w:pPr>
        <w:spacing w:line="600" w:lineRule="exact"/>
        <w:ind w:left="0" w:leftChars="0" w:firstLine="0" w:firstLineChars="0"/>
        <w:rPr>
          <w:rFonts w:hint="eastAsia" w:ascii="仿宋" w:hAnsi="仿宋" w:eastAsia="仿宋"/>
          <w:sz w:val="32"/>
          <w:szCs w:val="32"/>
        </w:rPr>
      </w:pPr>
    </w:p>
    <w:p w14:paraId="1828F1ED">
      <w:pPr>
        <w:pStyle w:val="2"/>
        <w:numPr>
          <w:ilvl w:val="0"/>
          <w:numId w:val="0"/>
        </w:numPr>
        <w:bidi w:val="0"/>
        <w:jc w:val="both"/>
        <w:rPr>
          <w:rFonts w:hint="eastAsia"/>
          <w:lang w:val="en-US" w:eastAsia="zh-CN"/>
        </w:rPr>
      </w:pPr>
    </w:p>
    <w:p w14:paraId="22B77730">
      <w:pPr>
        <w:rPr>
          <w:rFonts w:hint="eastAsia"/>
          <w:lang w:val="en-US" w:eastAsia="zh-CN"/>
        </w:rPr>
      </w:pPr>
    </w:p>
    <w:p w14:paraId="0C20D8FF">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峨边彝族自治县沙坪镇共和卫生院</w:t>
      </w:r>
      <w:r>
        <w:rPr>
          <w:rFonts w:hint="eastAsia" w:ascii="方正小标宋简体" w:hAnsi="方正小标宋简体" w:eastAsia="方正小标宋简体" w:cs="方正小标宋简体"/>
          <w:b w:val="0"/>
          <w:bCs/>
          <w:sz w:val="52"/>
          <w:szCs w:val="52"/>
          <w:lang w:val="en-US" w:eastAsia="zh-CN"/>
        </w:rPr>
        <w:t>2026年单位预算表</w:t>
      </w:r>
    </w:p>
    <w:p w14:paraId="062C1729">
      <w:pPr>
        <w:spacing w:line="600" w:lineRule="exact"/>
        <w:rPr>
          <w:rFonts w:hint="default" w:ascii="仿宋" w:hAnsi="仿宋" w:eastAsia="仿宋" w:cs="Times New Roman"/>
          <w:sz w:val="32"/>
          <w:szCs w:val="32"/>
          <w:lang w:val="en-US" w:eastAsia="zh-CN"/>
        </w:rPr>
      </w:pPr>
    </w:p>
    <w:p w14:paraId="4B71FDF6">
      <w:pPr>
        <w:spacing w:line="600" w:lineRule="exact"/>
        <w:rPr>
          <w:rFonts w:hint="default" w:ascii="仿宋" w:hAnsi="仿宋" w:eastAsia="仿宋" w:cs="Times New Roman"/>
          <w:sz w:val="32"/>
          <w:szCs w:val="32"/>
          <w:lang w:val="en-US" w:eastAsia="zh-CN"/>
        </w:rPr>
      </w:pPr>
    </w:p>
    <w:p w14:paraId="5E787ED3">
      <w:pPr>
        <w:spacing w:line="600" w:lineRule="exact"/>
        <w:rPr>
          <w:rFonts w:hint="default" w:ascii="仿宋" w:hAnsi="仿宋" w:eastAsia="仿宋" w:cs="Times New Roman"/>
          <w:sz w:val="32"/>
          <w:szCs w:val="32"/>
          <w:lang w:val="en-US" w:eastAsia="zh-CN"/>
        </w:rPr>
      </w:pPr>
    </w:p>
    <w:p w14:paraId="758D90FC">
      <w:pPr>
        <w:spacing w:line="600" w:lineRule="exact"/>
        <w:rPr>
          <w:rFonts w:hint="default" w:ascii="仿宋" w:hAnsi="仿宋" w:eastAsia="仿宋" w:cs="Times New Roman"/>
          <w:sz w:val="32"/>
          <w:szCs w:val="32"/>
          <w:lang w:val="en-US" w:eastAsia="zh-CN"/>
        </w:rPr>
      </w:pPr>
    </w:p>
    <w:p w14:paraId="292355CB">
      <w:pPr>
        <w:spacing w:line="600" w:lineRule="exact"/>
        <w:rPr>
          <w:rFonts w:hint="default" w:ascii="仿宋" w:hAnsi="仿宋" w:eastAsia="仿宋" w:cs="Times New Roman"/>
          <w:sz w:val="32"/>
          <w:szCs w:val="32"/>
          <w:lang w:val="en-US" w:eastAsia="zh-CN"/>
        </w:rPr>
      </w:pPr>
    </w:p>
    <w:p w14:paraId="3C410547">
      <w:pPr>
        <w:spacing w:line="600" w:lineRule="exact"/>
        <w:rPr>
          <w:rFonts w:hint="default" w:ascii="仿宋" w:hAnsi="仿宋" w:eastAsia="仿宋" w:cs="Times New Roman"/>
          <w:sz w:val="32"/>
          <w:szCs w:val="32"/>
          <w:lang w:val="en-US" w:eastAsia="zh-CN"/>
        </w:rPr>
      </w:pPr>
    </w:p>
    <w:p w14:paraId="626DBEF5">
      <w:pPr>
        <w:spacing w:line="600" w:lineRule="exact"/>
        <w:rPr>
          <w:rFonts w:hint="default" w:ascii="仿宋" w:hAnsi="仿宋" w:eastAsia="仿宋" w:cs="Times New Roman"/>
          <w:sz w:val="32"/>
          <w:szCs w:val="32"/>
          <w:lang w:val="en-US" w:eastAsia="zh-CN"/>
        </w:rPr>
      </w:pPr>
    </w:p>
    <w:p w14:paraId="1D434EC8">
      <w:pPr>
        <w:spacing w:line="600" w:lineRule="exact"/>
        <w:rPr>
          <w:rFonts w:hint="default" w:ascii="仿宋" w:hAnsi="仿宋" w:eastAsia="仿宋" w:cs="Times New Roman"/>
          <w:sz w:val="32"/>
          <w:szCs w:val="32"/>
          <w:lang w:val="en-US" w:eastAsia="zh-CN"/>
        </w:rPr>
      </w:pPr>
    </w:p>
    <w:p w14:paraId="036B14EF">
      <w:pPr>
        <w:spacing w:line="600" w:lineRule="exact"/>
        <w:ind w:left="0" w:leftChars="0" w:firstLine="0" w:firstLineChars="0"/>
        <w:rPr>
          <w:rFonts w:hint="eastAsia" w:ascii="仿宋_GB2312" w:hAnsi="仿宋_GB2312" w:eastAsia="仿宋_GB2312" w:cs="仿宋_GB2312"/>
          <w:sz w:val="32"/>
          <w:szCs w:val="32"/>
          <w:lang w:val="en-US" w:eastAsia="zh-CN"/>
        </w:rPr>
      </w:pPr>
    </w:p>
    <w:p w14:paraId="4A4A4E6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详见附件2：峨边彝族自治县沙坪镇共和卫生院预算公开报表  </w:t>
      </w:r>
    </w:p>
    <w:p w14:paraId="3915D31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4D58848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549CFEC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1379801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1421886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50A2AA5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5348696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4EA8A4F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0CFD69C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7F0A8B7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7E5FBED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2039620"/>
            <wp:effectExtent l="0" t="0" r="6985" b="1778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88965" cy="2039620"/>
                    </a:xfrm>
                    <a:prstGeom prst="rect">
                      <a:avLst/>
                    </a:prstGeom>
                    <a:noFill/>
                    <a:ln>
                      <a:noFill/>
                    </a:ln>
                  </pic:spPr>
                </pic:pic>
              </a:graphicData>
            </a:graphic>
          </wp:inline>
        </w:drawing>
      </w:r>
    </w:p>
    <w:p w14:paraId="734CEA6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6D76D17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01D200D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6E8D5A3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330700"/>
            <wp:effectExtent l="0" t="0" r="7620" b="1270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330700"/>
                    </a:xfrm>
                    <a:prstGeom prst="rect">
                      <a:avLst/>
                    </a:prstGeom>
                    <a:noFill/>
                    <a:ln>
                      <a:noFill/>
                    </a:ln>
                  </pic:spPr>
                </pic:pic>
              </a:graphicData>
            </a:graphic>
          </wp:inline>
        </w:drawing>
      </w:r>
    </w:p>
    <w:p w14:paraId="2047E1C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251D6F0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4D2645D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1E08151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2665ACA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1C21C13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65FE51E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62F5F31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69D40D6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052B9F0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510C8A0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3B2FA46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870" cy="1159510"/>
            <wp:effectExtent l="0" t="0" r="5080" b="254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0870" cy="1159510"/>
                    </a:xfrm>
                    <a:prstGeom prst="rect">
                      <a:avLst/>
                    </a:prstGeom>
                    <a:noFill/>
                    <a:ln>
                      <a:noFill/>
                    </a:ln>
                  </pic:spPr>
                </pic:pic>
              </a:graphicData>
            </a:graphic>
          </wp:inline>
        </w:drawing>
      </w:r>
    </w:p>
    <w:p w14:paraId="6CCA8A1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4568FA3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4919980"/>
            <wp:effectExtent l="0" t="0" r="4445" b="1397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91505" cy="4919980"/>
                    </a:xfrm>
                    <a:prstGeom prst="rect">
                      <a:avLst/>
                    </a:prstGeom>
                    <a:noFill/>
                    <a:ln>
                      <a:noFill/>
                    </a:ln>
                  </pic:spPr>
                </pic:pic>
              </a:graphicData>
            </a:graphic>
          </wp:inline>
        </w:drawing>
      </w:r>
    </w:p>
    <w:p w14:paraId="70C0B11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37E1C87C">
      <w:pPr>
        <w:numPr>
          <w:ilvl w:val="0"/>
          <w:numId w:val="0"/>
        </w:numPr>
        <w:spacing w:line="240" w:lineRule="auto"/>
      </w:pPr>
      <w:r>
        <w:drawing>
          <wp:inline distT="0" distB="0" distL="114300" distR="114300">
            <wp:extent cx="5691505" cy="1108710"/>
            <wp:effectExtent l="0" t="0" r="4445" b="1524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1108710"/>
                    </a:xfrm>
                    <a:prstGeom prst="rect">
                      <a:avLst/>
                    </a:prstGeom>
                    <a:noFill/>
                    <a:ln>
                      <a:noFill/>
                    </a:ln>
                  </pic:spPr>
                </pic:pic>
              </a:graphicData>
            </a:graphic>
          </wp:inline>
        </w:drawing>
      </w:r>
    </w:p>
    <w:p w14:paraId="0FE9E992">
      <w:pPr>
        <w:numPr>
          <w:ilvl w:val="0"/>
          <w:numId w:val="0"/>
        </w:numPr>
        <w:spacing w:line="240" w:lineRule="auto"/>
      </w:pPr>
    </w:p>
    <w:p w14:paraId="3DD26787">
      <w:pPr>
        <w:numPr>
          <w:ilvl w:val="0"/>
          <w:numId w:val="0"/>
        </w:numPr>
        <w:spacing w:line="240" w:lineRule="auto"/>
      </w:pPr>
    </w:p>
    <w:p w14:paraId="7A7BB054">
      <w:pPr>
        <w:numPr>
          <w:ilvl w:val="0"/>
          <w:numId w:val="0"/>
        </w:numPr>
        <w:spacing w:line="240" w:lineRule="auto"/>
      </w:pPr>
    </w:p>
    <w:p w14:paraId="565CF298">
      <w:pPr>
        <w:numPr>
          <w:ilvl w:val="0"/>
          <w:numId w:val="0"/>
        </w:numPr>
        <w:spacing w:line="240" w:lineRule="auto"/>
      </w:pPr>
    </w:p>
    <w:p w14:paraId="7C3B270C">
      <w:pPr>
        <w:numPr>
          <w:ilvl w:val="0"/>
          <w:numId w:val="0"/>
        </w:numPr>
        <w:spacing w:line="240" w:lineRule="auto"/>
        <w:rPr>
          <w:rFonts w:hint="eastAsia"/>
          <w:lang w:val="en-US" w:eastAsia="zh-CN"/>
        </w:rPr>
      </w:pPr>
    </w:p>
    <w:p w14:paraId="313AEA29">
      <w:pPr>
        <w:numPr>
          <w:ilvl w:val="0"/>
          <w:numId w:val="0"/>
        </w:numPr>
        <w:ind w:leftChars="0"/>
        <w:jc w:val="both"/>
        <w:rPr>
          <w:rFonts w:hint="eastAsia"/>
          <w:b/>
          <w:bCs/>
          <w:sz w:val="52"/>
          <w:szCs w:val="52"/>
          <w:lang w:val="en-US" w:eastAsia="zh-CN"/>
        </w:rPr>
      </w:pPr>
    </w:p>
    <w:p w14:paraId="42142D33">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峨边彝族自治县沙坪镇共和卫生院</w:t>
      </w:r>
      <w:r>
        <w:rPr>
          <w:rFonts w:hint="eastAsia" w:ascii="方正小标宋简体" w:hAnsi="方正小标宋简体" w:eastAsia="方正小标宋简体" w:cs="方正小标宋简体"/>
          <w:b w:val="0"/>
          <w:bCs/>
          <w:sz w:val="52"/>
          <w:szCs w:val="52"/>
          <w:lang w:val="en-US" w:eastAsia="zh-CN"/>
        </w:rPr>
        <w:t>2026年单位预算情况说明</w:t>
      </w:r>
    </w:p>
    <w:p w14:paraId="673A5648">
      <w:pPr>
        <w:numPr>
          <w:ilvl w:val="0"/>
          <w:numId w:val="0"/>
        </w:numPr>
        <w:jc w:val="center"/>
        <w:rPr>
          <w:rFonts w:hint="default"/>
          <w:b/>
          <w:bCs/>
          <w:sz w:val="52"/>
          <w:szCs w:val="52"/>
          <w:lang w:val="en-US" w:eastAsia="zh-CN"/>
        </w:rPr>
      </w:pPr>
    </w:p>
    <w:p w14:paraId="651C13CF">
      <w:pPr>
        <w:numPr>
          <w:ilvl w:val="0"/>
          <w:numId w:val="0"/>
        </w:numPr>
        <w:spacing w:line="600" w:lineRule="exact"/>
        <w:rPr>
          <w:rFonts w:hint="eastAsia" w:ascii="仿宋" w:hAnsi="仿宋" w:eastAsia="仿宋" w:cs="Times New Roman"/>
          <w:sz w:val="32"/>
          <w:szCs w:val="32"/>
          <w:lang w:val="en-US" w:eastAsia="zh-CN"/>
        </w:rPr>
      </w:pPr>
    </w:p>
    <w:p w14:paraId="0B76D667">
      <w:pPr>
        <w:numPr>
          <w:ilvl w:val="0"/>
          <w:numId w:val="0"/>
        </w:numPr>
        <w:spacing w:line="600" w:lineRule="exact"/>
        <w:rPr>
          <w:rFonts w:hint="eastAsia" w:ascii="仿宋" w:hAnsi="仿宋" w:eastAsia="仿宋" w:cs="Times New Roman"/>
          <w:sz w:val="32"/>
          <w:szCs w:val="32"/>
          <w:lang w:val="en-US" w:eastAsia="zh-CN"/>
        </w:rPr>
      </w:pPr>
    </w:p>
    <w:p w14:paraId="5CF955F0">
      <w:pPr>
        <w:numPr>
          <w:ilvl w:val="0"/>
          <w:numId w:val="0"/>
        </w:numPr>
        <w:spacing w:line="600" w:lineRule="exact"/>
        <w:rPr>
          <w:rFonts w:hint="eastAsia" w:ascii="仿宋" w:hAnsi="仿宋" w:eastAsia="仿宋" w:cs="Times New Roman"/>
          <w:sz w:val="32"/>
          <w:szCs w:val="32"/>
          <w:lang w:val="en-US" w:eastAsia="zh-CN"/>
        </w:rPr>
      </w:pPr>
    </w:p>
    <w:p w14:paraId="72A7ECD0">
      <w:pPr>
        <w:numPr>
          <w:ilvl w:val="0"/>
          <w:numId w:val="0"/>
        </w:numPr>
        <w:spacing w:line="600" w:lineRule="exact"/>
        <w:rPr>
          <w:rFonts w:hint="eastAsia" w:ascii="仿宋" w:hAnsi="仿宋" w:eastAsia="仿宋" w:cs="Times New Roman"/>
          <w:sz w:val="32"/>
          <w:szCs w:val="32"/>
          <w:lang w:val="en-US" w:eastAsia="zh-CN"/>
        </w:rPr>
      </w:pPr>
    </w:p>
    <w:p w14:paraId="346AFDE5">
      <w:pPr>
        <w:numPr>
          <w:ilvl w:val="0"/>
          <w:numId w:val="0"/>
        </w:numPr>
        <w:jc w:val="both"/>
        <w:rPr>
          <w:rFonts w:hint="default"/>
          <w:b/>
          <w:bCs/>
          <w:sz w:val="52"/>
          <w:szCs w:val="52"/>
          <w:lang w:val="en-US" w:eastAsia="zh-CN"/>
        </w:rPr>
      </w:pPr>
    </w:p>
    <w:p w14:paraId="27B8E35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1770C6E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按照综合预算的原则，峨边彝族自治县沙坪镇共和卫生院所有收入和支出均纳入部门预算管理。收入包括：一般公共预算拨款收入；支出包括：社会保障和就业支出、卫生健康支出、住房保障支出。</w:t>
      </w:r>
    </w:p>
    <w:p w14:paraId="7987EC2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峨边彝族自治县沙坪镇共和卫生院2026年收支总预算125万元，比2025年收支预算总数增加20.01万元，</w:t>
      </w:r>
      <w:r>
        <w:rPr>
          <w:rFonts w:hint="eastAsia" w:ascii="Times New Roman" w:hAnsi="Times New Roman" w:eastAsia="仿宋_GB2312" w:cs="仿宋_GB2312"/>
          <w:kern w:val="0"/>
          <w:sz w:val="32"/>
          <w:szCs w:val="32"/>
        </w:rPr>
        <w:t>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2026年人员经费预算增加</w:t>
      </w:r>
      <w:r>
        <w:rPr>
          <w:rFonts w:hint="eastAsia" w:ascii="Times New Roman" w:hAnsi="Times New Roman" w:eastAsia="仿宋_GB2312" w:cs="仿宋_GB2312"/>
          <w:kern w:val="0"/>
          <w:sz w:val="32"/>
          <w:szCs w:val="32"/>
        </w:rPr>
        <w:t>。</w:t>
      </w:r>
    </w:p>
    <w:p w14:paraId="501C658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195CE6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峨边彝族自治县沙坪镇共和卫生院2026年收入预算125万元，其中：上年结转0万元，占0.00%；一般公共预算拨款收入125万元，占100.00%；政府性基金预算拨款收入0万元，占0.00%；事业收入0万元，占0.00%。</w:t>
      </w:r>
    </w:p>
    <w:p w14:paraId="00596E62">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49A19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2026年支出预算125万元，其中：基本支出125万元，占100.00%；项目支出0万元，占0.00%。</w:t>
      </w:r>
    </w:p>
    <w:p w14:paraId="303CFCE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016A7C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峨边彝族自治县沙坪镇共和卫生院2026年财政拨款收支预算总数125万元，比2025年财政拨款收支预算总数104.99万元增加20.01万元，主要原因是2026年人员经费预算增加。</w:t>
      </w:r>
    </w:p>
    <w:p w14:paraId="521F3B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收入包括：本年一般公共预算拨款收入125万元、本年政府性基金预算拨款收入0万元；支出包括：社会保障和就业支出19.57万元、卫生健康支出93.24万元，住房保障支出12.18万元。</w:t>
      </w:r>
    </w:p>
    <w:p w14:paraId="1A9EAA05">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4592C99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902178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峨边彝族自治县沙坪镇共和卫生院2026年一般公共预算当年拨款125万元，较上年预算数增加20.01万元。主要</w:t>
      </w:r>
      <w:r>
        <w:rPr>
          <w:rFonts w:hint="eastAsia" w:ascii="Times New Roman" w:hAnsi="Times New Roman" w:eastAsia="仿宋_GB2312" w:cs="仿宋_GB2312"/>
          <w:color w:val="000000"/>
          <w:kern w:val="0"/>
          <w:sz w:val="32"/>
          <w:szCs w:val="32"/>
          <w:lang w:val="en-US" w:eastAsia="zh-CN"/>
        </w:rPr>
        <w:t>原因</w:t>
      </w:r>
      <w:r>
        <w:rPr>
          <w:rFonts w:hint="eastAsia" w:ascii="Times New Roman" w:hAnsi="Times New Roman" w:eastAsia="仿宋_GB2312" w:cs="仿宋_GB2312"/>
          <w:color w:val="000000"/>
          <w:kern w:val="0"/>
          <w:sz w:val="32"/>
          <w:szCs w:val="32"/>
          <w:lang w:eastAsia="zh-CN"/>
        </w:rPr>
        <w:t>是</w:t>
      </w:r>
      <w:bookmarkStart w:id="0" w:name="_GoBack"/>
      <w:bookmarkEnd w:id="0"/>
      <w:r>
        <w:rPr>
          <w:rFonts w:hint="eastAsia" w:ascii="Times New Roman" w:hAnsi="Times New Roman" w:eastAsia="仿宋_GB2312" w:cs="仿宋_GB2312"/>
          <w:color w:val="000000"/>
          <w:kern w:val="0"/>
          <w:sz w:val="32"/>
          <w:szCs w:val="32"/>
          <w:lang w:eastAsia="zh-CN"/>
        </w:rPr>
        <w:t>2026年人员经费预算增加。</w:t>
      </w:r>
    </w:p>
    <w:p w14:paraId="6F9E5FC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46B097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社会保障和就业支出19.57万元，占15.66%；卫生健康支出93.24万元，占74.59%；住房保障支出12.18万元，占9.7</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w:t>
      </w:r>
    </w:p>
    <w:p w14:paraId="02F4D0A4">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4CEC77D3">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1.社会保障和就业（类）行政事业单位养老支出（款）机关事业单位基本养老支出（项）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w:t>
      </w:r>
      <w:r>
        <w:rPr>
          <w:rFonts w:hint="eastAsia" w:ascii="仿宋" w:hAnsi="仿宋" w:cs="仿宋"/>
          <w:color w:val="000000"/>
          <w:kern w:val="0"/>
          <w:sz w:val="32"/>
          <w:szCs w:val="32"/>
          <w:lang w:val="en-US" w:eastAsia="zh-CN"/>
        </w:rPr>
        <w:t>12.33</w:t>
      </w:r>
      <w:r>
        <w:rPr>
          <w:rFonts w:hint="eastAsia" w:ascii="仿宋" w:hAnsi="仿宋" w:eastAsia="仿宋" w:cs="仿宋"/>
          <w:color w:val="000000"/>
          <w:kern w:val="0"/>
          <w:sz w:val="32"/>
          <w:szCs w:val="32"/>
        </w:rPr>
        <w:t>万元，主要用于：实施养老保险制度后，部门按规定由单位缴纳的基本养老保险费支出。 </w:t>
      </w:r>
    </w:p>
    <w:p w14:paraId="10A309FC">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2.社会保障和就业（类）行政事业单位养老支出（款）机关事业单位职业年金缴费支出（项）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w:t>
      </w:r>
      <w:r>
        <w:rPr>
          <w:rFonts w:hint="eastAsia" w:ascii="仿宋" w:hAnsi="仿宋" w:cs="仿宋"/>
          <w:color w:val="000000"/>
          <w:kern w:val="0"/>
          <w:sz w:val="32"/>
          <w:szCs w:val="32"/>
          <w:lang w:val="en-US" w:eastAsia="zh-CN"/>
        </w:rPr>
        <w:t>6.16</w:t>
      </w:r>
      <w:r>
        <w:rPr>
          <w:rFonts w:hint="eastAsia" w:ascii="仿宋" w:hAnsi="仿宋" w:eastAsia="仿宋" w:cs="仿宋"/>
          <w:color w:val="000000"/>
          <w:kern w:val="0"/>
          <w:sz w:val="32"/>
          <w:szCs w:val="32"/>
        </w:rPr>
        <w:t>万元，主要用于：实施养老保险制度后，部门按规定由单位缴纳的职业年金支出。 </w:t>
      </w:r>
    </w:p>
    <w:p w14:paraId="375344A8">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3.社会保障和就业（类）其他社会保障和就业支出（款）其他社会保障和就业支出（项）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w:t>
      </w:r>
      <w:r>
        <w:rPr>
          <w:rFonts w:hint="eastAsia" w:ascii="仿宋" w:hAnsi="仿宋" w:cs="仿宋"/>
          <w:color w:val="000000"/>
          <w:kern w:val="0"/>
          <w:sz w:val="32"/>
          <w:szCs w:val="32"/>
          <w:lang w:val="en-US" w:eastAsia="zh-CN"/>
        </w:rPr>
        <w:t>1.08</w:t>
      </w:r>
      <w:r>
        <w:rPr>
          <w:rFonts w:hint="eastAsia" w:ascii="仿宋" w:hAnsi="仿宋" w:eastAsia="仿宋" w:cs="仿宋"/>
          <w:color w:val="000000"/>
          <w:kern w:val="0"/>
          <w:sz w:val="32"/>
          <w:szCs w:val="32"/>
        </w:rPr>
        <w:t>万元，主要用于：其他社会保障和就业方面的支出。</w:t>
      </w:r>
    </w:p>
    <w:p w14:paraId="31C91CED">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4.卫生健康支出（类）基层医疗卫生机构（款）乡镇卫生院（项）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w:t>
      </w:r>
      <w:r>
        <w:rPr>
          <w:rFonts w:hint="eastAsia" w:ascii="仿宋" w:hAnsi="仿宋" w:cs="仿宋"/>
          <w:color w:val="000000"/>
          <w:kern w:val="0"/>
          <w:sz w:val="32"/>
          <w:szCs w:val="32"/>
          <w:lang w:val="en-US" w:eastAsia="zh-CN"/>
        </w:rPr>
        <w:t>88.16</w:t>
      </w:r>
      <w:r>
        <w:rPr>
          <w:rFonts w:hint="eastAsia" w:ascii="仿宋" w:hAnsi="仿宋" w:eastAsia="仿宋" w:cs="仿宋"/>
          <w:color w:val="000000"/>
          <w:kern w:val="0"/>
          <w:sz w:val="32"/>
          <w:szCs w:val="32"/>
        </w:rPr>
        <w:t>万元，主要用于：乡镇卫生院的支出。</w:t>
      </w:r>
    </w:p>
    <w:p w14:paraId="5BD5D3C2">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5.卫生健康支出（类）行政事业单位医疗（款）事业单位医疗（项）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w:t>
      </w:r>
      <w:r>
        <w:rPr>
          <w:rFonts w:hint="eastAsia" w:ascii="仿宋" w:hAnsi="仿宋" w:cs="仿宋"/>
          <w:color w:val="000000"/>
          <w:kern w:val="0"/>
          <w:sz w:val="32"/>
          <w:szCs w:val="32"/>
          <w:lang w:val="en-US" w:eastAsia="zh-CN"/>
        </w:rPr>
        <w:t>5.09</w:t>
      </w:r>
      <w:r>
        <w:rPr>
          <w:rFonts w:hint="eastAsia" w:ascii="仿宋" w:hAnsi="仿宋" w:eastAsia="仿宋" w:cs="仿宋"/>
          <w:color w:val="000000"/>
          <w:kern w:val="0"/>
          <w:sz w:val="32"/>
          <w:szCs w:val="32"/>
        </w:rPr>
        <w:t>万元，主要用于：事业单位基本医疗保险缴费经费。</w:t>
      </w:r>
    </w:p>
    <w:p w14:paraId="6C934BA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仿宋" w:hAnsi="仿宋" w:eastAsia="仿宋" w:cs="仿宋"/>
          <w:color w:val="000000"/>
          <w:kern w:val="0"/>
          <w:sz w:val="32"/>
          <w:szCs w:val="32"/>
        </w:rPr>
        <w:t>6.住房保障支出（类）住房改革支出（款）住房公积金（项）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w:t>
      </w:r>
      <w:r>
        <w:rPr>
          <w:rFonts w:hint="eastAsia" w:ascii="仿宋" w:hAnsi="仿宋" w:cs="仿宋"/>
          <w:color w:val="000000"/>
          <w:kern w:val="0"/>
          <w:sz w:val="32"/>
          <w:szCs w:val="32"/>
          <w:lang w:val="en-US" w:eastAsia="zh-CN"/>
        </w:rPr>
        <w:t>12.18</w:t>
      </w:r>
      <w:r>
        <w:rPr>
          <w:rFonts w:hint="eastAsia" w:ascii="仿宋" w:hAnsi="仿宋" w:eastAsia="仿宋" w:cs="仿宋"/>
          <w:color w:val="000000"/>
          <w:kern w:val="0"/>
          <w:sz w:val="32"/>
          <w:szCs w:val="32"/>
        </w:rPr>
        <w:t>万元，主要用于：部门按人力资源和社会保障部、财政部规定的基本工资和津贴补贴以及规定比例为职工缴纳的住房公积金支出</w:t>
      </w:r>
      <w:r>
        <w:rPr>
          <w:rFonts w:hint="eastAsia" w:ascii="Times New Roman" w:hAnsi="Times New Roman" w:eastAsia="仿宋_GB2312" w:cs="仿宋_GB2312"/>
          <w:color w:val="000000"/>
          <w:kern w:val="0"/>
          <w:sz w:val="32"/>
          <w:szCs w:val="32"/>
        </w:rPr>
        <w:t>。</w:t>
      </w:r>
    </w:p>
    <w:p w14:paraId="1F6257B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25C3554">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峨边彝族自治县沙坪镇共和卫生院2026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125</w:t>
      </w:r>
      <w:r>
        <w:rPr>
          <w:rFonts w:hint="eastAsia" w:ascii="Times New Roman" w:hAnsi="Times New Roman" w:eastAsia="仿宋_GB2312" w:cs="仿宋_GB2312"/>
          <w:color w:val="000000"/>
          <w:kern w:val="0"/>
          <w:sz w:val="32"/>
          <w:szCs w:val="32"/>
        </w:rPr>
        <w:t>万元，其中：</w:t>
      </w:r>
    </w:p>
    <w:p w14:paraId="5AD7E9D4">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人员经费1</w:t>
      </w:r>
      <w:r>
        <w:rPr>
          <w:rFonts w:hint="eastAsia" w:ascii="Times New Roman" w:hAnsi="Times New Roman" w:eastAsia="仿宋_GB2312" w:cs="仿宋_GB2312"/>
          <w:color w:val="000000"/>
          <w:kern w:val="0"/>
          <w:sz w:val="32"/>
          <w:szCs w:val="32"/>
          <w:lang w:val="en-US" w:eastAsia="zh-CN"/>
        </w:rPr>
        <w:t>20.55</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 伙食补助费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 绩效工资、机关事业单位基本养老保险缴费、职业年</w:t>
      </w:r>
      <w:r>
        <w:rPr>
          <w:rFonts w:hint="eastAsia" w:ascii="Times New Roman" w:hAnsi="Times New Roman" w:eastAsia="仿宋_GB2312" w:cs="仿宋_GB2312"/>
          <w:color w:val="auto"/>
          <w:spacing w:val="-6"/>
          <w:kern w:val="0"/>
          <w:sz w:val="32"/>
          <w:szCs w:val="32"/>
        </w:rPr>
        <w:t>金缴费、职工基本医疗保险缴费、其他社会保障缴费、住房公积金。</w:t>
      </w:r>
    </w:p>
    <w:p w14:paraId="1E06E062">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4.45</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工会经费、其他商品和服务支出。</w:t>
      </w:r>
    </w:p>
    <w:p w14:paraId="2CF6C66D">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212137CA">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峨边彝族自治县沙坪镇共和卫生院2026年没有使用政府性基金预算拨款安排的支出。</w:t>
      </w:r>
    </w:p>
    <w:p w14:paraId="7EF8CAD8">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1416055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峨边彝族自治县沙坪镇共和卫生院2026年没有使用国有资本经营预算拨款安排的支出。</w:t>
      </w:r>
    </w:p>
    <w:p w14:paraId="54B6EA2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E520A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峨边彝族自治县沙坪镇共和卫生院2026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640DE70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4C3B1CC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3AAEBBB4">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年公务接待费计划用于上级部门调研指导工作和其他区县卫健系统单位来我单位交流学习等。</w:t>
      </w:r>
    </w:p>
    <w:p w14:paraId="632C452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年均无公务用车运维费用预算。</w:t>
      </w:r>
    </w:p>
    <w:p w14:paraId="306D8E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7969BB6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41D3BDB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03CAB01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689A435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FBD540F">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峨边彝族自治县沙坪镇共和卫生院运行经费财政拨款预算为0万元，比202</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年预算增加0万元，主要原因是我单位为事业单位，无机关运行经费预算</w:t>
      </w:r>
      <w:r>
        <w:rPr>
          <w:rFonts w:hint="eastAsia" w:ascii="Times New Roman" w:hAnsi="Times New Roman" w:eastAsia="仿宋_GB2312" w:cs="仿宋_GB2312"/>
          <w:color w:val="000000"/>
          <w:sz w:val="32"/>
          <w:szCs w:val="32"/>
          <w:shd w:val="clear" w:color="auto" w:fill="FFFFFF"/>
        </w:rPr>
        <w:t>。</w:t>
      </w:r>
    </w:p>
    <w:p w14:paraId="0FC85A0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28F5ABD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峨边彝族自治县沙坪镇共和卫生院2026年无政府采购项目，未安排政府采购预算。</w:t>
      </w:r>
    </w:p>
    <w:p w14:paraId="27B3151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F455281">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年底，峨边彝族自治县沙坪镇共和卫生院所属各预算单位共有车辆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09212434">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67FA7C0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E3CE470">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2026年，峨边彝族自治县沙坪镇共和卫生院开展绩效目标管理的项目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125</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120.55</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4.45</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2FF2561F">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2C5C080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7A806D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C3FE824">
      <w:pPr>
        <w:widowControl/>
        <w:numPr>
          <w:ilvl w:val="0"/>
          <w:numId w:val="0"/>
        </w:numPr>
        <w:shd w:val="clear" w:color="auto" w:fill="FFFFFF"/>
        <w:jc w:val="left"/>
        <w:rPr>
          <w:rFonts w:hint="eastAsia" w:ascii="仿宋" w:hAnsi="宋体" w:eastAsia="仿宋" w:cs="宋体"/>
          <w:color w:val="000000"/>
          <w:kern w:val="0"/>
          <w:sz w:val="32"/>
          <w:szCs w:val="32"/>
        </w:rPr>
      </w:pPr>
    </w:p>
    <w:p w14:paraId="557B82FD">
      <w:pPr>
        <w:widowControl/>
        <w:numPr>
          <w:ilvl w:val="0"/>
          <w:numId w:val="0"/>
        </w:numPr>
        <w:shd w:val="clear" w:color="auto" w:fill="FFFFFF"/>
        <w:jc w:val="left"/>
        <w:rPr>
          <w:rFonts w:hint="eastAsia" w:ascii="仿宋" w:hAnsi="宋体" w:eastAsia="仿宋" w:cs="宋体"/>
          <w:color w:val="000000"/>
          <w:kern w:val="0"/>
          <w:sz w:val="32"/>
          <w:szCs w:val="32"/>
        </w:rPr>
      </w:pPr>
    </w:p>
    <w:p w14:paraId="7461B7DA">
      <w:pPr>
        <w:widowControl/>
        <w:numPr>
          <w:ilvl w:val="0"/>
          <w:numId w:val="0"/>
        </w:numPr>
        <w:shd w:val="clear" w:color="auto" w:fill="FFFFFF"/>
        <w:jc w:val="left"/>
        <w:rPr>
          <w:rFonts w:hint="eastAsia" w:ascii="仿宋" w:hAnsi="宋体" w:eastAsia="仿宋" w:cs="宋体"/>
          <w:color w:val="000000"/>
          <w:kern w:val="0"/>
          <w:sz w:val="32"/>
          <w:szCs w:val="32"/>
        </w:rPr>
      </w:pPr>
    </w:p>
    <w:p w14:paraId="4F6878F3">
      <w:pPr>
        <w:widowControl/>
        <w:numPr>
          <w:ilvl w:val="0"/>
          <w:numId w:val="0"/>
        </w:numPr>
        <w:shd w:val="clear" w:color="auto" w:fill="FFFFFF"/>
        <w:jc w:val="left"/>
        <w:rPr>
          <w:rFonts w:hint="eastAsia" w:ascii="仿宋" w:hAnsi="宋体" w:eastAsia="仿宋" w:cs="宋体"/>
          <w:color w:val="000000"/>
          <w:kern w:val="0"/>
          <w:sz w:val="32"/>
          <w:szCs w:val="32"/>
        </w:rPr>
      </w:pPr>
    </w:p>
    <w:p w14:paraId="10FC21B9">
      <w:pPr>
        <w:widowControl/>
        <w:numPr>
          <w:ilvl w:val="0"/>
          <w:numId w:val="0"/>
        </w:numPr>
        <w:shd w:val="clear" w:color="auto" w:fill="FFFFFF"/>
        <w:jc w:val="left"/>
        <w:rPr>
          <w:rFonts w:hint="eastAsia" w:ascii="仿宋" w:hAnsi="宋体" w:eastAsia="仿宋" w:cs="宋体"/>
          <w:color w:val="000000"/>
          <w:kern w:val="0"/>
          <w:sz w:val="32"/>
          <w:szCs w:val="32"/>
        </w:rPr>
      </w:pPr>
    </w:p>
    <w:p w14:paraId="5D6CE119">
      <w:pPr>
        <w:widowControl/>
        <w:numPr>
          <w:ilvl w:val="0"/>
          <w:numId w:val="0"/>
        </w:numPr>
        <w:shd w:val="clear" w:color="auto" w:fill="FFFFFF"/>
        <w:jc w:val="left"/>
        <w:rPr>
          <w:rFonts w:hint="eastAsia" w:ascii="仿宋" w:hAnsi="宋体" w:eastAsia="仿宋" w:cs="宋体"/>
          <w:color w:val="000000"/>
          <w:kern w:val="0"/>
          <w:sz w:val="32"/>
          <w:szCs w:val="32"/>
        </w:rPr>
      </w:pPr>
    </w:p>
    <w:p w14:paraId="28689EDD">
      <w:pPr>
        <w:widowControl/>
        <w:numPr>
          <w:ilvl w:val="0"/>
          <w:numId w:val="0"/>
        </w:numPr>
        <w:shd w:val="clear" w:color="auto" w:fill="FFFFFF"/>
        <w:jc w:val="left"/>
        <w:rPr>
          <w:rFonts w:hint="eastAsia" w:ascii="仿宋" w:hAnsi="宋体" w:eastAsia="仿宋" w:cs="宋体"/>
          <w:color w:val="000000"/>
          <w:kern w:val="0"/>
          <w:sz w:val="32"/>
          <w:szCs w:val="32"/>
        </w:rPr>
      </w:pPr>
    </w:p>
    <w:p w14:paraId="767EB965">
      <w:pPr>
        <w:widowControl/>
        <w:numPr>
          <w:ilvl w:val="0"/>
          <w:numId w:val="0"/>
        </w:numPr>
        <w:shd w:val="clear" w:color="auto" w:fill="FFFFFF"/>
        <w:jc w:val="left"/>
        <w:rPr>
          <w:rFonts w:hint="eastAsia" w:ascii="仿宋" w:hAnsi="宋体" w:eastAsia="仿宋" w:cs="宋体"/>
          <w:color w:val="000000"/>
          <w:kern w:val="0"/>
          <w:sz w:val="32"/>
          <w:szCs w:val="32"/>
        </w:rPr>
      </w:pPr>
    </w:p>
    <w:p w14:paraId="23FF0EF1">
      <w:pPr>
        <w:widowControl/>
        <w:numPr>
          <w:ilvl w:val="0"/>
          <w:numId w:val="0"/>
        </w:numPr>
        <w:shd w:val="clear" w:color="auto" w:fill="FFFFFF"/>
        <w:jc w:val="left"/>
        <w:rPr>
          <w:rFonts w:hint="eastAsia" w:ascii="仿宋" w:hAnsi="宋体" w:eastAsia="仿宋" w:cs="宋体"/>
          <w:color w:val="000000"/>
          <w:kern w:val="0"/>
          <w:sz w:val="32"/>
          <w:szCs w:val="32"/>
        </w:rPr>
      </w:pPr>
    </w:p>
    <w:p w14:paraId="5FF0DD18">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以外</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302BF708">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5D83A379">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C3A381-E375-43CB-8A3B-03264613DCE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9C8352D2-F5E3-487A-A701-F4DD1BA6E8B1}"/>
  </w:font>
  <w:font w:name="仿宋">
    <w:panose1 w:val="02010609060101010101"/>
    <w:charset w:val="86"/>
    <w:family w:val="auto"/>
    <w:pitch w:val="default"/>
    <w:sig w:usb0="800002BF" w:usb1="38CF7CFA" w:usb2="00000016" w:usb3="00000000" w:csb0="00040001" w:csb1="00000000"/>
    <w:embedRegular r:id="rId3" w:fontKey="{8F185020-0802-4472-ACCA-CF4FC97F75B3}"/>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FB971945-9B99-4F25-87D4-ACD00D11DC4F}"/>
  </w:font>
  <w:font w:name="楷体">
    <w:panose1 w:val="02010609060101010101"/>
    <w:charset w:val="86"/>
    <w:family w:val="auto"/>
    <w:pitch w:val="default"/>
    <w:sig w:usb0="800002BF" w:usb1="38CF7CFA" w:usb2="00000016" w:usb3="00000000" w:csb0="00040001" w:csb1="00000000"/>
    <w:embedRegular r:id="rId5" w:fontKey="{8863EBFB-2D5C-4EA0-A581-DB732383E816}"/>
  </w:font>
  <w:font w:name="楷体_GB2312">
    <w:panose1 w:val="02010609030101010101"/>
    <w:charset w:val="86"/>
    <w:family w:val="modern"/>
    <w:pitch w:val="default"/>
    <w:sig w:usb0="00000001" w:usb1="080E0000" w:usb2="00000000" w:usb3="00000000" w:csb0="00040000" w:csb1="00000000"/>
    <w:embedRegular r:id="rId6" w:fontKey="{607CD5AE-5274-4865-BB96-379E45418F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B659F">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916D9"/>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AD29F7"/>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50A23"/>
    <w:rsid w:val="18BD2FFF"/>
    <w:rsid w:val="18FC06F1"/>
    <w:rsid w:val="19007EC3"/>
    <w:rsid w:val="191B10A6"/>
    <w:rsid w:val="194D6E7F"/>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63586F"/>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2F4E02"/>
    <w:rsid w:val="45560CD4"/>
    <w:rsid w:val="459509CB"/>
    <w:rsid w:val="45F4689A"/>
    <w:rsid w:val="45FB4649"/>
    <w:rsid w:val="46074EE8"/>
    <w:rsid w:val="4637542D"/>
    <w:rsid w:val="46731EEB"/>
    <w:rsid w:val="46875D06"/>
    <w:rsid w:val="46BD4700"/>
    <w:rsid w:val="46CD28E5"/>
    <w:rsid w:val="47770CCA"/>
    <w:rsid w:val="477A2AB4"/>
    <w:rsid w:val="47B21296"/>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CE16B0"/>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CC31D85"/>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b7a2192f-22b3-4a4a-a10c-3f5bfbd55a07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1770C6E5</paraID>
      <start>47</start>
      <end>55</end>
      <status>ignored</status>
      <modifiedWord/>
      <trackRevisions>false</trackRevisions>
    </reviewItem>
    <reviewItem>
      <errorID>8b8a4b6e-a3db-4ab4-8618-4a687c914190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195CE6F4</paraID>
      <start>48</start>
      <end>56</end>
      <status>ignored</status>
      <modifiedWord/>
      <trackRevisions>false</trackRevisions>
    </reviewItem>
    <reviewItem>
      <errorID>63ce7a8f-69c3-489d-b530-bb284a6f4734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521F3BA2</paraID>
      <start>7</start>
      <end>15</end>
      <status>ignored</status>
      <modifiedWord/>
      <trackRevisions>false</trackRevisions>
    </reviewItem>
    <reviewItem>
      <errorID>21cc0b06-1d9d-42ee-834b-c2410cb9bb23</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4592C99F</paraID>
      <start>3</start>
      <end>13</end>
      <status>ignored</status>
      <modifiedWord/>
      <trackRevisions>false</trackRevisions>
    </reviewItem>
    <reviewItem>
      <errorID>d53b0fec-ce8b-4d98-8ea3-6423fa6a7b36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20C37CA2</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8c52c7-38d1-4953-b352-321571333648}">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4370</Words>
  <Characters>4664</Characters>
  <Lines>1</Lines>
  <Paragraphs>1</Paragraphs>
  <TotalTime>1</TotalTime>
  <ScaleCrop>false</ScaleCrop>
  <LinksUpToDate>false</LinksUpToDate>
  <CharactersWithSpaces>4697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2026-03-27T08:30:10Z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F7F3FAD68822477187235DC81A498258_12</vt:lpwstr>
  </property>
</Properties>
</file>