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4F85">
      <w:pPr>
        <w:spacing w:line="600" w:lineRule="exact"/>
        <w:jc w:val="left"/>
        <w:outlineLvl w:val="9"/>
        <w:rPr>
          <w:rFonts w:ascii="方正小标宋简体" w:hAnsi="宋体" w:eastAsia="方正小标宋简体"/>
          <w:szCs w:val="21"/>
        </w:rPr>
      </w:pPr>
      <w:bookmarkStart w:id="0" w:name="_Toc15306267"/>
    </w:p>
    <w:p w14:paraId="09D5BD96">
      <w:pPr>
        <w:pStyle w:val="5"/>
        <w:spacing w:before="93"/>
      </w:pPr>
    </w:p>
    <w:p w14:paraId="629E9874">
      <w:pPr>
        <w:spacing w:line="600" w:lineRule="exact"/>
        <w:jc w:val="center"/>
        <w:outlineLvl w:val="9"/>
        <w:rPr>
          <w:rFonts w:ascii="方正小标宋简体" w:hAnsi="宋体" w:eastAsia="方正小标宋简体"/>
          <w:sz w:val="72"/>
          <w:szCs w:val="72"/>
        </w:rPr>
      </w:pPr>
    </w:p>
    <w:p w14:paraId="341B5C08">
      <w:pPr>
        <w:spacing w:line="600" w:lineRule="exact"/>
        <w:jc w:val="center"/>
        <w:outlineLvl w:val="9"/>
        <w:rPr>
          <w:rFonts w:ascii="方正小标宋简体" w:hAnsi="宋体" w:eastAsia="方正小标宋简体"/>
          <w:sz w:val="72"/>
          <w:szCs w:val="72"/>
        </w:rPr>
      </w:pPr>
    </w:p>
    <w:p w14:paraId="145245BC">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28133"/>
      <w:bookmarkStart w:id="3" w:name="_Toc15377193"/>
      <w:bookmarkStart w:id="4" w:name="_Toc15396597"/>
      <w:bookmarkStart w:id="5" w:name="_Toc15377425"/>
      <w:bookmarkStart w:id="6"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180D0AA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06268"/>
      <w:bookmarkStart w:id="8" w:name="_Toc15396598"/>
      <w:bookmarkStart w:id="9" w:name="_Toc15377194"/>
      <w:bookmarkStart w:id="10" w:name="_Toc120"/>
      <w:bookmarkStart w:id="11" w:name="_Toc15396476"/>
      <w:bookmarkStart w:id="12" w:name="_Toc15378442"/>
      <w:bookmarkStart w:id="13" w:name="_Toc15377426"/>
      <w:r>
        <w:rPr>
          <w:rFonts w:hint="eastAsia" w:ascii="方正小标宋简体" w:hAnsi="方正小标宋简体" w:eastAsia="方正小标宋简体" w:cs="方正小标宋简体"/>
          <w:sz w:val="72"/>
          <w:szCs w:val="72"/>
        </w:rPr>
        <w:t>峨边彝族自治县沙坪镇共和卫生院单位决算</w:t>
      </w:r>
      <w:bookmarkEnd w:id="7"/>
      <w:bookmarkEnd w:id="8"/>
      <w:bookmarkEnd w:id="9"/>
      <w:bookmarkEnd w:id="10"/>
      <w:bookmarkEnd w:id="11"/>
      <w:bookmarkEnd w:id="12"/>
      <w:bookmarkEnd w:id="13"/>
    </w:p>
    <w:p w14:paraId="5A0F7F73">
      <w:pPr>
        <w:adjustRightInd w:val="0"/>
        <w:snapToGrid w:val="0"/>
        <w:spacing w:line="360" w:lineRule="auto"/>
        <w:jc w:val="center"/>
        <w:outlineLvl w:val="9"/>
        <w:rPr>
          <w:rFonts w:ascii="方正小标宋简体" w:hAnsi="宋体" w:eastAsia="方正小标宋简体"/>
          <w:sz w:val="52"/>
          <w:szCs w:val="52"/>
        </w:rPr>
      </w:pPr>
    </w:p>
    <w:p w14:paraId="5BE847C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271D680">
      <w:pPr>
        <w:widowControl/>
        <w:jc w:val="center"/>
        <w:rPr>
          <w:rFonts w:ascii="黑体" w:hAnsi="黑体" w:eastAsia="黑体" w:cstheme="minorBidi"/>
          <w:sz w:val="28"/>
          <w:szCs w:val="28"/>
        </w:rPr>
      </w:pPr>
    </w:p>
    <w:p w14:paraId="2710B1D8">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372298B9"/>
    <w:sdt>
      <w:sdtPr>
        <w:rPr>
          <w:rFonts w:ascii="宋体" w:hAnsi="宋体" w:eastAsia="宋体" w:cs="Times New Roman"/>
          <w:kern w:val="2"/>
          <w:sz w:val="21"/>
          <w:szCs w:val="24"/>
          <w:lang w:val="en-US" w:eastAsia="zh-CN" w:bidi="ar-SA"/>
        </w:rPr>
        <w:id w:val="147474276"/>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36A9A551">
          <w:pPr>
            <w:spacing w:before="0" w:beforeLines="0" w:after="0" w:afterLines="0" w:line="240" w:lineRule="auto"/>
            <w:ind w:left="0" w:leftChars="0" w:right="0" w:rightChars="0" w:firstLine="0" w:firstLineChars="0"/>
            <w:jc w:val="center"/>
            <w:rPr>
              <w:b/>
            </w:rPr>
          </w:pPr>
          <w:r>
            <w:rPr>
              <w:sz w:val="24"/>
            </w:rPr>
            <w:fldChar w:fldCharType="begin"/>
          </w:r>
          <w:r>
            <w:rPr>
              <w:sz w:val="24"/>
            </w:rPr>
            <w:instrText xml:space="preserve">TOC \o "1-2" \h \u </w:instrText>
          </w:r>
          <w:r>
            <w:rPr>
              <w:sz w:val="24"/>
            </w:rPr>
            <w:fldChar w:fldCharType="separate"/>
          </w:r>
        </w:p>
        <w:p w14:paraId="69170166">
          <w:pPr>
            <w:pStyle w:val="33"/>
            <w:tabs>
              <w:tab w:val="right" w:leader="dot" w:pos="8306"/>
            </w:tabs>
            <w:rPr>
              <w:b/>
            </w:rPr>
          </w:pPr>
          <w:r>
            <w:rPr>
              <w:b/>
            </w:rPr>
            <w:fldChar w:fldCharType="begin"/>
          </w:r>
          <w:r>
            <w:rPr>
              <w:b/>
            </w:rPr>
            <w:instrText xml:space="preserve"> HYPERLINK \l _Toc26237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_Toc26237 \h </w:instrText>
          </w:r>
          <w:r>
            <w:rPr>
              <w:b/>
            </w:rPr>
            <w:fldChar w:fldCharType="separate"/>
          </w:r>
          <w:r>
            <w:rPr>
              <w:b/>
            </w:rPr>
            <w:t>3</w:t>
          </w:r>
          <w:r>
            <w:rPr>
              <w:b/>
            </w:rPr>
            <w:fldChar w:fldCharType="end"/>
          </w:r>
          <w:r>
            <w:rPr>
              <w:b/>
            </w:rPr>
            <w:fldChar w:fldCharType="end"/>
          </w:r>
        </w:p>
        <w:p w14:paraId="67AFC37A">
          <w:pPr>
            <w:pStyle w:val="34"/>
            <w:tabs>
              <w:tab w:val="right" w:leader="dot" w:pos="8306"/>
            </w:tabs>
          </w:pPr>
          <w:r>
            <w:fldChar w:fldCharType="begin"/>
          </w:r>
          <w:r>
            <w:instrText xml:space="preserve"> HYPERLINK \l _Toc26658 </w:instrText>
          </w:r>
          <w:r>
            <w:fldChar w:fldCharType="separate"/>
          </w:r>
          <w:r>
            <w:rPr>
              <w:rFonts w:hint="eastAsia" w:ascii="黑体" w:hAnsi="黑体" w:eastAsia="黑体"/>
              <w:bCs w:val="0"/>
            </w:rPr>
            <w:t>一、 主要职责</w:t>
          </w:r>
          <w:r>
            <w:tab/>
          </w:r>
          <w:r>
            <w:fldChar w:fldCharType="begin"/>
          </w:r>
          <w:r>
            <w:instrText xml:space="preserve"> PAGEREF _Toc26658 \h </w:instrText>
          </w:r>
          <w:r>
            <w:fldChar w:fldCharType="separate"/>
          </w:r>
          <w:r>
            <w:t>3</w:t>
          </w:r>
          <w:r>
            <w:fldChar w:fldCharType="end"/>
          </w:r>
          <w:r>
            <w:fldChar w:fldCharType="end"/>
          </w:r>
        </w:p>
        <w:p w14:paraId="5DACF08F">
          <w:pPr>
            <w:pStyle w:val="34"/>
            <w:tabs>
              <w:tab w:val="right" w:leader="dot" w:pos="8306"/>
            </w:tabs>
          </w:pPr>
          <w:r>
            <w:fldChar w:fldCharType="begin"/>
          </w:r>
          <w:r>
            <w:instrText xml:space="preserve"> HYPERLINK \l _Toc24903 </w:instrText>
          </w:r>
          <w:r>
            <w:fldChar w:fldCharType="separate"/>
          </w:r>
          <w:r>
            <w:rPr>
              <w:rFonts w:hint="eastAsia" w:ascii="黑体" w:hAnsi="黑体" w:eastAsia="黑体"/>
            </w:rPr>
            <w:t>二、机构设置</w:t>
          </w:r>
          <w:r>
            <w:tab/>
          </w:r>
          <w:r>
            <w:fldChar w:fldCharType="begin"/>
          </w:r>
          <w:r>
            <w:instrText xml:space="preserve"> PAGEREF _Toc24903 \h </w:instrText>
          </w:r>
          <w:r>
            <w:fldChar w:fldCharType="separate"/>
          </w:r>
          <w:r>
            <w:t>3</w:t>
          </w:r>
          <w:r>
            <w:fldChar w:fldCharType="end"/>
          </w:r>
          <w:r>
            <w:fldChar w:fldCharType="end"/>
          </w:r>
        </w:p>
        <w:p w14:paraId="1DC3E7B5">
          <w:pPr>
            <w:pStyle w:val="33"/>
            <w:tabs>
              <w:tab w:val="right" w:leader="dot" w:pos="8306"/>
            </w:tabs>
            <w:rPr>
              <w:b/>
            </w:rPr>
          </w:pPr>
          <w:r>
            <w:rPr>
              <w:b/>
            </w:rPr>
            <w:fldChar w:fldCharType="begin"/>
          </w:r>
          <w:r>
            <w:rPr>
              <w:b/>
            </w:rPr>
            <w:instrText xml:space="preserve"> HYPERLINK \l _Toc28687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_Toc28687 \h </w:instrText>
          </w:r>
          <w:r>
            <w:rPr>
              <w:b/>
            </w:rPr>
            <w:fldChar w:fldCharType="separate"/>
          </w:r>
          <w:r>
            <w:rPr>
              <w:b/>
            </w:rPr>
            <w:t>4</w:t>
          </w:r>
          <w:r>
            <w:rPr>
              <w:b/>
            </w:rPr>
            <w:fldChar w:fldCharType="end"/>
          </w:r>
          <w:r>
            <w:rPr>
              <w:b/>
            </w:rPr>
            <w:fldChar w:fldCharType="end"/>
          </w:r>
        </w:p>
        <w:p w14:paraId="702266AC">
          <w:pPr>
            <w:pStyle w:val="34"/>
            <w:tabs>
              <w:tab w:val="right" w:leader="dot" w:pos="8306"/>
            </w:tabs>
          </w:pPr>
          <w:r>
            <w:fldChar w:fldCharType="begin"/>
          </w:r>
          <w:r>
            <w:instrText xml:space="preserve"> HYPERLINK \l _Toc14267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_Toc14267 \h </w:instrText>
          </w:r>
          <w:r>
            <w:fldChar w:fldCharType="separate"/>
          </w:r>
          <w:r>
            <w:t>4</w:t>
          </w:r>
          <w:r>
            <w:fldChar w:fldCharType="end"/>
          </w:r>
          <w:r>
            <w:fldChar w:fldCharType="end"/>
          </w:r>
        </w:p>
        <w:p w14:paraId="4993072E">
          <w:pPr>
            <w:pStyle w:val="34"/>
            <w:tabs>
              <w:tab w:val="right" w:leader="dot" w:pos="8306"/>
            </w:tabs>
          </w:pPr>
          <w:r>
            <w:fldChar w:fldCharType="begin"/>
          </w:r>
          <w:r>
            <w:instrText xml:space="preserve"> HYPERLINK \l _Toc7320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_Toc7320 \h </w:instrText>
          </w:r>
          <w:r>
            <w:fldChar w:fldCharType="separate"/>
          </w:r>
          <w:r>
            <w:t>4</w:t>
          </w:r>
          <w:r>
            <w:fldChar w:fldCharType="end"/>
          </w:r>
          <w:r>
            <w:fldChar w:fldCharType="end"/>
          </w:r>
        </w:p>
        <w:p w14:paraId="01C8CEDE">
          <w:pPr>
            <w:pStyle w:val="34"/>
            <w:tabs>
              <w:tab w:val="right" w:leader="dot" w:pos="8306"/>
            </w:tabs>
          </w:pPr>
          <w:r>
            <w:fldChar w:fldCharType="begin"/>
          </w:r>
          <w:r>
            <w:instrText xml:space="preserve"> HYPERLINK \l _Toc31334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_Toc31334 \h </w:instrText>
          </w:r>
          <w:r>
            <w:fldChar w:fldCharType="separate"/>
          </w:r>
          <w:r>
            <w:t>5</w:t>
          </w:r>
          <w:r>
            <w:fldChar w:fldCharType="end"/>
          </w:r>
          <w:r>
            <w:fldChar w:fldCharType="end"/>
          </w:r>
        </w:p>
        <w:p w14:paraId="61D88BFB">
          <w:pPr>
            <w:pStyle w:val="34"/>
            <w:tabs>
              <w:tab w:val="right" w:leader="dot" w:pos="8306"/>
            </w:tabs>
          </w:pPr>
          <w:r>
            <w:fldChar w:fldCharType="begin"/>
          </w:r>
          <w:r>
            <w:instrText xml:space="preserve"> HYPERLINK \l _Toc11844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_Toc11844 \h </w:instrText>
          </w:r>
          <w:r>
            <w:fldChar w:fldCharType="separate"/>
          </w:r>
          <w:r>
            <w:t>6</w:t>
          </w:r>
          <w:r>
            <w:fldChar w:fldCharType="end"/>
          </w:r>
          <w:r>
            <w:fldChar w:fldCharType="end"/>
          </w:r>
        </w:p>
        <w:p w14:paraId="0DCF25E7">
          <w:pPr>
            <w:pStyle w:val="34"/>
            <w:tabs>
              <w:tab w:val="right" w:leader="dot" w:pos="8306"/>
            </w:tabs>
          </w:pPr>
          <w:r>
            <w:fldChar w:fldCharType="begin"/>
          </w:r>
          <w:r>
            <w:instrText xml:space="preserve"> HYPERLINK \l _Toc12153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_Toc12153 \h </w:instrText>
          </w:r>
          <w:r>
            <w:fldChar w:fldCharType="separate"/>
          </w:r>
          <w:r>
            <w:t>6</w:t>
          </w:r>
          <w:r>
            <w:fldChar w:fldCharType="end"/>
          </w:r>
          <w:r>
            <w:fldChar w:fldCharType="end"/>
          </w:r>
        </w:p>
        <w:p w14:paraId="493F15BD">
          <w:pPr>
            <w:pStyle w:val="34"/>
            <w:tabs>
              <w:tab w:val="right" w:leader="dot" w:pos="8306"/>
            </w:tabs>
          </w:pPr>
          <w:r>
            <w:fldChar w:fldCharType="begin"/>
          </w:r>
          <w:r>
            <w:instrText xml:space="preserve"> HYPERLINK \l _Toc13744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_Toc13744 \h </w:instrText>
          </w:r>
          <w:r>
            <w:fldChar w:fldCharType="separate"/>
          </w:r>
          <w:r>
            <w:t>9</w:t>
          </w:r>
          <w:r>
            <w:fldChar w:fldCharType="end"/>
          </w:r>
          <w:r>
            <w:fldChar w:fldCharType="end"/>
          </w:r>
        </w:p>
        <w:p w14:paraId="644D294A">
          <w:pPr>
            <w:pStyle w:val="34"/>
            <w:tabs>
              <w:tab w:val="right" w:leader="dot" w:pos="8306"/>
            </w:tabs>
          </w:pPr>
          <w:r>
            <w:fldChar w:fldCharType="begin"/>
          </w:r>
          <w:r>
            <w:instrText xml:space="preserve"> HYPERLINK \l _Toc22575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_Toc22575 \h </w:instrText>
          </w:r>
          <w:r>
            <w:fldChar w:fldCharType="separate"/>
          </w:r>
          <w:r>
            <w:t>9</w:t>
          </w:r>
          <w:r>
            <w:fldChar w:fldCharType="end"/>
          </w:r>
          <w:r>
            <w:fldChar w:fldCharType="end"/>
          </w:r>
        </w:p>
        <w:p w14:paraId="0CF8ECFE">
          <w:pPr>
            <w:pStyle w:val="34"/>
            <w:tabs>
              <w:tab w:val="right" w:leader="dot" w:pos="8306"/>
            </w:tabs>
          </w:pPr>
          <w:r>
            <w:fldChar w:fldCharType="begin"/>
          </w:r>
          <w:r>
            <w:instrText xml:space="preserve"> HYPERLINK \l _Toc14832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_Toc14832 \h </w:instrText>
          </w:r>
          <w:r>
            <w:fldChar w:fldCharType="separate"/>
          </w:r>
          <w:r>
            <w:t>11</w:t>
          </w:r>
          <w:r>
            <w:fldChar w:fldCharType="end"/>
          </w:r>
          <w:r>
            <w:fldChar w:fldCharType="end"/>
          </w:r>
        </w:p>
        <w:p w14:paraId="26BF9549">
          <w:pPr>
            <w:pStyle w:val="34"/>
            <w:tabs>
              <w:tab w:val="right" w:leader="dot" w:pos="8306"/>
            </w:tabs>
          </w:pPr>
          <w:r>
            <w:fldChar w:fldCharType="begin"/>
          </w:r>
          <w:r>
            <w:instrText xml:space="preserve"> HYPERLINK \l _Toc9831 </w:instrText>
          </w:r>
          <w:r>
            <w:fldChar w:fldCharType="separate"/>
          </w:r>
          <w:r>
            <w:rPr>
              <w:rFonts w:hint="eastAsia" w:ascii="黑体" w:hAnsi="黑体" w:eastAsia="黑体"/>
            </w:rPr>
            <w:t>九、 国有资本经营预算支出决算情况说明</w:t>
          </w:r>
          <w:r>
            <w:tab/>
          </w:r>
          <w:r>
            <w:fldChar w:fldCharType="begin"/>
          </w:r>
          <w:r>
            <w:instrText xml:space="preserve"> PAGEREF _Toc9831 \h </w:instrText>
          </w:r>
          <w:r>
            <w:fldChar w:fldCharType="separate"/>
          </w:r>
          <w:r>
            <w:t>11</w:t>
          </w:r>
          <w:r>
            <w:fldChar w:fldCharType="end"/>
          </w:r>
          <w:r>
            <w:fldChar w:fldCharType="end"/>
          </w:r>
        </w:p>
        <w:p w14:paraId="35CD27D8">
          <w:pPr>
            <w:pStyle w:val="34"/>
            <w:tabs>
              <w:tab w:val="right" w:leader="dot" w:pos="8306"/>
            </w:tabs>
          </w:pPr>
          <w:r>
            <w:fldChar w:fldCharType="begin"/>
          </w:r>
          <w:r>
            <w:instrText xml:space="preserve"> HYPERLINK \l _Toc9090 </w:instrText>
          </w:r>
          <w:r>
            <w:fldChar w:fldCharType="separate"/>
          </w:r>
          <w:r>
            <w:rPr>
              <w:rFonts w:hint="eastAsia" w:ascii="黑体" w:hAnsi="黑体" w:eastAsia="黑体"/>
            </w:rPr>
            <w:t>十、 其他重要事项的情况说明</w:t>
          </w:r>
          <w:r>
            <w:tab/>
          </w:r>
          <w:r>
            <w:fldChar w:fldCharType="begin"/>
          </w:r>
          <w:r>
            <w:instrText xml:space="preserve"> PAGEREF _Toc9090 \h </w:instrText>
          </w:r>
          <w:r>
            <w:fldChar w:fldCharType="separate"/>
          </w:r>
          <w:r>
            <w:t>11</w:t>
          </w:r>
          <w:r>
            <w:fldChar w:fldCharType="end"/>
          </w:r>
          <w:r>
            <w:fldChar w:fldCharType="end"/>
          </w:r>
        </w:p>
        <w:p w14:paraId="0507904F">
          <w:pPr>
            <w:pStyle w:val="33"/>
            <w:tabs>
              <w:tab w:val="right" w:leader="dot" w:pos="8306"/>
            </w:tabs>
          </w:pPr>
          <w:r>
            <w:rPr>
              <w:b/>
            </w:rPr>
            <w:fldChar w:fldCharType="begin"/>
          </w:r>
          <w:r>
            <w:rPr>
              <w:b/>
            </w:rPr>
            <w:instrText xml:space="preserve"> HYPERLINK \l _Toc15772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_Toc15772 \h </w:instrText>
          </w:r>
          <w:r>
            <w:rPr>
              <w:b/>
            </w:rPr>
            <w:fldChar w:fldCharType="separate"/>
          </w:r>
          <w:r>
            <w:rPr>
              <w:b/>
            </w:rPr>
            <w:t>13</w:t>
          </w:r>
          <w:r>
            <w:rPr>
              <w:b/>
            </w:rPr>
            <w:fldChar w:fldCharType="end"/>
          </w:r>
          <w:r>
            <w:rPr>
              <w:b/>
            </w:rPr>
            <w:fldChar w:fldCharType="end"/>
          </w:r>
        </w:p>
        <w:p w14:paraId="2437D57A">
          <w:pPr>
            <w:pStyle w:val="33"/>
            <w:tabs>
              <w:tab w:val="right" w:leader="dot" w:pos="8306"/>
            </w:tabs>
          </w:pPr>
          <w:r>
            <w:rPr>
              <w:b/>
            </w:rPr>
            <w:fldChar w:fldCharType="begin"/>
          </w:r>
          <w:r>
            <w:rPr>
              <w:b/>
            </w:rPr>
            <w:instrText xml:space="preserve"> HYPERLINK \l _Toc30208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_Toc30208 \h </w:instrText>
          </w:r>
          <w:r>
            <w:rPr>
              <w:b/>
            </w:rPr>
            <w:fldChar w:fldCharType="separate"/>
          </w:r>
          <w:r>
            <w:rPr>
              <w:b/>
            </w:rPr>
            <w:t>16</w:t>
          </w:r>
          <w:r>
            <w:rPr>
              <w:b/>
            </w:rPr>
            <w:fldChar w:fldCharType="end"/>
          </w:r>
          <w:r>
            <w:rPr>
              <w:b/>
            </w:rPr>
            <w:fldChar w:fldCharType="end"/>
          </w:r>
        </w:p>
        <w:p w14:paraId="6F9F53D5">
          <w:pPr>
            <w:pStyle w:val="33"/>
            <w:tabs>
              <w:tab w:val="right" w:leader="dot" w:pos="8306"/>
            </w:tabs>
            <w:rPr>
              <w:b/>
            </w:rPr>
          </w:pPr>
          <w:r>
            <w:rPr>
              <w:b/>
            </w:rPr>
            <w:fldChar w:fldCharType="begin"/>
          </w:r>
          <w:r>
            <w:rPr>
              <w:b/>
            </w:rPr>
            <w:instrText xml:space="preserve"> HYPERLINK \l _Toc8171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_Toc8171 \h </w:instrText>
          </w:r>
          <w:r>
            <w:rPr>
              <w:b/>
            </w:rPr>
            <w:fldChar w:fldCharType="separate"/>
          </w:r>
          <w:r>
            <w:rPr>
              <w:b/>
            </w:rPr>
            <w:t>17</w:t>
          </w:r>
          <w:r>
            <w:rPr>
              <w:b/>
            </w:rPr>
            <w:fldChar w:fldCharType="end"/>
          </w:r>
          <w:r>
            <w:rPr>
              <w:b/>
            </w:rPr>
            <w:fldChar w:fldCharType="end"/>
          </w:r>
        </w:p>
        <w:p w14:paraId="3747EF54">
          <w:pPr>
            <w:pStyle w:val="34"/>
            <w:tabs>
              <w:tab w:val="right" w:leader="dot" w:pos="8306"/>
            </w:tabs>
          </w:pPr>
          <w:r>
            <w:fldChar w:fldCharType="begin"/>
          </w:r>
          <w:r>
            <w:instrText xml:space="preserve"> HYPERLINK \l _Toc6994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_Toc6994 \h </w:instrText>
          </w:r>
          <w:r>
            <w:fldChar w:fldCharType="separate"/>
          </w:r>
          <w:r>
            <w:t>17</w:t>
          </w:r>
          <w:r>
            <w:fldChar w:fldCharType="end"/>
          </w:r>
          <w:r>
            <w:fldChar w:fldCharType="end"/>
          </w:r>
        </w:p>
        <w:p w14:paraId="72FAEEC5">
          <w:pPr>
            <w:pStyle w:val="34"/>
            <w:tabs>
              <w:tab w:val="right" w:leader="dot" w:pos="8306"/>
            </w:tabs>
          </w:pPr>
          <w:r>
            <w:fldChar w:fldCharType="begin"/>
          </w:r>
          <w:r>
            <w:instrText xml:space="preserve"> HYPERLINK \l _Toc6398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_Toc6398 \h </w:instrText>
          </w:r>
          <w:r>
            <w:fldChar w:fldCharType="separate"/>
          </w:r>
          <w:r>
            <w:t>17</w:t>
          </w:r>
          <w:r>
            <w:fldChar w:fldCharType="end"/>
          </w:r>
          <w:r>
            <w:fldChar w:fldCharType="end"/>
          </w:r>
        </w:p>
        <w:p w14:paraId="1806F58B">
          <w:pPr>
            <w:pStyle w:val="34"/>
            <w:tabs>
              <w:tab w:val="right" w:leader="dot" w:pos="8306"/>
            </w:tabs>
          </w:pPr>
          <w:r>
            <w:fldChar w:fldCharType="begin"/>
          </w:r>
          <w:r>
            <w:instrText xml:space="preserve"> HYPERLINK \l _Toc17925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_Toc17925 \h </w:instrText>
          </w:r>
          <w:r>
            <w:fldChar w:fldCharType="separate"/>
          </w:r>
          <w:r>
            <w:t>17</w:t>
          </w:r>
          <w:r>
            <w:fldChar w:fldCharType="end"/>
          </w:r>
          <w:r>
            <w:fldChar w:fldCharType="end"/>
          </w:r>
        </w:p>
        <w:p w14:paraId="5048DE35">
          <w:pPr>
            <w:pStyle w:val="34"/>
            <w:tabs>
              <w:tab w:val="right" w:leader="dot" w:pos="8306"/>
            </w:tabs>
          </w:pPr>
          <w:r>
            <w:fldChar w:fldCharType="begin"/>
          </w:r>
          <w:r>
            <w:instrText xml:space="preserve"> HYPERLINK \l _Toc11197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_Toc11197 \h </w:instrText>
          </w:r>
          <w:r>
            <w:fldChar w:fldCharType="separate"/>
          </w:r>
          <w:r>
            <w:t>17</w:t>
          </w:r>
          <w:r>
            <w:fldChar w:fldCharType="end"/>
          </w:r>
          <w:r>
            <w:fldChar w:fldCharType="end"/>
          </w:r>
        </w:p>
        <w:p w14:paraId="6E2D2329">
          <w:pPr>
            <w:pStyle w:val="34"/>
            <w:tabs>
              <w:tab w:val="right" w:leader="dot" w:pos="8306"/>
            </w:tabs>
          </w:pPr>
          <w:r>
            <w:fldChar w:fldCharType="begin"/>
          </w:r>
          <w:r>
            <w:instrText xml:space="preserve"> HYPERLINK \l _Toc22362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_Toc22362 \h </w:instrText>
          </w:r>
          <w:r>
            <w:fldChar w:fldCharType="separate"/>
          </w:r>
          <w:r>
            <w:t>17</w:t>
          </w:r>
          <w:r>
            <w:fldChar w:fldCharType="end"/>
          </w:r>
          <w:r>
            <w:fldChar w:fldCharType="end"/>
          </w:r>
        </w:p>
        <w:p w14:paraId="3255AE86">
          <w:pPr>
            <w:pStyle w:val="34"/>
            <w:tabs>
              <w:tab w:val="right" w:leader="dot" w:pos="8306"/>
            </w:tabs>
          </w:pPr>
          <w:r>
            <w:fldChar w:fldCharType="begin"/>
          </w:r>
          <w:r>
            <w:instrText xml:space="preserve"> HYPERLINK \l _Toc5290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_Toc5290 \h </w:instrText>
          </w:r>
          <w:r>
            <w:fldChar w:fldCharType="separate"/>
          </w:r>
          <w:r>
            <w:t>17</w:t>
          </w:r>
          <w:r>
            <w:fldChar w:fldCharType="end"/>
          </w:r>
          <w:r>
            <w:fldChar w:fldCharType="end"/>
          </w:r>
        </w:p>
        <w:p w14:paraId="5451E10B">
          <w:pPr>
            <w:pStyle w:val="34"/>
            <w:tabs>
              <w:tab w:val="right" w:leader="dot" w:pos="8306"/>
            </w:tabs>
          </w:pPr>
          <w:r>
            <w:fldChar w:fldCharType="begin"/>
          </w:r>
          <w:r>
            <w:instrText xml:space="preserve"> HYPERLINK \l _Toc22772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_Toc22772 \h </w:instrText>
          </w:r>
          <w:r>
            <w:fldChar w:fldCharType="separate"/>
          </w:r>
          <w:r>
            <w:t>17</w:t>
          </w:r>
          <w:r>
            <w:fldChar w:fldCharType="end"/>
          </w:r>
          <w:r>
            <w:fldChar w:fldCharType="end"/>
          </w:r>
        </w:p>
        <w:p w14:paraId="33044FB5">
          <w:pPr>
            <w:pStyle w:val="34"/>
            <w:tabs>
              <w:tab w:val="right" w:leader="dot" w:pos="8306"/>
            </w:tabs>
          </w:pPr>
          <w:r>
            <w:fldChar w:fldCharType="begin"/>
          </w:r>
          <w:r>
            <w:instrText xml:space="preserve"> HYPERLINK \l _Toc8537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_Toc8537 \h </w:instrText>
          </w:r>
          <w:r>
            <w:fldChar w:fldCharType="separate"/>
          </w:r>
          <w:r>
            <w:t>17</w:t>
          </w:r>
          <w:r>
            <w:fldChar w:fldCharType="end"/>
          </w:r>
          <w:r>
            <w:fldChar w:fldCharType="end"/>
          </w:r>
        </w:p>
        <w:p w14:paraId="0D967166">
          <w:pPr>
            <w:pStyle w:val="34"/>
            <w:tabs>
              <w:tab w:val="right" w:leader="dot" w:pos="8306"/>
            </w:tabs>
          </w:pPr>
          <w:r>
            <w:fldChar w:fldCharType="begin"/>
          </w:r>
          <w:r>
            <w:instrText xml:space="preserve"> HYPERLINK \l _Toc10898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_Toc10898 \h </w:instrText>
          </w:r>
          <w:r>
            <w:fldChar w:fldCharType="separate"/>
          </w:r>
          <w:r>
            <w:t>17</w:t>
          </w:r>
          <w:r>
            <w:fldChar w:fldCharType="end"/>
          </w:r>
          <w:r>
            <w:fldChar w:fldCharType="end"/>
          </w:r>
        </w:p>
        <w:p w14:paraId="2DAB35FB">
          <w:pPr>
            <w:pStyle w:val="34"/>
            <w:tabs>
              <w:tab w:val="right" w:leader="dot" w:pos="8306"/>
            </w:tabs>
          </w:pPr>
          <w:r>
            <w:fldChar w:fldCharType="begin"/>
          </w:r>
          <w:r>
            <w:instrText xml:space="preserve"> HYPERLINK \l _Toc16672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_Toc16672 \h </w:instrText>
          </w:r>
          <w:r>
            <w:fldChar w:fldCharType="separate"/>
          </w:r>
          <w:r>
            <w:t>17</w:t>
          </w:r>
          <w:r>
            <w:fldChar w:fldCharType="end"/>
          </w:r>
          <w:r>
            <w:fldChar w:fldCharType="end"/>
          </w:r>
        </w:p>
        <w:p w14:paraId="4BFA92A1">
          <w:pPr>
            <w:pStyle w:val="34"/>
            <w:tabs>
              <w:tab w:val="right" w:leader="dot" w:pos="8306"/>
            </w:tabs>
          </w:pPr>
          <w:r>
            <w:fldChar w:fldCharType="begin"/>
          </w:r>
          <w:r>
            <w:instrText xml:space="preserve"> HYPERLINK \l _Toc6778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_Toc6778 \h </w:instrText>
          </w:r>
          <w:r>
            <w:fldChar w:fldCharType="separate"/>
          </w:r>
          <w:r>
            <w:t>17</w:t>
          </w:r>
          <w:r>
            <w:fldChar w:fldCharType="end"/>
          </w:r>
          <w:r>
            <w:fldChar w:fldCharType="end"/>
          </w:r>
        </w:p>
        <w:p w14:paraId="19A7571C">
          <w:pPr>
            <w:pStyle w:val="34"/>
            <w:tabs>
              <w:tab w:val="right" w:leader="dot" w:pos="8306"/>
            </w:tabs>
          </w:pPr>
          <w:r>
            <w:fldChar w:fldCharType="begin"/>
          </w:r>
          <w:r>
            <w:instrText xml:space="preserve"> HYPERLINK \l _Toc23630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_Toc23630 \h </w:instrText>
          </w:r>
          <w:r>
            <w:fldChar w:fldCharType="separate"/>
          </w:r>
          <w:r>
            <w:t>17</w:t>
          </w:r>
          <w:r>
            <w:fldChar w:fldCharType="end"/>
          </w:r>
          <w:r>
            <w:fldChar w:fldCharType="end"/>
          </w:r>
        </w:p>
        <w:p w14:paraId="453BDA99">
          <w:pPr>
            <w:pStyle w:val="34"/>
            <w:tabs>
              <w:tab w:val="right" w:leader="dot" w:pos="8306"/>
            </w:tabs>
          </w:pPr>
          <w:r>
            <w:fldChar w:fldCharType="begin"/>
          </w:r>
          <w:r>
            <w:instrText xml:space="preserve"> HYPERLINK \l _Toc32346 </w:instrText>
          </w:r>
          <w:r>
            <w:fldChar w:fldCharType="separate"/>
          </w:r>
          <w:r>
            <w:rPr>
              <w:rFonts w:hint="eastAsia" w:ascii="仿宋" w:hAnsi="仿宋" w:eastAsia="仿宋"/>
              <w:bCs w:val="0"/>
            </w:rPr>
            <w:t>十三、财政拨款“三公”经费支出决算表</w:t>
          </w:r>
          <w:r>
            <w:tab/>
          </w:r>
          <w:r>
            <w:fldChar w:fldCharType="begin"/>
          </w:r>
          <w:r>
            <w:instrText xml:space="preserve"> PAGEREF _Toc32346 \h </w:instrText>
          </w:r>
          <w:r>
            <w:fldChar w:fldCharType="separate"/>
          </w:r>
          <w:r>
            <w:t>17</w:t>
          </w:r>
          <w:r>
            <w:fldChar w:fldCharType="end"/>
          </w:r>
          <w:r>
            <w:fldChar w:fldCharType="end"/>
          </w:r>
        </w:p>
        <w:p w14:paraId="475FA30D">
          <w:pPr>
            <w:pStyle w:val="12"/>
            <w:adjustRightInd w:val="0"/>
            <w:snapToGrid w:val="0"/>
            <w:spacing w:line="440" w:lineRule="exact"/>
            <w:jc w:val="left"/>
            <w:rPr>
              <w:rFonts w:ascii="Times New Roman" w:hAnsi="Times New Roman" w:eastAsia="宋体" w:cs="Times New Roman"/>
              <w:b/>
              <w:kern w:val="2"/>
              <w:sz w:val="21"/>
              <w:szCs w:val="24"/>
              <w:lang w:val="en-US" w:eastAsia="zh-CN" w:bidi="ar-SA"/>
            </w:rPr>
          </w:pPr>
          <w:r>
            <w:rPr>
              <w:b/>
            </w:rPr>
            <w:fldChar w:fldCharType="end"/>
          </w:r>
        </w:p>
      </w:sdtContent>
    </w:sdt>
    <w:p w14:paraId="4DECE309"/>
    <w:p w14:paraId="74015C13">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287CC6FE">
      <w:pPr>
        <w:pStyle w:val="2"/>
        <w:jc w:val="center"/>
        <w:rPr>
          <w:rStyle w:val="27"/>
          <w:rFonts w:ascii="黑体" w:hAnsi="黑体" w:eastAsia="黑体"/>
          <w:b/>
          <w:bCs w:val="0"/>
        </w:rPr>
      </w:pPr>
      <w:bookmarkStart w:id="16" w:name="_Toc26237"/>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4AED0934">
      <w:pPr>
        <w:widowControl/>
        <w:jc w:val="left"/>
        <w:rPr>
          <w:rFonts w:ascii="黑体" w:eastAsia="黑体"/>
          <w:sz w:val="32"/>
          <w:szCs w:val="32"/>
        </w:rPr>
      </w:pPr>
    </w:p>
    <w:p w14:paraId="2C27721E">
      <w:pPr>
        <w:pStyle w:val="3"/>
        <w:numPr>
          <w:ilvl w:val="0"/>
          <w:numId w:val="1"/>
        </w:numPr>
        <w:rPr>
          <w:rStyle w:val="28"/>
          <w:rFonts w:ascii="黑体" w:hAnsi="黑体" w:eastAsia="黑体"/>
          <w:b w:val="0"/>
          <w:bCs w:val="0"/>
        </w:rPr>
      </w:pPr>
      <w:bookmarkStart w:id="17" w:name="_Toc26658"/>
      <w:bookmarkStart w:id="18" w:name="_Toc15396600"/>
      <w:bookmarkStart w:id="19" w:name="_Toc15377197"/>
      <w:r>
        <w:rPr>
          <w:rStyle w:val="28"/>
          <w:rFonts w:hint="eastAsia" w:ascii="黑体" w:hAnsi="黑体" w:eastAsia="黑体"/>
          <w:b w:val="0"/>
          <w:bCs w:val="0"/>
        </w:rPr>
        <w:t>主要职责</w:t>
      </w:r>
      <w:bookmarkEnd w:id="17"/>
    </w:p>
    <w:p w14:paraId="2774E07C">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主要承担所辖范围的疾病预防控制、妇幼保健、健康教育以及对村级卫生机构人员培训指导等公共卫生工作职责，为全乡人民群众提供计划生育技术和基本医疗等综合性医疗卫生服务。</w:t>
      </w:r>
    </w:p>
    <w:p w14:paraId="2AB04992">
      <w:pPr>
        <w:pStyle w:val="3"/>
        <w:rPr>
          <w:rFonts w:ascii="黑体" w:hAnsi="黑体" w:eastAsia="黑体"/>
          <w:b w:val="0"/>
        </w:rPr>
      </w:pPr>
      <w:bookmarkStart w:id="20" w:name="_Toc24903"/>
      <w:r>
        <w:rPr>
          <w:rFonts w:hint="eastAsia" w:ascii="黑体" w:hAnsi="黑体" w:eastAsia="黑体"/>
          <w:b w:val="0"/>
        </w:rPr>
        <w:t>二、机构设置</w:t>
      </w:r>
      <w:bookmarkEnd w:id="20"/>
    </w:p>
    <w:bookmarkEnd w:id="18"/>
    <w:bookmarkEnd w:id="19"/>
    <w:p w14:paraId="5A40D29C">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峨边彝族自治县沙坪镇共和卫生院是峨边卫生健康局下属二级预算单位，属于公益一类事业单位。</w:t>
      </w:r>
      <w:r>
        <w:rPr>
          <w:rFonts w:ascii="仿宋" w:hAnsi="仿宋" w:eastAsia="仿宋"/>
          <w:sz w:val="32"/>
          <w:szCs w:val="32"/>
        </w:rPr>
        <w:br w:type="page"/>
      </w:r>
    </w:p>
    <w:p w14:paraId="13A50B08">
      <w:pPr>
        <w:pStyle w:val="2"/>
        <w:ind w:right="440"/>
        <w:jc w:val="center"/>
        <w:rPr>
          <w:rStyle w:val="27"/>
          <w:rFonts w:ascii="黑体" w:hAnsi="黑体" w:eastAsia="黑体"/>
          <w:b w:val="0"/>
          <w:bCs/>
        </w:rPr>
      </w:pPr>
      <w:bookmarkStart w:id="21" w:name="_Toc15396602"/>
      <w:bookmarkStart w:id="22" w:name="_Toc28687"/>
      <w:bookmarkStart w:id="23"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46BF6921"/>
    <w:p w14:paraId="7416FEA9">
      <w:pPr>
        <w:pStyle w:val="26"/>
        <w:numPr>
          <w:ilvl w:val="0"/>
          <w:numId w:val="2"/>
        </w:numPr>
        <w:spacing w:line="600" w:lineRule="exact"/>
        <w:ind w:firstLineChars="0"/>
        <w:outlineLvl w:val="1"/>
        <w:rPr>
          <w:rStyle w:val="28"/>
          <w:rFonts w:ascii="黑体" w:hAnsi="黑体" w:eastAsia="黑体"/>
          <w:b w:val="0"/>
        </w:rPr>
      </w:pPr>
      <w:bookmarkStart w:id="24" w:name="_Toc15377205"/>
      <w:bookmarkStart w:id="25" w:name="_Toc15396603"/>
      <w:bookmarkStart w:id="26" w:name="_Toc14267"/>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070C2B5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172.22</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16.49</w:t>
      </w:r>
      <w:r>
        <w:rPr>
          <w:rFonts w:hint="eastAsia" w:ascii="仿宋" w:hAnsi="仿宋" w:eastAsia="仿宋"/>
          <w:sz w:val="32"/>
          <w:szCs w:val="32"/>
        </w:rPr>
        <w:t>万元，增长</w:t>
      </w:r>
      <w:r>
        <w:rPr>
          <w:rFonts w:hint="eastAsia" w:ascii="仿宋" w:hAnsi="仿宋" w:eastAsia="仿宋"/>
          <w:sz w:val="32"/>
          <w:szCs w:val="32"/>
          <w:lang w:val="en-US" w:eastAsia="zh-CN"/>
        </w:rPr>
        <w:t>10.59</w:t>
      </w:r>
      <w:r>
        <w:rPr>
          <w:rFonts w:ascii="仿宋" w:hAnsi="仿宋" w:eastAsia="仿宋"/>
          <w:sz w:val="32"/>
          <w:szCs w:val="32"/>
        </w:rPr>
        <w:t>%</w:t>
      </w:r>
      <w:r>
        <w:rPr>
          <w:rFonts w:hint="eastAsia" w:ascii="仿宋" w:hAnsi="仿宋" w:eastAsia="仿宋"/>
          <w:sz w:val="32"/>
          <w:szCs w:val="32"/>
        </w:rPr>
        <w:t>。主要变动原因是2023年项目经费预算增加。</w:t>
      </w:r>
    </w:p>
    <w:p w14:paraId="37A69554">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04A608C9">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C1DE3C0">
      <w:pPr>
        <w:spacing w:line="600" w:lineRule="exact"/>
        <w:ind w:firstLine="640" w:firstLineChars="200"/>
        <w:jc w:val="left"/>
        <w:rPr>
          <w:rFonts w:ascii="仿宋_GB2312" w:eastAsia="仿宋_GB2312"/>
          <w:sz w:val="32"/>
          <w:szCs w:val="32"/>
        </w:rPr>
      </w:pPr>
    </w:p>
    <w:p w14:paraId="623963E1">
      <w:pPr>
        <w:pStyle w:val="26"/>
        <w:numPr>
          <w:ilvl w:val="0"/>
          <w:numId w:val="2"/>
        </w:numPr>
        <w:spacing w:line="600" w:lineRule="exact"/>
        <w:ind w:firstLineChars="0"/>
        <w:outlineLvl w:val="1"/>
        <w:rPr>
          <w:rStyle w:val="28"/>
          <w:rFonts w:ascii="黑体" w:hAnsi="黑体" w:eastAsia="黑体"/>
          <w:b w:val="0"/>
        </w:rPr>
      </w:pPr>
      <w:bookmarkStart w:id="27" w:name="_Toc15396604"/>
      <w:bookmarkStart w:id="28" w:name="_Toc7320"/>
      <w:bookmarkStart w:id="29" w:name="_Toc15377206"/>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3A06C48E">
      <w:pPr>
        <w:spacing w:line="600" w:lineRule="exact"/>
        <w:ind w:firstLine="640" w:firstLineChars="200"/>
        <w:outlineLvl w:val="1"/>
        <w:rPr>
          <w:rFonts w:hint="eastAsia" w:ascii="仿宋" w:hAnsi="仿宋" w:eastAsia="仿宋"/>
          <w:sz w:val="32"/>
          <w:szCs w:val="32"/>
          <w:lang w:val="en-US" w:eastAsia="zh-CN"/>
        </w:rPr>
      </w:pPr>
      <w:bookmarkStart w:id="30" w:name="_Toc12946"/>
      <w:r>
        <w:rPr>
          <w:rFonts w:hint="eastAsia" w:ascii="仿宋" w:hAnsi="仿宋" w:eastAsia="仿宋"/>
          <w:sz w:val="32"/>
          <w:szCs w:val="32"/>
        </w:rPr>
        <w:t>2023年度本年收入合计</w:t>
      </w:r>
      <w:r>
        <w:rPr>
          <w:rFonts w:ascii="仿宋" w:hAnsi="仿宋" w:eastAsia="仿宋"/>
          <w:b/>
          <w:sz w:val="32"/>
          <w:szCs w:val="32"/>
        </w:rPr>
        <w:t>172.22</w:t>
      </w:r>
      <w:r>
        <w:rPr>
          <w:rFonts w:hint="eastAsia" w:ascii="仿宋" w:hAnsi="仿宋" w:eastAsia="仿宋"/>
          <w:sz w:val="32"/>
          <w:szCs w:val="32"/>
        </w:rPr>
        <w:t>万元，其中：一般公共预算财政拨款收入</w:t>
      </w:r>
      <w:r>
        <w:rPr>
          <w:rFonts w:ascii="仿宋" w:hAnsi="仿宋" w:eastAsia="仿宋"/>
          <w:b/>
          <w:sz w:val="32"/>
          <w:szCs w:val="32"/>
        </w:rPr>
        <w:t>151.98</w:t>
      </w:r>
      <w:r>
        <w:rPr>
          <w:rFonts w:hint="eastAsia" w:ascii="仿宋" w:hAnsi="仿宋" w:eastAsia="仿宋"/>
          <w:sz w:val="32"/>
          <w:szCs w:val="32"/>
        </w:rPr>
        <w:t>万元，占</w:t>
      </w:r>
      <w:r>
        <w:rPr>
          <w:rFonts w:ascii="仿宋" w:hAnsi="仿宋" w:eastAsia="仿宋"/>
          <w:b/>
          <w:sz w:val="32"/>
          <w:szCs w:val="32"/>
        </w:rPr>
        <w:t>88.2</w:t>
      </w:r>
      <w:r>
        <w:rPr>
          <w:rFonts w:hint="eastAsia" w:ascii="仿宋" w:hAnsi="仿宋" w:eastAsia="仿宋"/>
          <w:b/>
          <w:sz w:val="32"/>
          <w:szCs w:val="32"/>
          <w:lang w:val="en-US" w:eastAsia="zh-CN"/>
        </w:rPr>
        <w:t>5</w:t>
      </w:r>
      <w:r>
        <w:rPr>
          <w:rFonts w:ascii="仿宋" w:hAnsi="仿宋" w:eastAsia="仿宋"/>
          <w:b/>
          <w:sz w:val="32"/>
          <w:szCs w:val="32"/>
        </w:rPr>
        <w:t>%</w:t>
      </w:r>
      <w:r>
        <w:rPr>
          <w:rFonts w:hint="eastAsia" w:ascii="仿宋" w:hAnsi="仿宋" w:eastAsia="仿宋"/>
          <w:sz w:val="32"/>
          <w:szCs w:val="32"/>
        </w:rPr>
        <w:t>；事业收入</w:t>
      </w:r>
      <w:r>
        <w:rPr>
          <w:rFonts w:ascii="仿宋" w:hAnsi="仿宋" w:eastAsia="仿宋"/>
          <w:b/>
          <w:sz w:val="32"/>
          <w:szCs w:val="32"/>
        </w:rPr>
        <w:t>20.24</w:t>
      </w:r>
      <w:r>
        <w:rPr>
          <w:rFonts w:hint="eastAsia" w:ascii="仿宋" w:hAnsi="仿宋" w:eastAsia="仿宋"/>
          <w:sz w:val="32"/>
          <w:szCs w:val="32"/>
        </w:rPr>
        <w:t>万元，占</w:t>
      </w:r>
      <w:r>
        <w:rPr>
          <w:rFonts w:ascii="仿宋" w:hAnsi="仿宋" w:eastAsia="仿宋"/>
          <w:b/>
          <w:sz w:val="32"/>
          <w:szCs w:val="32"/>
        </w:rPr>
        <w:t>11.75</w:t>
      </w:r>
      <w:r>
        <w:rPr>
          <w:rFonts w:ascii="仿宋" w:hAnsi="仿宋" w:eastAsia="仿宋"/>
          <w:sz w:val="32"/>
          <w:szCs w:val="32"/>
        </w:rPr>
        <w:t>%</w:t>
      </w:r>
      <w:r>
        <w:rPr>
          <w:rFonts w:hint="eastAsia" w:ascii="仿宋" w:hAnsi="仿宋" w:eastAsia="仿宋"/>
          <w:sz w:val="32"/>
          <w:szCs w:val="32"/>
          <w:lang w:eastAsia="zh-CN"/>
        </w:rPr>
        <w:t>。</w:t>
      </w:r>
      <w:bookmarkEnd w:id="30"/>
    </w:p>
    <w:p w14:paraId="36ADAD46">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0FE71078">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36092B93">
      <w:pPr>
        <w:spacing w:line="600" w:lineRule="exact"/>
        <w:ind w:firstLine="640" w:firstLineChars="200"/>
        <w:rPr>
          <w:rFonts w:ascii="仿宋_GB2312" w:eastAsia="仿宋_GB2312"/>
          <w:sz w:val="32"/>
          <w:szCs w:val="32"/>
        </w:rPr>
      </w:pPr>
    </w:p>
    <w:p w14:paraId="751FCAE3">
      <w:pPr>
        <w:pStyle w:val="26"/>
        <w:numPr>
          <w:ilvl w:val="0"/>
          <w:numId w:val="2"/>
        </w:numPr>
        <w:spacing w:line="600" w:lineRule="exact"/>
        <w:ind w:firstLineChars="0"/>
        <w:outlineLvl w:val="1"/>
        <w:rPr>
          <w:rStyle w:val="28"/>
          <w:rFonts w:ascii="黑体" w:hAnsi="黑体" w:eastAsia="黑体"/>
          <w:b w:val="0"/>
        </w:rPr>
      </w:pPr>
      <w:bookmarkStart w:id="31" w:name="_Toc15396605"/>
      <w:bookmarkStart w:id="32" w:name="_Toc15377207"/>
      <w:bookmarkStart w:id="33" w:name="_Toc31334"/>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61759E4F">
      <w:pPr>
        <w:spacing w:line="600" w:lineRule="exact"/>
        <w:ind w:firstLine="640" w:firstLineChars="200"/>
        <w:outlineLvl w:val="1"/>
        <w:rPr>
          <w:rFonts w:ascii="仿宋" w:hAnsi="仿宋" w:eastAsia="仿宋"/>
          <w:sz w:val="32"/>
          <w:szCs w:val="32"/>
        </w:rPr>
      </w:pPr>
      <w:bookmarkStart w:id="34" w:name="_Toc16211"/>
      <w:r>
        <w:rPr>
          <w:rFonts w:hint="eastAsia" w:ascii="仿宋" w:hAnsi="仿宋" w:eastAsia="仿宋"/>
          <w:sz w:val="32"/>
          <w:szCs w:val="32"/>
        </w:rPr>
        <w:t>2023年度本年支出合计</w:t>
      </w:r>
      <w:r>
        <w:rPr>
          <w:rFonts w:ascii="仿宋" w:hAnsi="仿宋" w:eastAsia="仿宋"/>
          <w:b/>
          <w:sz w:val="32"/>
          <w:szCs w:val="32"/>
        </w:rPr>
        <w:t>172.22</w:t>
      </w:r>
      <w:r>
        <w:rPr>
          <w:rFonts w:hint="eastAsia" w:ascii="仿宋" w:hAnsi="仿宋" w:eastAsia="仿宋"/>
          <w:sz w:val="32"/>
          <w:szCs w:val="32"/>
        </w:rPr>
        <w:t>万元，其中：基本支出</w:t>
      </w:r>
      <w:r>
        <w:rPr>
          <w:rFonts w:ascii="仿宋" w:hAnsi="仿宋" w:eastAsia="仿宋"/>
          <w:b/>
          <w:sz w:val="32"/>
          <w:szCs w:val="32"/>
        </w:rPr>
        <w:t>134.66</w:t>
      </w:r>
      <w:r>
        <w:rPr>
          <w:rFonts w:hint="eastAsia" w:ascii="仿宋" w:hAnsi="仿宋" w:eastAsia="仿宋"/>
          <w:sz w:val="32"/>
          <w:szCs w:val="32"/>
        </w:rPr>
        <w:t>万元，占</w:t>
      </w:r>
      <w:r>
        <w:rPr>
          <w:rFonts w:ascii="仿宋" w:hAnsi="仿宋" w:eastAsia="仿宋"/>
          <w:b/>
          <w:sz w:val="32"/>
          <w:szCs w:val="32"/>
        </w:rPr>
        <w:t>78.1</w:t>
      </w:r>
      <w:r>
        <w:rPr>
          <w:rFonts w:hint="eastAsia" w:ascii="仿宋" w:hAnsi="仿宋" w:eastAsia="仿宋"/>
          <w:b/>
          <w:sz w:val="32"/>
          <w:szCs w:val="32"/>
          <w:lang w:val="en-US" w:eastAsia="zh-CN"/>
        </w:rPr>
        <w:t>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37.57</w:t>
      </w:r>
      <w:r>
        <w:rPr>
          <w:rFonts w:hint="eastAsia" w:ascii="仿宋" w:hAnsi="仿宋" w:eastAsia="仿宋"/>
          <w:sz w:val="32"/>
          <w:szCs w:val="32"/>
        </w:rPr>
        <w:t>万元，占</w:t>
      </w:r>
      <w:r>
        <w:rPr>
          <w:rFonts w:ascii="仿宋" w:hAnsi="仿宋" w:eastAsia="仿宋"/>
          <w:b/>
          <w:sz w:val="32"/>
          <w:szCs w:val="32"/>
        </w:rPr>
        <w:t>21.81</w:t>
      </w:r>
      <w:r>
        <w:rPr>
          <w:rFonts w:ascii="仿宋" w:hAnsi="仿宋" w:eastAsia="仿宋"/>
          <w:sz w:val="32"/>
          <w:szCs w:val="32"/>
        </w:rPr>
        <w:t>%</w:t>
      </w:r>
      <w:r>
        <w:rPr>
          <w:rFonts w:hint="eastAsia" w:ascii="仿宋" w:hAnsi="仿宋" w:eastAsia="仿宋"/>
          <w:sz w:val="32"/>
          <w:szCs w:val="32"/>
        </w:rPr>
        <w:t>。</w:t>
      </w:r>
      <w:bookmarkEnd w:id="34"/>
    </w:p>
    <w:p w14:paraId="06582556">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59301702">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0C56A34E">
      <w:pPr>
        <w:spacing w:line="600" w:lineRule="exact"/>
        <w:ind w:firstLine="640" w:firstLineChars="200"/>
        <w:rPr>
          <w:rFonts w:ascii="仿宋_GB2312" w:eastAsia="仿宋_GB2312"/>
          <w:sz w:val="32"/>
          <w:szCs w:val="32"/>
        </w:rPr>
      </w:pPr>
    </w:p>
    <w:p w14:paraId="2E99608D">
      <w:pPr>
        <w:spacing w:line="600" w:lineRule="exact"/>
        <w:ind w:firstLine="640" w:firstLineChars="200"/>
        <w:outlineLvl w:val="1"/>
        <w:rPr>
          <w:rStyle w:val="28"/>
          <w:rFonts w:ascii="黑体" w:hAnsi="黑体" w:eastAsia="黑体"/>
          <w:b w:val="0"/>
        </w:rPr>
      </w:pPr>
      <w:bookmarkStart w:id="35" w:name="_Toc11844"/>
      <w:bookmarkStart w:id="36" w:name="_Toc15377208"/>
      <w:bookmarkStart w:id="3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7E28988C">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151.98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24.28</w:t>
      </w:r>
      <w:r>
        <w:rPr>
          <w:rFonts w:hint="eastAsia" w:ascii="仿宋" w:hAnsi="仿宋" w:eastAsia="仿宋"/>
          <w:sz w:val="32"/>
          <w:szCs w:val="32"/>
        </w:rPr>
        <w:t>万元，增长</w:t>
      </w:r>
      <w:r>
        <w:rPr>
          <w:rFonts w:hint="eastAsia" w:ascii="仿宋" w:hAnsi="仿宋" w:eastAsia="仿宋"/>
          <w:sz w:val="32"/>
          <w:szCs w:val="32"/>
          <w:lang w:val="en-US" w:eastAsia="zh-CN"/>
        </w:rPr>
        <w:t>19.01</w:t>
      </w:r>
      <w:r>
        <w:rPr>
          <w:rFonts w:ascii="仿宋" w:hAnsi="仿宋" w:eastAsia="仿宋"/>
          <w:sz w:val="32"/>
          <w:szCs w:val="32"/>
        </w:rPr>
        <w:t>%</w:t>
      </w:r>
      <w:r>
        <w:rPr>
          <w:rFonts w:hint="eastAsia" w:ascii="仿宋" w:hAnsi="仿宋" w:eastAsia="仿宋"/>
          <w:sz w:val="32"/>
          <w:szCs w:val="32"/>
        </w:rPr>
        <w:t>。主要变动原因是2023年项目经费预算增加。</w:t>
      </w:r>
    </w:p>
    <w:p w14:paraId="1702542F">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6622BAD1">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3CA541A2">
      <w:pPr>
        <w:spacing w:line="600" w:lineRule="exact"/>
        <w:ind w:firstLine="640"/>
        <w:rPr>
          <w:rFonts w:ascii="仿宋" w:hAnsi="仿宋" w:eastAsia="仿宋"/>
          <w:b/>
          <w:sz w:val="32"/>
          <w:szCs w:val="32"/>
        </w:rPr>
      </w:pPr>
    </w:p>
    <w:p w14:paraId="3F5DDFA7">
      <w:pPr>
        <w:spacing w:line="600" w:lineRule="exact"/>
        <w:ind w:firstLine="640" w:firstLineChars="200"/>
        <w:outlineLvl w:val="1"/>
        <w:rPr>
          <w:rStyle w:val="28"/>
          <w:rFonts w:ascii="黑体" w:hAnsi="黑体" w:eastAsia="黑体"/>
          <w:b w:val="0"/>
        </w:rPr>
      </w:pPr>
      <w:bookmarkStart w:id="38" w:name="_Toc15377209"/>
      <w:bookmarkStart w:id="39" w:name="_Toc15396607"/>
      <w:bookmarkStart w:id="40" w:name="_Toc12153"/>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377AF944">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7FD6BFD2">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151.98</w:t>
      </w:r>
      <w:r>
        <w:rPr>
          <w:rFonts w:hint="eastAsia" w:ascii="仿宋" w:hAnsi="仿宋" w:eastAsia="仿宋"/>
          <w:sz w:val="32"/>
          <w:szCs w:val="32"/>
        </w:rPr>
        <w:t>万元，占本年支出合计的</w:t>
      </w:r>
      <w:r>
        <w:rPr>
          <w:rFonts w:ascii="仿宋" w:hAnsi="仿宋" w:eastAsia="仿宋"/>
          <w:b/>
          <w:sz w:val="32"/>
          <w:szCs w:val="32"/>
        </w:rPr>
        <w:t>88.24</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24.28</w:t>
      </w:r>
      <w:r>
        <w:rPr>
          <w:rFonts w:hint="eastAsia" w:ascii="仿宋" w:hAnsi="仿宋" w:eastAsia="仿宋"/>
          <w:sz w:val="32"/>
          <w:szCs w:val="32"/>
        </w:rPr>
        <w:t>万元，增长</w:t>
      </w:r>
      <w:r>
        <w:rPr>
          <w:rFonts w:hint="eastAsia" w:ascii="仿宋" w:hAnsi="仿宋" w:eastAsia="仿宋"/>
          <w:sz w:val="32"/>
          <w:szCs w:val="32"/>
          <w:lang w:val="en-US" w:eastAsia="zh-CN"/>
        </w:rPr>
        <w:t>19.01</w:t>
      </w:r>
      <w:r>
        <w:rPr>
          <w:rFonts w:ascii="仿宋" w:hAnsi="仿宋" w:eastAsia="仿宋"/>
          <w:sz w:val="32"/>
          <w:szCs w:val="32"/>
        </w:rPr>
        <w:t>%</w:t>
      </w:r>
      <w:r>
        <w:rPr>
          <w:rFonts w:hint="eastAsia" w:ascii="仿宋" w:hAnsi="仿宋" w:eastAsia="仿宋"/>
          <w:sz w:val="32"/>
          <w:szCs w:val="32"/>
        </w:rPr>
        <w:t>。主要变动原因是2023年项目经费预算增加。</w:t>
      </w:r>
    </w:p>
    <w:p w14:paraId="77981D24">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74BC5B76">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64DAD6A">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679D67C5">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151.98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15.29</w:t>
      </w:r>
      <w:r>
        <w:rPr>
          <w:rFonts w:hint="eastAsia" w:ascii="仿宋" w:hAnsi="仿宋" w:eastAsia="仿宋"/>
          <w:sz w:val="32"/>
          <w:szCs w:val="32"/>
        </w:rPr>
        <w:t>万元，占</w:t>
      </w:r>
      <w:r>
        <w:rPr>
          <w:rFonts w:hint="eastAsia" w:ascii="仿宋" w:hAnsi="仿宋" w:eastAsia="仿宋"/>
          <w:sz w:val="32"/>
          <w:szCs w:val="32"/>
          <w:lang w:val="en-US" w:eastAsia="zh-CN"/>
        </w:rPr>
        <w:t>10.06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126.14</w:t>
      </w:r>
      <w:r>
        <w:rPr>
          <w:rFonts w:hint="eastAsia" w:ascii="仿宋" w:hAnsi="仿宋" w:eastAsia="仿宋"/>
          <w:sz w:val="32"/>
          <w:szCs w:val="32"/>
        </w:rPr>
        <w:t>万元，占</w:t>
      </w:r>
      <w:r>
        <w:rPr>
          <w:rFonts w:hint="eastAsia" w:ascii="仿宋" w:hAnsi="仿宋" w:eastAsia="仿宋"/>
          <w:sz w:val="32"/>
          <w:szCs w:val="32"/>
          <w:lang w:val="en-US" w:eastAsia="zh-CN"/>
        </w:rPr>
        <w:t>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10.55</w:t>
      </w:r>
      <w:r>
        <w:rPr>
          <w:rFonts w:hint="eastAsia" w:ascii="仿宋" w:hAnsi="仿宋" w:eastAsia="仿宋"/>
          <w:sz w:val="32"/>
          <w:szCs w:val="32"/>
        </w:rPr>
        <w:t>万元，占</w:t>
      </w:r>
      <w:r>
        <w:rPr>
          <w:rFonts w:hint="eastAsia" w:ascii="仿宋" w:hAnsi="仿宋" w:eastAsia="仿宋"/>
          <w:sz w:val="32"/>
          <w:szCs w:val="32"/>
          <w:lang w:val="en-US" w:eastAsia="zh-CN"/>
        </w:rPr>
        <w:t>6.94</w:t>
      </w:r>
      <w:r>
        <w:rPr>
          <w:rFonts w:ascii="仿宋" w:hAnsi="仿宋" w:eastAsia="仿宋"/>
          <w:sz w:val="32"/>
          <w:szCs w:val="32"/>
        </w:rPr>
        <w:t>%</w:t>
      </w:r>
      <w:r>
        <w:rPr>
          <w:rFonts w:hint="eastAsia" w:ascii="仿宋" w:hAnsi="仿宋" w:eastAsia="仿宋"/>
          <w:sz w:val="32"/>
          <w:szCs w:val="32"/>
        </w:rPr>
        <w:t>。</w:t>
      </w:r>
    </w:p>
    <w:p w14:paraId="6B9FCE2F">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5073931F">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F44EEC0">
      <w:pPr>
        <w:spacing w:line="600" w:lineRule="exact"/>
        <w:ind w:firstLine="640" w:firstLineChars="200"/>
        <w:rPr>
          <w:rFonts w:ascii="仿宋" w:hAnsi="仿宋" w:eastAsia="仿宋"/>
          <w:sz w:val="32"/>
          <w:szCs w:val="32"/>
        </w:rPr>
      </w:pPr>
    </w:p>
    <w:p w14:paraId="07B66F33">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201A6D85">
      <w:pPr>
        <w:spacing w:line="600" w:lineRule="exact"/>
        <w:ind w:firstLine="643" w:firstLineChars="200"/>
        <w:outlineLvl w:val="1"/>
        <w:rPr>
          <w:rFonts w:ascii="仿宋" w:hAnsi="仿宋" w:eastAsia="仿宋"/>
          <w:sz w:val="32"/>
          <w:szCs w:val="32"/>
        </w:rPr>
      </w:pPr>
      <w:bookmarkStart w:id="44" w:name="_Toc27697"/>
      <w:bookmarkStart w:id="45" w:name="_Toc15378460"/>
      <w:bookmarkStart w:id="46" w:name="_Toc15377213"/>
      <w:bookmarkStart w:id="47" w:name="_Toc15377444"/>
      <w:r>
        <w:rPr>
          <w:rFonts w:hint="eastAsia" w:ascii="仿宋" w:hAnsi="仿宋" w:eastAsia="仿宋"/>
          <w:b/>
          <w:sz w:val="32"/>
          <w:szCs w:val="32"/>
        </w:rPr>
        <w:t>2023年度一般公共预算支出决算数为</w:t>
      </w:r>
      <w:r>
        <w:rPr>
          <w:rFonts w:ascii="仿宋" w:hAnsi="仿宋" w:eastAsia="仿宋"/>
          <w:b/>
          <w:sz w:val="32"/>
          <w:szCs w:val="32"/>
        </w:rPr>
        <w:t>151.98</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2844A1C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9.17</w:t>
      </w:r>
      <w:r>
        <w:rPr>
          <w:rFonts w:hint="eastAsia" w:ascii="仿宋_GB2312" w:hAnsi="仿宋_GB2312" w:eastAsia="仿宋_GB2312"/>
          <w:color w:val="000000"/>
          <w:kern w:val="2"/>
          <w:sz w:val="32"/>
          <w:szCs w:val="24"/>
          <w:lang w:val="en-US"/>
        </w:rPr>
        <w:t>万元，完成预算100%，决算数与预算数持平。</w:t>
      </w:r>
    </w:p>
    <w:p w14:paraId="3529DB74">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支出决算为4.</w:t>
      </w:r>
      <w:r>
        <w:rPr>
          <w:rFonts w:hint="eastAsia" w:ascii="仿宋_GB2312" w:hAnsi="仿宋_GB2312" w:eastAsia="仿宋_GB2312"/>
          <w:color w:val="000000"/>
          <w:kern w:val="2"/>
          <w:sz w:val="32"/>
          <w:szCs w:val="24"/>
          <w:lang w:val="en-US" w:eastAsia="zh-CN"/>
        </w:rPr>
        <w:t>59</w:t>
      </w:r>
      <w:r>
        <w:rPr>
          <w:rFonts w:hint="eastAsia" w:ascii="仿宋_GB2312" w:hAnsi="仿宋_GB2312" w:eastAsia="仿宋_GB2312"/>
          <w:color w:val="000000"/>
          <w:kern w:val="2"/>
          <w:sz w:val="32"/>
          <w:szCs w:val="24"/>
          <w:lang w:val="en-US"/>
        </w:rPr>
        <w:t>万元，完成预算100%，决算数与预算数持平。</w:t>
      </w:r>
    </w:p>
    <w:p w14:paraId="1A6D1B72">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 xml:space="preserve">.社会保障和就业（类）其他社会保障和就业支出（款）其他社会保障和就业支出（项）: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1.53</w:t>
      </w:r>
      <w:r>
        <w:rPr>
          <w:rFonts w:hint="eastAsia" w:ascii="仿宋_GB2312" w:hAnsi="仿宋_GB2312" w:eastAsia="仿宋_GB2312"/>
          <w:color w:val="000000"/>
          <w:kern w:val="2"/>
          <w:sz w:val="32"/>
          <w:szCs w:val="24"/>
          <w:lang w:val="en-US"/>
        </w:rPr>
        <w:t>万元，完成预算100%，决算数与预算数持平。</w:t>
      </w:r>
    </w:p>
    <w:p w14:paraId="7CF566E6">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86.42</w:t>
      </w:r>
      <w:r>
        <w:rPr>
          <w:rFonts w:hint="eastAsia" w:ascii="仿宋_GB2312" w:hAnsi="仿宋_GB2312" w:eastAsia="仿宋_GB2312"/>
          <w:color w:val="000000"/>
          <w:kern w:val="2"/>
          <w:sz w:val="32"/>
          <w:szCs w:val="24"/>
          <w:lang w:val="en-US"/>
        </w:rPr>
        <w:t>万元，完成预算100%，决算数与预算数持平。</w:t>
      </w:r>
    </w:p>
    <w:p w14:paraId="57F536F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7.98</w:t>
      </w:r>
      <w:r>
        <w:rPr>
          <w:rFonts w:hint="eastAsia" w:ascii="仿宋_GB2312" w:hAnsi="仿宋_GB2312" w:eastAsia="仿宋_GB2312"/>
          <w:color w:val="000000"/>
          <w:kern w:val="2"/>
          <w:sz w:val="32"/>
          <w:szCs w:val="24"/>
          <w:lang w:val="en-US"/>
        </w:rPr>
        <w:t>万元，完成预算100%，决算数与预算数持平。</w:t>
      </w:r>
    </w:p>
    <w:p w14:paraId="1CBA28A2">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27.45</w:t>
      </w:r>
      <w:r>
        <w:rPr>
          <w:rFonts w:hint="eastAsia" w:ascii="仿宋_GB2312" w:hAnsi="仿宋_GB2312" w:eastAsia="仿宋_GB2312"/>
          <w:color w:val="000000"/>
          <w:kern w:val="2"/>
          <w:sz w:val="32"/>
          <w:szCs w:val="24"/>
          <w:lang w:val="en-US"/>
        </w:rPr>
        <w:t>万元，完成预算100%，决算数与预算数持平。</w:t>
      </w:r>
    </w:p>
    <w:p w14:paraId="7F9E261F">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.卫生健康（类）行政事业单位医疗（款）事业单位医疗（项）:</w:t>
      </w:r>
      <w:r>
        <w:rPr>
          <w:rFonts w:hint="eastAsia" w:ascii="仿宋_GB2312" w:hAnsi="仿宋_GB2312" w:eastAsia="仿宋_GB2312"/>
          <w:color w:val="000000"/>
          <w:kern w:val="2"/>
          <w:sz w:val="32"/>
          <w:szCs w:val="24"/>
          <w:lang w:val="en-US"/>
        </w:rPr>
        <w:t>支出决算为3.</w:t>
      </w:r>
      <w:r>
        <w:rPr>
          <w:rFonts w:hint="eastAsia" w:ascii="仿宋_GB2312" w:hAnsi="仿宋_GB2312" w:eastAsia="仿宋_GB2312"/>
          <w:color w:val="000000"/>
          <w:kern w:val="2"/>
          <w:sz w:val="32"/>
          <w:szCs w:val="24"/>
          <w:lang w:val="en-US" w:eastAsia="zh-CN"/>
        </w:rPr>
        <w:t>76</w:t>
      </w:r>
      <w:r>
        <w:rPr>
          <w:rFonts w:hint="eastAsia" w:ascii="仿宋_GB2312" w:hAnsi="仿宋_GB2312" w:eastAsia="仿宋_GB2312"/>
          <w:color w:val="000000"/>
          <w:kern w:val="2"/>
          <w:sz w:val="32"/>
          <w:szCs w:val="24"/>
          <w:lang w:val="en-US"/>
        </w:rPr>
        <w:t>万元，完成预算100%，决算数与预算数持平。</w:t>
      </w:r>
    </w:p>
    <w:p w14:paraId="2D4BC607">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0.54</w:t>
      </w:r>
      <w:r>
        <w:rPr>
          <w:rFonts w:hint="eastAsia" w:ascii="仿宋_GB2312" w:hAnsi="仿宋_GB2312" w:eastAsia="仿宋_GB2312"/>
          <w:color w:val="000000"/>
          <w:kern w:val="2"/>
          <w:sz w:val="32"/>
          <w:szCs w:val="24"/>
          <w:lang w:val="en-US"/>
        </w:rPr>
        <w:t>万元，完成预算100%，决算数与预算数持平。</w:t>
      </w:r>
    </w:p>
    <w:p w14:paraId="63967760">
      <w:pPr>
        <w:spacing w:line="600" w:lineRule="exact"/>
        <w:ind w:firstLine="643" w:firstLineChars="200"/>
        <w:rPr>
          <w:rFonts w:ascii="仿宋" w:hAnsi="仿宋" w:eastAsia="仿宋"/>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10.55</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3797ADB6">
      <w:pPr>
        <w:spacing w:line="600" w:lineRule="exact"/>
        <w:ind w:firstLine="640"/>
        <w:rPr>
          <w:rFonts w:ascii="仿宋" w:hAnsi="仿宋" w:eastAsia="仿宋"/>
          <w:b/>
          <w:sz w:val="32"/>
          <w:szCs w:val="32"/>
        </w:rPr>
      </w:pPr>
    </w:p>
    <w:p w14:paraId="7BB89079">
      <w:pPr>
        <w:tabs>
          <w:tab w:val="right" w:pos="8306"/>
        </w:tabs>
        <w:spacing w:line="600" w:lineRule="exact"/>
        <w:ind w:firstLine="640"/>
        <w:outlineLvl w:val="1"/>
        <w:rPr>
          <w:rStyle w:val="28"/>
        </w:rPr>
      </w:pPr>
      <w:bookmarkStart w:id="48" w:name="_Toc15377214"/>
      <w:bookmarkStart w:id="49" w:name="_Toc13744"/>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22CE23AC">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114.41</w:t>
      </w:r>
      <w:r>
        <w:rPr>
          <w:rFonts w:hint="eastAsia" w:ascii="仿宋" w:hAnsi="仿宋" w:eastAsia="仿宋"/>
          <w:sz w:val="32"/>
          <w:szCs w:val="32"/>
        </w:rPr>
        <w:t>万元，其中：</w:t>
      </w:r>
    </w:p>
    <w:p w14:paraId="0860AB14">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111.81</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w:t>
      </w:r>
      <w:r>
        <w:rPr>
          <w:rFonts w:hint="eastAsia" w:ascii="仿宋" w:hAnsi="仿宋" w:eastAsia="仿宋"/>
          <w:sz w:val="32"/>
          <w:szCs w:val="32"/>
          <w:lang w:val="en-US" w:eastAsia="zh-CN"/>
        </w:rPr>
        <w:t>生活补助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2.6</w:t>
      </w:r>
      <w:r>
        <w:rPr>
          <w:rFonts w:hint="eastAsia" w:ascii="仿宋" w:hAnsi="仿宋" w:eastAsia="仿宋"/>
          <w:sz w:val="32"/>
          <w:szCs w:val="32"/>
        </w:rPr>
        <w:t>万元，主要包括：工会经费、福利费等。</w:t>
      </w:r>
    </w:p>
    <w:p w14:paraId="792A336E">
      <w:pPr>
        <w:spacing w:line="600" w:lineRule="exact"/>
        <w:ind w:firstLine="640"/>
        <w:outlineLvl w:val="1"/>
        <w:rPr>
          <w:rStyle w:val="28"/>
          <w:rFonts w:ascii="黑体" w:hAnsi="黑体" w:eastAsia="黑体"/>
          <w:b w:val="0"/>
        </w:rPr>
      </w:pPr>
      <w:bookmarkStart w:id="51" w:name="_Toc22575"/>
      <w:bookmarkStart w:id="52" w:name="_Toc15396609"/>
      <w:bookmarkStart w:id="53"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3E755FF8">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53F5A5B0">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2023年无三公经费预算</w:t>
      </w:r>
      <w:r>
        <w:rPr>
          <w:rFonts w:hint="eastAsia" w:ascii="仿宋" w:hAnsi="仿宋" w:eastAsia="仿宋"/>
          <w:sz w:val="32"/>
          <w:szCs w:val="32"/>
        </w:rPr>
        <w:t>。</w:t>
      </w:r>
    </w:p>
    <w:p w14:paraId="66F010BB">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72469465">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60C9F545">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3F12D9A5">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E47FF84">
      <w:pPr>
        <w:spacing w:line="600" w:lineRule="exact"/>
        <w:ind w:firstLine="640"/>
        <w:rPr>
          <w:rFonts w:ascii="仿宋_GB2312" w:eastAsia="仿宋_GB2312"/>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CEA5A7E">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bookmarkStart w:id="104" w:name="_GoBack"/>
      <w:bookmarkEnd w:id="104"/>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17F5E55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7EC883DB">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开展医疗业务工作</w:t>
      </w:r>
      <w:r>
        <w:rPr>
          <w:rFonts w:hint="eastAsia" w:ascii="仿宋_GB2312" w:eastAsia="仿宋_GB2312"/>
          <w:sz w:val="32"/>
          <w:szCs w:val="32"/>
        </w:rPr>
        <w:t>等所需的公务用车燃料费、维修费、过路过桥费、保险费等支出。</w:t>
      </w:r>
    </w:p>
    <w:p w14:paraId="632CF537">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454BDC9B">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2AE35A1">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ECD7AFB">
      <w:pPr>
        <w:spacing w:line="600" w:lineRule="exact"/>
        <w:ind w:firstLine="640"/>
        <w:outlineLvl w:val="9"/>
        <w:rPr>
          <w:rFonts w:ascii="黑体" w:eastAsia="黑体"/>
          <w:sz w:val="32"/>
          <w:szCs w:val="32"/>
        </w:rPr>
      </w:pPr>
    </w:p>
    <w:p w14:paraId="2F55C71E">
      <w:pPr>
        <w:spacing w:line="600" w:lineRule="exact"/>
        <w:ind w:firstLine="640"/>
        <w:outlineLvl w:val="1"/>
        <w:rPr>
          <w:rStyle w:val="28"/>
          <w:rFonts w:ascii="黑体" w:hAnsi="黑体" w:eastAsia="黑体"/>
        </w:rPr>
      </w:pPr>
      <w:bookmarkStart w:id="58" w:name="_Toc14832"/>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0EA1633F">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D2286D1">
      <w:pPr>
        <w:spacing w:line="600" w:lineRule="exact"/>
        <w:ind w:firstLine="640"/>
        <w:rPr>
          <w:rFonts w:ascii="仿宋_GB2312" w:eastAsia="仿宋_GB2312"/>
          <w:sz w:val="32"/>
          <w:szCs w:val="32"/>
        </w:rPr>
      </w:pPr>
    </w:p>
    <w:p w14:paraId="0043E8BD">
      <w:pPr>
        <w:numPr>
          <w:ilvl w:val="0"/>
          <w:numId w:val="3"/>
        </w:numPr>
        <w:spacing w:line="600" w:lineRule="exact"/>
        <w:ind w:firstLine="640"/>
        <w:outlineLvl w:val="1"/>
        <w:rPr>
          <w:rStyle w:val="28"/>
          <w:rFonts w:ascii="黑体" w:hAnsi="黑体" w:eastAsia="黑体"/>
          <w:b w:val="0"/>
        </w:rPr>
      </w:pPr>
      <w:bookmarkStart w:id="59" w:name="_Toc15377219"/>
      <w:bookmarkStart w:id="60" w:name="_Toc15396611"/>
      <w:bookmarkStart w:id="61" w:name="_Toc9831"/>
      <w:r>
        <w:rPr>
          <w:rStyle w:val="28"/>
          <w:rFonts w:hint="eastAsia" w:ascii="黑体" w:hAnsi="黑体" w:eastAsia="黑体"/>
          <w:b w:val="0"/>
        </w:rPr>
        <w:t>国有资本经营预算支出决算情况说明</w:t>
      </w:r>
      <w:bookmarkEnd w:id="59"/>
      <w:bookmarkEnd w:id="60"/>
      <w:bookmarkEnd w:id="61"/>
    </w:p>
    <w:p w14:paraId="0037308C">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6D08028">
      <w:pPr>
        <w:spacing w:line="580" w:lineRule="exact"/>
        <w:jc w:val="center"/>
        <w:rPr>
          <w:rFonts w:ascii="方正小标宋简体" w:hAnsi="方正小标宋简体" w:eastAsia="方正小标宋简体" w:cs="方正小标宋简体"/>
          <w:sz w:val="44"/>
          <w:szCs w:val="44"/>
        </w:rPr>
      </w:pPr>
    </w:p>
    <w:p w14:paraId="5E8B8F93">
      <w:pPr>
        <w:numPr>
          <w:ilvl w:val="0"/>
          <w:numId w:val="3"/>
        </w:numPr>
        <w:spacing w:line="600" w:lineRule="exact"/>
        <w:ind w:firstLine="640"/>
        <w:outlineLvl w:val="1"/>
        <w:rPr>
          <w:rStyle w:val="28"/>
          <w:rFonts w:ascii="黑体" w:hAnsi="黑体" w:eastAsia="黑体"/>
          <w:b w:val="0"/>
        </w:rPr>
      </w:pPr>
      <w:bookmarkStart w:id="62" w:name="_Toc15396612"/>
      <w:bookmarkStart w:id="63" w:name="_Toc9090"/>
      <w:bookmarkStart w:id="64" w:name="_Toc15377221"/>
      <w:r>
        <w:rPr>
          <w:rStyle w:val="28"/>
          <w:rFonts w:hint="eastAsia" w:ascii="黑体" w:hAnsi="黑体" w:eastAsia="黑体"/>
          <w:b w:val="0"/>
        </w:rPr>
        <w:t>其他重要事项的情况说明</w:t>
      </w:r>
      <w:bookmarkEnd w:id="62"/>
      <w:bookmarkEnd w:id="63"/>
      <w:bookmarkEnd w:id="64"/>
    </w:p>
    <w:p w14:paraId="61888E72">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68C2118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峨边彝族自治县沙坪镇共和卫生院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58226171">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6F760DE8">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峨边彝族自治县沙坪镇共和卫生院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5F3E4438">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5BDC3CE1">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峨边彝族自治县沙坪镇共和卫生院</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7F2A5FA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B8D1426">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62183570">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r>
        <w:rPr>
          <w:rFonts w:hint="eastAsia" w:ascii="仿宋_GB2312" w:eastAsia="仿宋_GB2312"/>
          <w:sz w:val="32"/>
          <w:szCs w:val="32"/>
        </w:rPr>
        <w:br w:type="page"/>
      </w:r>
    </w:p>
    <w:p w14:paraId="7421003A">
      <w:pPr>
        <w:numPr>
          <w:ilvl w:val="0"/>
          <w:numId w:val="4"/>
        </w:numPr>
        <w:spacing w:line="600" w:lineRule="exact"/>
        <w:ind w:firstLine="660" w:firstLineChars="150"/>
        <w:jc w:val="center"/>
        <w:outlineLvl w:val="0"/>
        <w:rPr>
          <w:rStyle w:val="27"/>
          <w:rFonts w:ascii="黑体" w:hAnsi="黑体" w:eastAsia="黑体"/>
          <w:b w:val="0"/>
        </w:rPr>
      </w:pPr>
      <w:bookmarkStart w:id="68" w:name="_Toc15377225"/>
      <w:bookmarkStart w:id="69" w:name="_Toc15396613"/>
      <w:bookmarkStart w:id="70" w:name="_Toc15772"/>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1F8530A6">
      <w:pPr>
        <w:spacing w:line="600" w:lineRule="exact"/>
        <w:jc w:val="left"/>
        <w:rPr>
          <w:rFonts w:ascii="宋体"/>
          <w:b/>
          <w:sz w:val="44"/>
          <w:szCs w:val="44"/>
        </w:rPr>
      </w:pPr>
    </w:p>
    <w:p w14:paraId="493270C3">
      <w:pPr>
        <w:pStyle w:val="25"/>
        <w:spacing w:beforeLines="0" w:afterLines="0" w:line="560" w:lineRule="exact"/>
        <w:ind w:firstLine="640" w:firstLineChars="200"/>
        <w:outlineLvl w:val="1"/>
        <w:rPr>
          <w:rFonts w:hint="eastAsia" w:ascii="仿宋_GB2312" w:eastAsia="仿宋_GB2312"/>
          <w:color w:val="auto"/>
          <w:sz w:val="32"/>
          <w:szCs w:val="32"/>
        </w:rPr>
      </w:pPr>
      <w:bookmarkStart w:id="71" w:name="_Toc28733"/>
      <w:r>
        <w:rPr>
          <w:rFonts w:hint="eastAsia" w:ascii="仿宋_GB2312" w:eastAsia="仿宋_GB2312"/>
          <w:color w:val="auto"/>
          <w:sz w:val="32"/>
          <w:szCs w:val="32"/>
        </w:rPr>
        <w:t>1.财政拨款收入：指单位从同级财政部门取得的财政预算资金。</w:t>
      </w:r>
      <w:bookmarkEnd w:id="71"/>
    </w:p>
    <w:p w14:paraId="6229151D">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3E0E9A42">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464B63D">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234B2E5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63EEE702">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54E7F4D4">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75E9463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060D831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3D86AD71">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38C3B2A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17E6E45F">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72B6D674">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7C205CEB">
      <w:pPr>
        <w:spacing w:beforeLines="0" w:afterLines="0" w:line="576" w:lineRule="exact"/>
        <w:ind w:firstLine="640"/>
        <w:rPr>
          <w:rFonts w:hint="eastAsia" w:ascii="仿宋_GB2312" w:hAnsi="Times New Roman" w:eastAsia="仿宋_GB2312"/>
          <w:color w:val="auto"/>
          <w:sz w:val="32"/>
          <w:szCs w:val="24"/>
        </w:rPr>
      </w:pPr>
      <w:r>
        <w:rPr>
          <w:rFonts w:hint="eastAsia" w:ascii="仿宋_GB2312" w:hAnsi="仿宋_GB2312" w:eastAsia="仿宋_GB2312"/>
          <w:color w:val="000000"/>
          <w:sz w:val="32"/>
          <w:szCs w:val="24"/>
          <w:lang w:val="en-US" w:eastAsia="zh-CN"/>
        </w:rPr>
        <w:t>14</w:t>
      </w:r>
      <w:r>
        <w:rPr>
          <w:rFonts w:hint="eastAsia" w:ascii="仿宋_GB2312" w:hAnsi="仿宋_GB2312" w:eastAsia="仿宋_GB2312"/>
          <w:color w:val="000000"/>
          <w:sz w:val="32"/>
          <w:szCs w:val="24"/>
          <w:lang w:val="en-US"/>
        </w:rPr>
        <w:t>.卫生健康支出（类）行政事业单位医疗（款）公务员医疗补助（项）：反映财政部门安排的公务员医疗补助经费。</w:t>
      </w:r>
    </w:p>
    <w:p w14:paraId="122FBAE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3585E7D5">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77B4D072">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3C8E3B60">
      <w:pPr>
        <w:pStyle w:val="25"/>
        <w:spacing w:line="560" w:lineRule="exact"/>
        <w:ind w:firstLine="640" w:firstLineChars="200"/>
        <w:rPr>
          <w:rFonts w:ascii="仿宋_GB2312" w:eastAsia="仿宋_GB2312"/>
          <w:color w:val="auto"/>
          <w:sz w:val="32"/>
          <w:szCs w:val="32"/>
        </w:rPr>
      </w:pPr>
      <w:r>
        <w:rPr>
          <w:rFonts w:hint="eastAsia" w:ascii="仿宋_GB2312" w:hAnsi="Times New Roman" w:eastAsia="仿宋_GB2312"/>
          <w:color w:val="auto"/>
          <w:sz w:val="32"/>
          <w:szCs w:val="24"/>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754B4EDB">
      <w:pPr>
        <w:pStyle w:val="25"/>
        <w:spacing w:line="560" w:lineRule="exact"/>
        <w:ind w:firstLine="640" w:firstLineChars="200"/>
        <w:rPr>
          <w:rFonts w:ascii="仿宋_GB2312" w:eastAsia="仿宋_GB2312" w:cs="黑体"/>
          <w:color w:val="auto"/>
          <w:sz w:val="32"/>
          <w:szCs w:val="32"/>
        </w:rPr>
      </w:pPr>
    </w:p>
    <w:p w14:paraId="0097E1EB">
      <w:pPr>
        <w:ind w:firstLine="643" w:firstLineChars="200"/>
        <w:rPr>
          <w:rFonts w:ascii="仿宋" w:hAnsi="仿宋" w:eastAsia="仿宋"/>
          <w:b/>
          <w:sz w:val="32"/>
          <w:szCs w:val="32"/>
        </w:rPr>
      </w:pPr>
    </w:p>
    <w:p w14:paraId="7A773F7E">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30208"/>
      <w:bookmarkStart w:id="74" w:name="_Toc15396614"/>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0731D61B">
      <w:pPr>
        <w:spacing w:line="572" w:lineRule="exact"/>
        <w:jc w:val="left"/>
        <w:outlineLvl w:val="9"/>
        <w:rPr>
          <w:rFonts w:ascii="仿宋_GB2312" w:hAnsi="仿宋_GB2312" w:eastAsia="仿宋_GB2312" w:cs="仿宋_GB2312"/>
          <w:sz w:val="32"/>
          <w:szCs w:val="32"/>
        </w:rPr>
      </w:pPr>
    </w:p>
    <w:p w14:paraId="4FB6DCDA">
      <w:pPr>
        <w:spacing w:line="600" w:lineRule="exact"/>
        <w:jc w:val="center"/>
        <w:outlineLvl w:val="1"/>
        <w:rPr>
          <w:rFonts w:ascii="黑体" w:hAnsi="黑体" w:eastAsia="黑体"/>
          <w:color w:val="FF0000"/>
          <w:sz w:val="44"/>
          <w:szCs w:val="44"/>
        </w:rPr>
      </w:pPr>
      <w:bookmarkStart w:id="75" w:name="_Toc27247"/>
      <w:bookmarkStart w:id="76" w:name="_Toc15396618"/>
      <w:r>
        <w:rPr>
          <w:rFonts w:hint="eastAsia"/>
          <w:sz w:val="32"/>
          <w:szCs w:val="32"/>
        </w:rPr>
        <w:t>部门预算项目支出绩效自评表（2023年度）</w:t>
      </w:r>
      <w:bookmarkEnd w:id="75"/>
    </w:p>
    <w:p w14:paraId="76285984">
      <w:pPr>
        <w:pStyle w:val="13"/>
        <w:spacing w:line="560" w:lineRule="exact"/>
        <w:ind w:left="0" w:leftChars="0" w:firstLine="640"/>
        <w:rPr>
          <w:sz w:val="32"/>
        </w:rPr>
      </w:pPr>
    </w:p>
    <w:p w14:paraId="71CF86F0">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61D57740">
      <w:pPr>
        <w:pStyle w:val="5"/>
        <w:spacing w:before="93"/>
        <w:rPr>
          <w:rFonts w:hAnsi="Calibri" w:cs="仿宋"/>
          <w:sz w:val="32"/>
          <w:szCs w:val="32"/>
        </w:rPr>
      </w:pPr>
    </w:p>
    <w:p w14:paraId="3695349B">
      <w:pPr>
        <w:pStyle w:val="5"/>
        <w:spacing w:before="93"/>
        <w:rPr>
          <w:rFonts w:hAnsi="Calibri" w:cs="仿宋"/>
          <w:sz w:val="32"/>
          <w:szCs w:val="32"/>
        </w:rPr>
      </w:pPr>
    </w:p>
    <w:p w14:paraId="6E03269F">
      <w:pPr>
        <w:pStyle w:val="5"/>
        <w:spacing w:before="93"/>
        <w:rPr>
          <w:rFonts w:hAnsi="Calibri" w:cs="仿宋"/>
          <w:sz w:val="32"/>
          <w:szCs w:val="32"/>
        </w:rPr>
      </w:pPr>
    </w:p>
    <w:p w14:paraId="7917C804">
      <w:pPr>
        <w:pStyle w:val="5"/>
        <w:spacing w:before="93"/>
        <w:rPr>
          <w:rFonts w:hAnsi="Calibri" w:cs="仿宋"/>
          <w:sz w:val="32"/>
          <w:szCs w:val="32"/>
        </w:rPr>
      </w:pPr>
    </w:p>
    <w:p w14:paraId="023A5898">
      <w:pPr>
        <w:pStyle w:val="5"/>
        <w:spacing w:before="93"/>
        <w:rPr>
          <w:rFonts w:hAnsi="Calibri" w:cs="仿宋"/>
          <w:sz w:val="32"/>
          <w:szCs w:val="32"/>
        </w:rPr>
      </w:pPr>
    </w:p>
    <w:p w14:paraId="11524D7D">
      <w:pPr>
        <w:pStyle w:val="5"/>
        <w:spacing w:before="93"/>
        <w:rPr>
          <w:rFonts w:hAnsi="Calibri" w:cs="仿宋"/>
          <w:sz w:val="32"/>
          <w:szCs w:val="32"/>
        </w:rPr>
      </w:pPr>
    </w:p>
    <w:p w14:paraId="3EC8071A">
      <w:pPr>
        <w:pStyle w:val="5"/>
        <w:spacing w:before="93"/>
        <w:rPr>
          <w:rFonts w:hAnsi="Calibri" w:cs="仿宋"/>
          <w:sz w:val="32"/>
          <w:szCs w:val="32"/>
        </w:rPr>
      </w:pPr>
    </w:p>
    <w:p w14:paraId="639FF968">
      <w:pPr>
        <w:pStyle w:val="5"/>
        <w:spacing w:before="93"/>
        <w:rPr>
          <w:rFonts w:hAnsi="Calibri" w:cs="仿宋"/>
          <w:sz w:val="32"/>
          <w:szCs w:val="32"/>
        </w:rPr>
      </w:pPr>
    </w:p>
    <w:p w14:paraId="37BA460F">
      <w:pPr>
        <w:pStyle w:val="5"/>
        <w:spacing w:before="93"/>
        <w:rPr>
          <w:rFonts w:hAnsi="Calibri" w:cs="仿宋"/>
          <w:sz w:val="32"/>
          <w:szCs w:val="32"/>
        </w:rPr>
      </w:pPr>
    </w:p>
    <w:p w14:paraId="5A719A60">
      <w:pPr>
        <w:pStyle w:val="5"/>
        <w:spacing w:before="93"/>
        <w:rPr>
          <w:rFonts w:hAnsi="Calibri" w:cs="仿宋"/>
          <w:sz w:val="32"/>
          <w:szCs w:val="32"/>
        </w:rPr>
      </w:pPr>
    </w:p>
    <w:p w14:paraId="59A35C58">
      <w:pPr>
        <w:pStyle w:val="5"/>
        <w:spacing w:before="93"/>
        <w:rPr>
          <w:rFonts w:hAnsi="Calibri" w:cs="仿宋"/>
          <w:sz w:val="32"/>
          <w:szCs w:val="32"/>
        </w:rPr>
      </w:pPr>
    </w:p>
    <w:p w14:paraId="3145BA8E">
      <w:pPr>
        <w:pStyle w:val="5"/>
        <w:spacing w:before="93"/>
        <w:rPr>
          <w:rFonts w:hAnsi="Calibri" w:cs="仿宋"/>
          <w:sz w:val="32"/>
          <w:szCs w:val="32"/>
        </w:rPr>
      </w:pPr>
    </w:p>
    <w:p w14:paraId="4C36044A">
      <w:pPr>
        <w:pStyle w:val="5"/>
        <w:spacing w:before="93"/>
        <w:rPr>
          <w:rFonts w:hAnsi="Calibri" w:cs="仿宋"/>
          <w:sz w:val="32"/>
          <w:szCs w:val="32"/>
        </w:rPr>
      </w:pPr>
    </w:p>
    <w:p w14:paraId="163A2DBC">
      <w:pPr>
        <w:spacing w:line="600" w:lineRule="exact"/>
        <w:jc w:val="center"/>
        <w:outlineLvl w:val="0"/>
        <w:rPr>
          <w:rFonts w:ascii="仿宋" w:hAnsi="仿宋" w:eastAsia="仿宋"/>
        </w:rPr>
      </w:pPr>
      <w:bookmarkStart w:id="77" w:name="_Toc8171"/>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5FDD0C4E">
      <w:pPr>
        <w:pStyle w:val="3"/>
        <w:rPr>
          <w:rFonts w:ascii="仿宋" w:hAnsi="仿宋" w:eastAsia="仿宋"/>
        </w:rPr>
      </w:pPr>
      <w:bookmarkStart w:id="79" w:name="_Toc6994"/>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4BAB8518">
      <w:pPr>
        <w:pStyle w:val="3"/>
        <w:rPr>
          <w:rFonts w:ascii="仿宋" w:hAnsi="仿宋" w:eastAsia="仿宋"/>
        </w:rPr>
      </w:pPr>
      <w:bookmarkStart w:id="80" w:name="_Toc6398"/>
      <w:bookmarkStart w:id="81" w:name="_Toc15396620"/>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55EB0CBB">
      <w:pPr>
        <w:pStyle w:val="3"/>
        <w:rPr>
          <w:rFonts w:ascii="仿宋" w:hAnsi="仿宋" w:eastAsia="仿宋"/>
        </w:rPr>
      </w:pPr>
      <w:bookmarkStart w:id="82" w:name="_Toc15396621"/>
      <w:bookmarkStart w:id="83" w:name="_Toc17925"/>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2C346A7B">
      <w:pPr>
        <w:pStyle w:val="3"/>
        <w:rPr>
          <w:rFonts w:ascii="仿宋" w:hAnsi="仿宋" w:eastAsia="仿宋"/>
          <w:b w:val="0"/>
        </w:rPr>
      </w:pPr>
      <w:bookmarkStart w:id="84" w:name="_Toc11197"/>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247D6BB4">
      <w:pPr>
        <w:pStyle w:val="3"/>
        <w:rPr>
          <w:rStyle w:val="28"/>
          <w:rFonts w:ascii="仿宋" w:hAnsi="仿宋" w:eastAsia="仿宋"/>
          <w:b w:val="0"/>
          <w:bCs w:val="0"/>
        </w:rPr>
      </w:pPr>
      <w:bookmarkStart w:id="86" w:name="_Toc22362"/>
      <w:bookmarkStart w:id="87"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6C9B37F6">
      <w:pPr>
        <w:pStyle w:val="3"/>
        <w:rPr>
          <w:rFonts w:ascii="仿宋" w:hAnsi="仿宋" w:eastAsia="仿宋"/>
        </w:rPr>
      </w:pPr>
      <w:bookmarkStart w:id="89" w:name="_Toc5290"/>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3C193887">
      <w:pPr>
        <w:pStyle w:val="3"/>
        <w:rPr>
          <w:rFonts w:ascii="仿宋" w:hAnsi="仿宋" w:eastAsia="仿宋"/>
        </w:rPr>
      </w:pPr>
      <w:bookmarkStart w:id="90" w:name="_Toc15396625"/>
      <w:bookmarkStart w:id="91" w:name="_Toc22772"/>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6A70356B">
      <w:pPr>
        <w:pStyle w:val="3"/>
        <w:rPr>
          <w:rFonts w:ascii="仿宋" w:hAnsi="仿宋" w:eastAsia="仿宋"/>
        </w:rPr>
      </w:pPr>
      <w:bookmarkStart w:id="92" w:name="_Toc15396626"/>
      <w:bookmarkStart w:id="93" w:name="_Toc8537"/>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2E0F0BC9">
      <w:pPr>
        <w:pStyle w:val="3"/>
        <w:rPr>
          <w:rFonts w:ascii="仿宋" w:hAnsi="仿宋" w:eastAsia="仿宋"/>
        </w:rPr>
      </w:pPr>
      <w:bookmarkStart w:id="94" w:name="_Toc10898"/>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25DA24D0">
      <w:pPr>
        <w:pStyle w:val="3"/>
        <w:rPr>
          <w:rFonts w:ascii="仿宋" w:hAnsi="仿宋" w:eastAsia="仿宋"/>
        </w:rPr>
      </w:pPr>
      <w:bookmarkStart w:id="96" w:name="_Toc15396628"/>
      <w:bookmarkStart w:id="97" w:name="_Toc16672"/>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7F5A23AA">
      <w:pPr>
        <w:pStyle w:val="3"/>
        <w:rPr>
          <w:rFonts w:ascii="仿宋" w:hAnsi="仿宋" w:eastAsia="仿宋"/>
        </w:rPr>
      </w:pPr>
      <w:bookmarkStart w:id="98" w:name="_Toc15396629"/>
      <w:bookmarkStart w:id="99" w:name="_Toc6778"/>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0CDF13CA">
      <w:pPr>
        <w:pStyle w:val="3"/>
        <w:rPr>
          <w:rFonts w:ascii="仿宋" w:hAnsi="仿宋" w:eastAsia="仿宋"/>
        </w:rPr>
      </w:pPr>
      <w:bookmarkStart w:id="100" w:name="_Toc15396630"/>
      <w:bookmarkStart w:id="101" w:name="_Toc23630"/>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4E3AE984">
      <w:pPr>
        <w:pStyle w:val="3"/>
        <w:rPr>
          <w:rFonts w:eastAsia="仿宋"/>
        </w:rPr>
      </w:pPr>
      <w:bookmarkStart w:id="102" w:name="_Toc15396631"/>
      <w:bookmarkStart w:id="103" w:name="_Toc32346"/>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6F67D7C">
        <w:pPr>
          <w:pStyle w:val="9"/>
          <w:jc w:val="center"/>
        </w:pPr>
        <w:r>
          <w:fldChar w:fldCharType="begin"/>
        </w:r>
        <w:r>
          <w:instrText xml:space="preserve">PAGE   \* MERGEFORMAT</w:instrText>
        </w:r>
        <w:r>
          <w:fldChar w:fldCharType="separate"/>
        </w:r>
        <w:r>
          <w:rPr>
            <w:lang w:val="zh-CN"/>
          </w:rPr>
          <w:t>15</w:t>
        </w:r>
        <w:r>
          <w:fldChar w:fldCharType="end"/>
        </w:r>
      </w:p>
    </w:sdtContent>
  </w:sdt>
  <w:p w14:paraId="5E448A7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137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D23ECA"/>
    <w:rsid w:val="081B5E94"/>
    <w:rsid w:val="0A2032A3"/>
    <w:rsid w:val="0B8A37D8"/>
    <w:rsid w:val="0DAD4383"/>
    <w:rsid w:val="0F5FFB2F"/>
    <w:rsid w:val="0FFFCF60"/>
    <w:rsid w:val="10C055FF"/>
    <w:rsid w:val="118107EC"/>
    <w:rsid w:val="11DD6519"/>
    <w:rsid w:val="139F4FBC"/>
    <w:rsid w:val="16BB723D"/>
    <w:rsid w:val="18015F3F"/>
    <w:rsid w:val="1BCE5C49"/>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D9C2557"/>
    <w:rsid w:val="4ECE2238"/>
    <w:rsid w:val="51BB3F67"/>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6877FC7"/>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4804</Words>
  <Characters>5182</Characters>
  <Lines>54</Lines>
  <Paragraphs>15</Paragraphs>
  <TotalTime>1</TotalTime>
  <ScaleCrop>false</ScaleCrop>
  <LinksUpToDate>false</LinksUpToDate>
  <CharactersWithSpaces>5298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2024-10-24T03:25:23Z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05FF5154594E4562803B8C291C8F6223_12</vt:lpwstr>
  </property>
</Properties>
</file>