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7BA9D">
      <w:pPr>
        <w:pageBreakBefore w:val="0"/>
        <w:kinsoku/>
        <w:wordWrap/>
        <w:overflowPunct/>
        <w:topLinePunct w:val="0"/>
        <w:autoSpaceDE/>
        <w:autoSpaceDN/>
        <w:bidi w:val="0"/>
        <w:spacing w:line="600" w:lineRule="exact"/>
        <w:textAlignment w:val="auto"/>
        <w:rPr>
          <w:rFonts w:ascii="Times New Roman" w:hAnsi="Times New Roman"/>
        </w:rPr>
      </w:pPr>
      <w:bookmarkStart w:id="0" w:name="_Toc15396475"/>
      <w:bookmarkStart w:id="1" w:name="_Toc15396597"/>
      <w:bookmarkStart w:id="2" w:name="_Toc15377193"/>
      <w:bookmarkStart w:id="3" w:name="_Toc15377425"/>
      <w:bookmarkStart w:id="4" w:name="_Toc15306267"/>
      <w:bookmarkStart w:id="5" w:name="_Toc15378441"/>
    </w:p>
    <w:bookmarkEnd w:id="0"/>
    <w:bookmarkEnd w:id="1"/>
    <w:bookmarkEnd w:id="2"/>
    <w:bookmarkEnd w:id="3"/>
    <w:bookmarkEnd w:id="4"/>
    <w:bookmarkEnd w:id="5"/>
    <w:p w14:paraId="08B6278F">
      <w:pPr>
        <w:pStyle w:val="7"/>
        <w:pageBreakBefore w:val="0"/>
        <w:kinsoku/>
        <w:wordWrap/>
        <w:overflowPunct/>
        <w:topLinePunct w:val="0"/>
        <w:autoSpaceDE/>
        <w:autoSpaceDN/>
        <w:bidi w:val="0"/>
        <w:spacing w:line="600" w:lineRule="exact"/>
        <w:jc w:val="both"/>
        <w:textAlignment w:val="auto"/>
        <w:rPr>
          <w:rFonts w:hint="eastAsia" w:ascii="方正小标宋简体" w:hAnsi="宋体" w:eastAsia="方正小标宋简体" w:cs="Times New Roman"/>
          <w:color w:val="auto"/>
          <w:kern w:val="2"/>
          <w:sz w:val="44"/>
          <w:szCs w:val="44"/>
          <w:highlight w:val="none"/>
          <w:lang w:val="en-US" w:eastAsia="zh-CN" w:bidi="ar-SA"/>
        </w:rPr>
      </w:pPr>
    </w:p>
    <w:p w14:paraId="58F9ACA6">
      <w:pPr>
        <w:pStyle w:val="7"/>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96476"/>
      <w:bookmarkStart w:id="7" w:name="_Toc15396598"/>
      <w:bookmarkStart w:id="8" w:name="_Toc15377426"/>
      <w:bookmarkStart w:id="9" w:name="_Toc15377194"/>
      <w:bookmarkStart w:id="10" w:name="_Toc15378442"/>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p>
    <w:p w14:paraId="2AD9E22C">
      <w:pPr>
        <w:pStyle w:val="7"/>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公务服务中心部门决算</w:t>
      </w:r>
      <w:bookmarkEnd w:id="6"/>
      <w:bookmarkEnd w:id="7"/>
      <w:bookmarkEnd w:id="8"/>
      <w:bookmarkEnd w:id="9"/>
      <w:bookmarkEnd w:id="10"/>
      <w:bookmarkEnd w:id="11"/>
    </w:p>
    <w:p w14:paraId="6311178B">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CA5D05A">
      <w:pPr>
        <w:pageBreakBefore w:val="0"/>
        <w:widowControl/>
        <w:kinsoku/>
        <w:wordWrap/>
        <w:overflowPunct/>
        <w:topLinePunct w:val="0"/>
        <w:autoSpaceDE/>
        <w:autoSpaceDN/>
        <w:bidi w:val="0"/>
        <w:spacing w:line="600" w:lineRule="exact"/>
        <w:jc w:val="center"/>
        <w:textAlignment w:val="auto"/>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2DCBB6F">
      <w:pPr>
        <w:pageBreakBefore w:val="0"/>
        <w:widowControl/>
        <w:kinsoku/>
        <w:wordWrap/>
        <w:overflowPunct/>
        <w:topLinePunct w:val="0"/>
        <w:autoSpaceDE/>
        <w:autoSpaceDN/>
        <w:bidi w:val="0"/>
        <w:spacing w:line="600" w:lineRule="exact"/>
        <w:jc w:val="center"/>
        <w:textAlignment w:val="auto"/>
        <w:rPr>
          <w:rFonts w:ascii="Times New Roman" w:hAnsi="Times New Roman" w:eastAsia="黑体" w:cstheme="minorBidi"/>
          <w:color w:val="auto"/>
          <w:sz w:val="28"/>
          <w:szCs w:val="28"/>
          <w:highlight w:val="none"/>
        </w:rPr>
      </w:pPr>
    </w:p>
    <w:p w14:paraId="677619D2">
      <w:pPr>
        <w:pStyle w:val="14"/>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3AFCF5A5">
      <w:pPr>
        <w:pageBreakBefore w:val="0"/>
        <w:kinsoku/>
        <w:wordWrap/>
        <w:overflowPunct/>
        <w:topLinePunct w:val="0"/>
        <w:autoSpaceDE/>
        <w:autoSpaceDN/>
        <w:bidi w:val="0"/>
        <w:spacing w:line="600" w:lineRule="exact"/>
        <w:textAlignment w:val="auto"/>
        <w:rPr>
          <w:rFonts w:ascii="Times New Roman" w:hAnsi="Times New Roman"/>
          <w:color w:val="auto"/>
          <w:highlight w:val="none"/>
        </w:rPr>
      </w:pPr>
    </w:p>
    <w:p w14:paraId="07197503">
      <w:pPr>
        <w:pStyle w:val="14"/>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5D97C29E">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.....................................................................3</w:t>
      </w:r>
    </w:p>
    <w:p w14:paraId="098D3C6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.....................................................................4</w:t>
      </w:r>
    </w:p>
    <w:p w14:paraId="7FE40069">
      <w:pPr>
        <w:pStyle w:val="14"/>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..................................5</w:t>
      </w:r>
    </w:p>
    <w:p w14:paraId="0746A733">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.....................................5</w:t>
      </w:r>
    </w:p>
    <w:p w14:paraId="46168DAF">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.....................................................5</w:t>
      </w:r>
    </w:p>
    <w:p w14:paraId="5DC68D9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4C8E4EEA">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.....................6</w:t>
      </w:r>
    </w:p>
    <w:p w14:paraId="3DF32B89">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14:paraId="6A88CE1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.....9</w:t>
      </w:r>
    </w:p>
    <w:p w14:paraId="3473C1DB">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...........10</w:t>
      </w:r>
    </w:p>
    <w:p w14:paraId="104F238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.......................12</w:t>
      </w:r>
    </w:p>
    <w:p w14:paraId="20DB693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...................12</w:t>
      </w:r>
    </w:p>
    <w:p w14:paraId="798D3F39">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.......................................12</w:t>
      </w:r>
    </w:p>
    <w:p w14:paraId="5D535DCA">
      <w:pPr>
        <w:pStyle w:val="14"/>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.................................................................15</w:t>
      </w:r>
    </w:p>
    <w:p w14:paraId="75B57668">
      <w:pPr>
        <w:pStyle w:val="14"/>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.........................................................................17</w:t>
      </w:r>
    </w:p>
    <w:p w14:paraId="4C48489F">
      <w:pPr>
        <w:pStyle w:val="14"/>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.........................................................................28</w:t>
      </w:r>
    </w:p>
    <w:p w14:paraId="3B1D510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13CD50C">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295D4FD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343C69A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1B020376">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FA266B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04FEED0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25952C55">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ECD43FB">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53748E1E">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540737D">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17B1AAC0">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30F786E">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6899513">
      <w:pPr>
        <w:keepNext w:val="0"/>
        <w:keepLines w:val="0"/>
        <w:pageBreakBefore w:val="0"/>
        <w:widowControl/>
        <w:kinsoku/>
        <w:wordWrap/>
        <w:overflowPunct/>
        <w:topLinePunct w:val="0"/>
        <w:autoSpaceDE/>
        <w:autoSpaceDN/>
        <w:bidi w:val="0"/>
        <w:spacing w:line="60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3B5B5E92">
      <w:pPr>
        <w:pStyle w:val="3"/>
        <w:pageBreakBefore w:val="0"/>
        <w:kinsoku/>
        <w:wordWrap/>
        <w:overflowPunct/>
        <w:topLinePunct w:val="0"/>
        <w:autoSpaceDE/>
        <w:autoSpaceDN/>
        <w:bidi w:val="0"/>
        <w:spacing w:line="600" w:lineRule="exact"/>
        <w:jc w:val="center"/>
        <w:textAlignment w:val="auto"/>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3BDC3C4B">
      <w:pPr>
        <w:pStyle w:val="4"/>
        <w:pageBreakBefore w:val="0"/>
        <w:kinsoku/>
        <w:wordWrap/>
        <w:overflowPunct/>
        <w:topLinePunct w:val="0"/>
        <w:autoSpaceDE/>
        <w:autoSpaceDN/>
        <w:bidi w:val="0"/>
        <w:spacing w:line="600" w:lineRule="exact"/>
        <w:textAlignment w:val="auto"/>
        <w:rPr>
          <w:rFonts w:hint="eastAsia" w:ascii="Times New Roman" w:hAnsi="Times New Roman" w:eastAsia="黑体"/>
          <w:b w:val="0"/>
          <w:color w:val="auto"/>
          <w:highlight w:val="none"/>
        </w:rPr>
      </w:pPr>
    </w:p>
    <w:p w14:paraId="26284F40">
      <w:pPr>
        <w:pStyle w:val="4"/>
        <w:pageBreakBefore w:val="0"/>
        <w:kinsoku/>
        <w:wordWrap/>
        <w:overflowPunct/>
        <w:topLinePunct w:val="0"/>
        <w:autoSpaceDE/>
        <w:autoSpaceDN/>
        <w:bidi w:val="0"/>
        <w:spacing w:line="600" w:lineRule="exact"/>
        <w:textAlignment w:val="auto"/>
        <w:rPr>
          <w:rFonts w:hint="eastAsia" w:ascii="Times New Roman" w:hAnsi="Times New Roman" w:eastAsia="黑体"/>
          <w:b w:val="0"/>
          <w:color w:val="auto"/>
          <w:highlight w:val="none"/>
          <w:lang w:val="en-US" w:eastAsia="zh-CN"/>
        </w:rPr>
      </w:pPr>
      <w:r>
        <w:rPr>
          <w:rFonts w:hint="eastAsia" w:ascii="Times New Roman" w:hAnsi="Times New Roman" w:eastAsia="黑体"/>
          <w:b w:val="0"/>
          <w:color w:val="auto"/>
          <w:highlight w:val="none"/>
          <w:lang w:val="en-US" w:eastAsia="zh-CN"/>
        </w:rPr>
        <w:t>一、部门职责</w:t>
      </w:r>
    </w:p>
    <w:p w14:paraId="24679B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一）贯彻落实中央和省市党政机关国内公务接待管理办法及省市细则精神，归口统筹管理全县党政机关国内公务接待事宜，制定工作机制和工作规范，具体实施全县党政机关重要公务接待任务；指导县级部门和乡镇按规定做好对口公务接待；统一管理和使用接待经费。</w:t>
      </w:r>
    </w:p>
    <w:p w14:paraId="57CFDE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（二）负责县委、县人大、县政府、县政协主要领导外出考察调研、督促指导等活动开展，完成方案制定、前期筹备、综合协调等工作。</w:t>
      </w:r>
    </w:p>
    <w:p w14:paraId="01793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（三）</w:t>
      </w:r>
      <w:r>
        <w:rPr>
          <w:rFonts w:hint="eastAsia" w:ascii="Times New Roman" w:hAnsi="Times New Roman" w:eastAsia="仿宋_GB2312" w:cs="仿宋_GB2312"/>
          <w:b w:val="0"/>
          <w:bCs w:val="0"/>
          <w:color w:val="auto"/>
          <w:kern w:val="2"/>
          <w:sz w:val="32"/>
          <w:szCs w:val="32"/>
          <w:highlight w:val="none"/>
          <w:lang w:val="en-US" w:eastAsia="zh-CN" w:bidi="ar-SA"/>
        </w:rPr>
        <w:t>筹备上级领导或部门考察调研、督促指导等活动开展，完成方案制定、工作筹备、综合协调等工作。</w:t>
      </w:r>
    </w:p>
    <w:p w14:paraId="7C7B2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（四）</w:t>
      </w:r>
      <w:r>
        <w:rPr>
          <w:rFonts w:hint="eastAsia" w:ascii="Times New Roman" w:hAnsi="Times New Roman" w:eastAsia="仿宋_GB2312" w:cs="仿宋_GB2312"/>
          <w:b w:val="0"/>
          <w:bCs w:val="0"/>
          <w:color w:val="auto"/>
          <w:kern w:val="2"/>
          <w:sz w:val="32"/>
          <w:szCs w:val="32"/>
          <w:highlight w:val="none"/>
          <w:lang w:val="en-US" w:eastAsia="zh-CN" w:bidi="ar-SA"/>
        </w:rPr>
        <w:t>配合牵头部门做好重要会议、重大公务活动的联系、协调、服务和保障等工作。</w:t>
      </w:r>
    </w:p>
    <w:p w14:paraId="7804E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（五）</w:t>
      </w:r>
      <w:r>
        <w:rPr>
          <w:rFonts w:hint="eastAsia" w:ascii="Times New Roman" w:hAnsi="Times New Roman" w:eastAsia="仿宋_GB2312" w:cs="仿宋_GB2312"/>
          <w:b w:val="0"/>
          <w:bCs w:val="0"/>
          <w:color w:val="auto"/>
          <w:kern w:val="2"/>
          <w:sz w:val="32"/>
          <w:szCs w:val="32"/>
          <w:highlight w:val="none"/>
          <w:lang w:val="en-US" w:eastAsia="zh-CN" w:bidi="ar-SA"/>
        </w:rPr>
        <w:t>负责县级领导</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含已退出领导岗位尚未办理退休手续的县级领导</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综合协调、工作协同、责任履行、保障服务及统筹落实中央、省、市、县委布置的应由县级领导干部承担的任务等工作</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制定完善县级领导服务保障机制。</w:t>
      </w:r>
    </w:p>
    <w:p w14:paraId="25372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（六）</w:t>
      </w:r>
      <w:r>
        <w:rPr>
          <w:rFonts w:hint="eastAsia" w:ascii="Times New Roman" w:hAnsi="Times New Roman" w:eastAsia="仿宋_GB2312" w:cs="仿宋_GB2312"/>
          <w:b w:val="0"/>
          <w:bCs w:val="0"/>
          <w:color w:val="auto"/>
          <w:kern w:val="2"/>
          <w:sz w:val="32"/>
          <w:szCs w:val="32"/>
          <w:highlight w:val="none"/>
          <w:lang w:val="en-US" w:eastAsia="zh-CN" w:bidi="ar-SA"/>
        </w:rPr>
        <w:t>完成县委、县政府以及县委办领导交办的其他工作。</w:t>
      </w:r>
    </w:p>
    <w:p w14:paraId="67FC9B85">
      <w:pPr>
        <w:pStyle w:val="4"/>
        <w:pageBreakBefore w:val="0"/>
        <w:kinsoku/>
        <w:wordWrap/>
        <w:overflowPunct/>
        <w:topLinePunct w:val="0"/>
        <w:autoSpaceDE/>
        <w:autoSpaceDN/>
        <w:bidi w:val="0"/>
        <w:spacing w:line="600" w:lineRule="exact"/>
        <w:textAlignment w:val="auto"/>
        <w:rPr>
          <w:rStyle w:val="32"/>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4"/>
      <w:bookmarkEnd w:id="15"/>
    </w:p>
    <w:p w14:paraId="71157210">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eastAsia="zh-CN"/>
        </w:rPr>
        <w:t>公务服务中心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8E15C24">
      <w:pPr>
        <w:pStyle w:val="7"/>
        <w:pageBreakBefore w:val="0"/>
        <w:kinsoku/>
        <w:wordWrap/>
        <w:overflowPunct/>
        <w:topLinePunct w:val="0"/>
        <w:autoSpaceDE/>
        <w:autoSpaceDN/>
        <w:bidi w:val="0"/>
        <w:adjustRightInd w:val="0"/>
        <w:snapToGrid w:val="0"/>
        <w:spacing w:before="93" w:line="600" w:lineRule="exact"/>
        <w:ind w:firstLine="672" w:firstLineChars="210"/>
        <w:textAlignment w:val="auto"/>
        <w:rPr>
          <w:rFonts w:hint="eastAsia" w:ascii="Times New Roman" w:hAnsi="Times New Roman" w:eastAsia="方正小标宋简体" w:cs="方正小标宋简体"/>
          <w:b w:val="0"/>
          <w:color w:val="auto"/>
          <w:highlight w:val="none"/>
        </w:rPr>
      </w:pPr>
      <w:r>
        <w:rPr>
          <w:rFonts w:hint="eastAsia" w:ascii="Times New Roman" w:hAnsi="Times New Roman" w:eastAsia="仿宋_GB2312" w:cs="仿宋_GB2312"/>
          <w:color w:val="auto"/>
          <w:sz w:val="32"/>
          <w:szCs w:val="32"/>
          <w:highlight w:val="none"/>
        </w:rPr>
        <w:t>纳入</w:t>
      </w:r>
      <w:r>
        <w:rPr>
          <w:rFonts w:hint="eastAsia" w:hAnsi="仿宋_GB2312" w:cs="仿宋_GB2312"/>
          <w:color w:val="auto"/>
          <w:sz w:val="32"/>
          <w:szCs w:val="32"/>
          <w:highlight w:val="none"/>
          <w:lang w:eastAsia="zh-CN"/>
        </w:rPr>
        <w:t>峨边彝族自治县</w:t>
      </w:r>
      <w:r>
        <w:rPr>
          <w:rFonts w:hint="eastAsia" w:ascii="Times New Roman" w:cs="仿宋_GB2312"/>
          <w:color w:val="auto"/>
          <w:sz w:val="32"/>
          <w:szCs w:val="32"/>
          <w:highlight w:val="none"/>
          <w:lang w:eastAsia="zh-CN"/>
        </w:rPr>
        <w:t>公务服务中心</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bookmarkStart w:id="16" w:name="_Toc15396602"/>
      <w:bookmarkStart w:id="17" w:name="_Toc15377204"/>
      <w:r>
        <w:rPr>
          <w:rFonts w:hint="eastAsia" w:eastAsia="仿宋"/>
          <w:color w:val="auto"/>
          <w:kern w:val="0"/>
          <w:sz w:val="32"/>
          <w:szCs w:val="32"/>
          <w:highlight w:val="none"/>
          <w:lang w:val="en-US" w:eastAsia="zh-CN"/>
        </w:rPr>
        <w:t>本单位无二级预算单位。</w:t>
      </w:r>
    </w:p>
    <w:p w14:paraId="27B32F9C">
      <w:pPr>
        <w:pStyle w:val="3"/>
        <w:pageBreakBefore w:val="0"/>
        <w:kinsoku/>
        <w:wordWrap/>
        <w:overflowPunct/>
        <w:topLinePunct w:val="0"/>
        <w:autoSpaceDE/>
        <w:autoSpaceDN/>
        <w:bidi w:val="0"/>
        <w:spacing w:line="600" w:lineRule="exact"/>
        <w:ind w:firstLine="440" w:firstLineChars="100"/>
        <w:jc w:val="both"/>
        <w:textAlignment w:val="auto"/>
        <w:rPr>
          <w:rFonts w:hint="eastAsia" w:ascii="Times New Roman" w:hAnsi="Times New Roman" w:eastAsia="方正小标宋简体" w:cs="方正小标宋简体"/>
          <w:b w:val="0"/>
          <w:color w:val="auto"/>
          <w:highlight w:val="none"/>
        </w:rPr>
      </w:pPr>
    </w:p>
    <w:p w14:paraId="33687995">
      <w:pPr>
        <w:pStyle w:val="3"/>
        <w:pageBreakBefore w:val="0"/>
        <w:kinsoku/>
        <w:wordWrap/>
        <w:overflowPunct/>
        <w:topLinePunct w:val="0"/>
        <w:autoSpaceDE/>
        <w:autoSpaceDN/>
        <w:bidi w:val="0"/>
        <w:spacing w:line="600" w:lineRule="exact"/>
        <w:ind w:firstLine="440" w:firstLineChars="100"/>
        <w:jc w:val="both"/>
        <w:textAlignment w:val="auto"/>
        <w:rPr>
          <w:rFonts w:hint="eastAsia" w:ascii="Times New Roman" w:hAnsi="Times New Roman" w:eastAsia="方正小标宋简体" w:cs="方正小标宋简体"/>
          <w:b w:val="0"/>
          <w:color w:val="auto"/>
          <w:highlight w:val="none"/>
        </w:rPr>
      </w:pPr>
    </w:p>
    <w:p w14:paraId="28A5528E">
      <w:pPr>
        <w:pStyle w:val="3"/>
        <w:pageBreakBefore w:val="0"/>
        <w:kinsoku/>
        <w:wordWrap/>
        <w:overflowPunct/>
        <w:topLinePunct w:val="0"/>
        <w:autoSpaceDE/>
        <w:autoSpaceDN/>
        <w:bidi w:val="0"/>
        <w:spacing w:line="600" w:lineRule="exact"/>
        <w:ind w:firstLine="440" w:firstLineChars="100"/>
        <w:jc w:val="both"/>
        <w:textAlignment w:val="auto"/>
        <w:rPr>
          <w:rFonts w:hint="eastAsia" w:ascii="Times New Roman" w:hAnsi="Times New Roman" w:eastAsia="方正小标宋简体" w:cs="方正小标宋简体"/>
          <w:b w:val="0"/>
          <w:color w:val="auto"/>
          <w:highlight w:val="none"/>
        </w:rPr>
      </w:pPr>
    </w:p>
    <w:p w14:paraId="25FA2BD5">
      <w:pPr>
        <w:pStyle w:val="3"/>
        <w:pageBreakBefore w:val="0"/>
        <w:kinsoku/>
        <w:wordWrap/>
        <w:overflowPunct/>
        <w:topLinePunct w:val="0"/>
        <w:autoSpaceDE/>
        <w:autoSpaceDN/>
        <w:bidi w:val="0"/>
        <w:spacing w:line="600" w:lineRule="exact"/>
        <w:jc w:val="both"/>
        <w:textAlignment w:val="auto"/>
        <w:rPr>
          <w:rFonts w:hint="eastAsia" w:ascii="Times New Roman" w:hAnsi="Times New Roman" w:eastAsia="方正小标宋简体" w:cs="方正小标宋简体"/>
          <w:b w:val="0"/>
          <w:color w:val="auto"/>
          <w:highlight w:val="none"/>
        </w:rPr>
      </w:pPr>
    </w:p>
    <w:p w14:paraId="01414F48">
      <w:pPr>
        <w:pageBreakBefore w:val="0"/>
        <w:kinsoku/>
        <w:wordWrap/>
        <w:overflowPunct/>
        <w:topLinePunct w:val="0"/>
        <w:autoSpaceDE/>
        <w:autoSpaceDN/>
        <w:bidi w:val="0"/>
        <w:spacing w:line="600" w:lineRule="exact"/>
        <w:textAlignment w:val="auto"/>
        <w:rPr>
          <w:rFonts w:hint="eastAsia" w:ascii="Times New Roman" w:hAnsi="Times New Roman" w:eastAsia="方正小标宋简体" w:cs="方正小标宋简体"/>
          <w:b w:val="0"/>
          <w:color w:val="auto"/>
          <w:highlight w:val="none"/>
        </w:rPr>
      </w:pPr>
    </w:p>
    <w:p w14:paraId="2A5E01F9">
      <w:pPr>
        <w:pStyle w:val="2"/>
        <w:pageBreakBefore w:val="0"/>
        <w:kinsoku/>
        <w:wordWrap/>
        <w:overflowPunct/>
        <w:topLinePunct w:val="0"/>
        <w:autoSpaceDE/>
        <w:autoSpaceDN/>
        <w:bidi w:val="0"/>
        <w:spacing w:line="600" w:lineRule="exact"/>
        <w:textAlignment w:val="auto"/>
        <w:rPr>
          <w:rFonts w:hint="eastAsia" w:ascii="Times New Roman" w:hAnsi="Times New Roman" w:eastAsia="方正小标宋简体" w:cs="方正小标宋简体"/>
          <w:b w:val="0"/>
          <w:color w:val="auto"/>
          <w:highlight w:val="none"/>
        </w:rPr>
      </w:pPr>
    </w:p>
    <w:p w14:paraId="566F5E7D">
      <w:pPr>
        <w:pageBreakBefore w:val="0"/>
        <w:kinsoku/>
        <w:wordWrap/>
        <w:overflowPunct/>
        <w:topLinePunct w:val="0"/>
        <w:autoSpaceDE/>
        <w:autoSpaceDN/>
        <w:bidi w:val="0"/>
        <w:spacing w:line="600" w:lineRule="exact"/>
        <w:textAlignment w:val="auto"/>
        <w:rPr>
          <w:rFonts w:hint="eastAsia" w:ascii="Times New Roman" w:hAnsi="Times New Roman" w:eastAsia="方正小标宋简体" w:cs="方正小标宋简体"/>
          <w:b w:val="0"/>
          <w:color w:val="auto"/>
          <w:highlight w:val="none"/>
        </w:rPr>
      </w:pPr>
    </w:p>
    <w:p w14:paraId="459A1299">
      <w:pPr>
        <w:pStyle w:val="2"/>
        <w:pageBreakBefore w:val="0"/>
        <w:kinsoku/>
        <w:wordWrap/>
        <w:overflowPunct/>
        <w:topLinePunct w:val="0"/>
        <w:autoSpaceDE/>
        <w:autoSpaceDN/>
        <w:bidi w:val="0"/>
        <w:spacing w:line="600" w:lineRule="exact"/>
        <w:textAlignment w:val="auto"/>
        <w:rPr>
          <w:rFonts w:hint="eastAsia"/>
        </w:rPr>
      </w:pPr>
    </w:p>
    <w:p w14:paraId="5751BCB8">
      <w:pPr>
        <w:rPr>
          <w:rFonts w:hint="eastAsia"/>
        </w:rPr>
      </w:pPr>
    </w:p>
    <w:p w14:paraId="6BE52D05">
      <w:pPr>
        <w:pStyle w:val="2"/>
        <w:rPr>
          <w:rFonts w:hint="eastAsia"/>
        </w:rPr>
      </w:pPr>
    </w:p>
    <w:p w14:paraId="0A0ED43E">
      <w:pPr>
        <w:pStyle w:val="3"/>
        <w:pageBreakBefore w:val="0"/>
        <w:kinsoku/>
        <w:wordWrap/>
        <w:overflowPunct/>
        <w:topLinePunct w:val="0"/>
        <w:autoSpaceDE/>
        <w:autoSpaceDN/>
        <w:bidi w:val="0"/>
        <w:spacing w:line="600" w:lineRule="exact"/>
        <w:jc w:val="both"/>
        <w:textAlignment w:val="auto"/>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3D242DAC">
      <w:pPr>
        <w:pageBreakBefore w:val="0"/>
        <w:kinsoku/>
        <w:wordWrap/>
        <w:overflowPunct/>
        <w:topLinePunct w:val="0"/>
        <w:autoSpaceDE/>
        <w:autoSpaceDN/>
        <w:bidi w:val="0"/>
        <w:spacing w:line="600" w:lineRule="exact"/>
        <w:textAlignment w:val="auto"/>
        <w:rPr>
          <w:rFonts w:ascii="Times New Roman" w:hAnsi="Times New Roman"/>
          <w:color w:val="auto"/>
          <w:highlight w:val="none"/>
        </w:rPr>
      </w:pPr>
    </w:p>
    <w:p w14:paraId="758DB7E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359F437C">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b/>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816.75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610.52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296</w:t>
      </w:r>
      <w:r>
        <w:rPr>
          <w:rFonts w:hint="eastAsia" w:ascii="Times New Roman" w:hAnsi="Times New Roman" w:eastAsia="仿宋_GB2312" w:cs="仿宋_GB2312"/>
          <w:color w:val="auto"/>
          <w:sz w:val="32"/>
          <w:szCs w:val="32"/>
          <w:highlight w:val="none"/>
        </w:rPr>
        <w:t>%。主要变动原因是</w:t>
      </w:r>
      <w:r>
        <w:rPr>
          <w:rFonts w:hint="eastAsia" w:ascii="仿宋_GB2312" w:hAnsi="仿宋" w:eastAsia="仿宋_GB2312"/>
          <w:color w:val="000000"/>
          <w:sz w:val="32"/>
          <w:szCs w:val="32"/>
          <w:lang w:eastAsia="zh-CN"/>
        </w:rPr>
        <w:t>县公务服务中心从2024年7月承担了县供销社转过来的职能职责：公务用车管理、行政事业性国有资产管理、办公用房管理等职责，经费也转由县公务服务中心使用。</w:t>
      </w:r>
    </w:p>
    <w:p w14:paraId="08EDF58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仿宋_GB2312"/>
          <w:color w:val="auto"/>
          <w:sz w:val="32"/>
          <w:szCs w:val="32"/>
          <w:highlight w:val="none"/>
        </w:rPr>
      </w:pPr>
      <w:r>
        <w:drawing>
          <wp:anchor distT="0" distB="0" distL="114300" distR="114300" simplePos="0" relativeHeight="251667456" behindDoc="0" locked="0" layoutInCell="1" allowOverlap="1">
            <wp:simplePos x="0" y="0"/>
            <wp:positionH relativeFrom="column">
              <wp:posOffset>692150</wp:posOffset>
            </wp:positionH>
            <wp:positionV relativeFrom="paragraph">
              <wp:posOffset>38735</wp:posOffset>
            </wp:positionV>
            <wp:extent cx="3731260" cy="2386965"/>
            <wp:effectExtent l="0" t="0" r="2540" b="13335"/>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3731260" cy="2386965"/>
                    </a:xfrm>
                    <a:prstGeom prst="rect">
                      <a:avLst/>
                    </a:prstGeom>
                    <a:noFill/>
                    <a:ln>
                      <a:noFill/>
                    </a:ln>
                  </pic:spPr>
                </pic:pic>
              </a:graphicData>
            </a:graphic>
          </wp:anchor>
        </w:drawing>
      </w:r>
    </w:p>
    <w:p w14:paraId="0ABC3F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rPr>
      </w:pPr>
    </w:p>
    <w:p w14:paraId="4B40F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rPr>
      </w:pPr>
    </w:p>
    <w:p w14:paraId="32B4D2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rPr>
      </w:pPr>
    </w:p>
    <w:p w14:paraId="3388A1BE">
      <w:pPr>
        <w:pStyle w:val="2"/>
        <w:pageBreakBefore w:val="0"/>
        <w:kinsoku/>
        <w:wordWrap/>
        <w:overflowPunct/>
        <w:topLinePunct w:val="0"/>
        <w:autoSpaceDE/>
        <w:autoSpaceDN/>
        <w:bidi w:val="0"/>
        <w:spacing w:line="600" w:lineRule="exact"/>
        <w:textAlignment w:val="auto"/>
        <w:rPr>
          <w:rFonts w:hint="eastAsia"/>
        </w:rPr>
      </w:pPr>
    </w:p>
    <w:p w14:paraId="4F423D0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p>
    <w:p w14:paraId="6611AD98">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49A3DAC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816.75万元，其中：一般公共预算财政拨款收入816.75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10ED5923">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2CC482A7">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64265B33">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6CF536D1">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669B29B1">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6A5FFB6F">
      <w:pPr>
        <w:pStyle w:val="2"/>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4384" behindDoc="0" locked="0" layoutInCell="1" allowOverlap="1">
            <wp:simplePos x="0" y="0"/>
            <wp:positionH relativeFrom="column">
              <wp:posOffset>402590</wp:posOffset>
            </wp:positionH>
            <wp:positionV relativeFrom="paragraph">
              <wp:posOffset>2540</wp:posOffset>
            </wp:positionV>
            <wp:extent cx="3796665" cy="2280920"/>
            <wp:effectExtent l="0" t="0" r="13335" b="508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3796665" cy="2280920"/>
                    </a:xfrm>
                    <a:prstGeom prst="rect">
                      <a:avLst/>
                    </a:prstGeom>
                    <a:noFill/>
                    <a:ln>
                      <a:noFill/>
                    </a:ln>
                  </pic:spPr>
                </pic:pic>
              </a:graphicData>
            </a:graphic>
          </wp:anchor>
        </w:drawing>
      </w:r>
    </w:p>
    <w:p w14:paraId="29731018">
      <w:pPr>
        <w:rPr>
          <w:rFonts w:hint="eastAsia" w:ascii="Times New Roman" w:hAnsi="Times New Roman" w:eastAsia="仿宋_GB2312" w:cs="仿宋_GB2312"/>
          <w:color w:val="auto"/>
          <w:sz w:val="32"/>
          <w:szCs w:val="32"/>
          <w:highlight w:val="none"/>
          <w:lang w:eastAsia="zh-CN"/>
        </w:rPr>
      </w:pPr>
    </w:p>
    <w:p w14:paraId="101A5987">
      <w:pPr>
        <w:pStyle w:val="2"/>
        <w:rPr>
          <w:rFonts w:hint="eastAsia" w:ascii="Times New Roman" w:hAnsi="Times New Roman" w:eastAsia="仿宋_GB2312" w:cs="仿宋_GB2312"/>
          <w:color w:val="auto"/>
          <w:sz w:val="32"/>
          <w:szCs w:val="32"/>
          <w:highlight w:val="none"/>
          <w:lang w:eastAsia="zh-CN"/>
        </w:rPr>
      </w:pPr>
    </w:p>
    <w:p w14:paraId="5DFA545F">
      <w:pPr>
        <w:rPr>
          <w:rFonts w:hint="eastAsia" w:ascii="Times New Roman" w:hAnsi="Times New Roman" w:eastAsia="仿宋_GB2312" w:cs="仿宋_GB2312"/>
          <w:color w:val="auto"/>
          <w:sz w:val="32"/>
          <w:szCs w:val="32"/>
          <w:highlight w:val="none"/>
          <w:lang w:eastAsia="zh-CN"/>
        </w:rPr>
      </w:pPr>
    </w:p>
    <w:p w14:paraId="0E9624C3">
      <w:pPr>
        <w:pStyle w:val="2"/>
        <w:rPr>
          <w:rFonts w:hint="eastAsia"/>
          <w:lang w:eastAsia="zh-CN"/>
        </w:rPr>
      </w:pPr>
    </w:p>
    <w:p w14:paraId="170D93C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7B3F53C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highlight w:val="none"/>
        </w:rPr>
        <w:t>816.75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highlight w:val="none"/>
        </w:rPr>
        <w:t>399.2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48.8</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highlight w:val="none"/>
        </w:rPr>
        <w:t>417.55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51.12</w:t>
      </w:r>
      <w:r>
        <w:rPr>
          <w:rFonts w:hint="eastAsia" w:ascii="仿宋_GB2312" w:hAnsi="仿宋_GB2312" w:eastAsia="仿宋_GB2312" w:cs="仿宋_GB2312"/>
          <w:color w:val="auto"/>
          <w:sz w:val="32"/>
          <w:szCs w:val="32"/>
          <w:highlight w:val="none"/>
          <w:lang w:eastAsia="zh-CN"/>
        </w:rPr>
        <w:t>%；</w:t>
      </w:r>
    </w:p>
    <w:p w14:paraId="72A4985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highlight w:val="none"/>
        </w:rPr>
        <w:drawing>
          <wp:anchor distT="0" distB="0" distL="114300" distR="114300" simplePos="0" relativeHeight="251670528" behindDoc="0" locked="0" layoutInCell="1" allowOverlap="1">
            <wp:simplePos x="0" y="0"/>
            <wp:positionH relativeFrom="column">
              <wp:posOffset>516890</wp:posOffset>
            </wp:positionH>
            <wp:positionV relativeFrom="paragraph">
              <wp:posOffset>94615</wp:posOffset>
            </wp:positionV>
            <wp:extent cx="3793490" cy="2279015"/>
            <wp:effectExtent l="0" t="0" r="16510" b="698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3793490" cy="2279015"/>
                    </a:xfrm>
                    <a:prstGeom prst="rect">
                      <a:avLst/>
                    </a:prstGeom>
                    <a:noFill/>
                    <a:ln>
                      <a:noFill/>
                    </a:ln>
                  </pic:spPr>
                </pic:pic>
              </a:graphicData>
            </a:graphic>
          </wp:anchor>
        </w:drawing>
      </w:r>
    </w:p>
    <w:p w14:paraId="76B99C0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150EDEA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335C7BAC">
      <w:pPr>
        <w:pageBreakBefore w:val="0"/>
        <w:kinsoku/>
        <w:wordWrap/>
        <w:overflowPunct/>
        <w:topLinePunct w:val="0"/>
        <w:autoSpaceDE/>
        <w:autoSpaceDN/>
        <w:bidi w:val="0"/>
        <w:spacing w:line="600" w:lineRule="exact"/>
        <w:ind w:firstLine="640" w:firstLineChars="200"/>
        <w:textAlignment w:val="auto"/>
        <w:outlineLvl w:val="1"/>
        <w:rPr>
          <w:rFonts w:hint="eastAsia" w:ascii="Times New Roman" w:hAnsi="Times New Roman" w:eastAsia="黑体"/>
          <w:color w:val="auto"/>
          <w:sz w:val="32"/>
          <w:szCs w:val="32"/>
          <w:highlight w:val="none"/>
        </w:rPr>
      </w:pPr>
      <w:bookmarkStart w:id="24" w:name="_Toc15377208"/>
      <w:bookmarkStart w:id="25" w:name="_Toc15396606"/>
    </w:p>
    <w:p w14:paraId="129524F4">
      <w:pPr>
        <w:pageBreakBefore w:val="0"/>
        <w:kinsoku/>
        <w:wordWrap/>
        <w:overflowPunct/>
        <w:topLinePunct w:val="0"/>
        <w:autoSpaceDE/>
        <w:autoSpaceDN/>
        <w:bidi w:val="0"/>
        <w:spacing w:line="600" w:lineRule="exact"/>
        <w:ind w:firstLine="640" w:firstLineChars="200"/>
        <w:textAlignment w:val="auto"/>
        <w:outlineLvl w:val="1"/>
        <w:rPr>
          <w:rFonts w:hint="eastAsia" w:ascii="Times New Roman" w:hAnsi="Times New Roman" w:eastAsia="黑体"/>
          <w:color w:val="auto"/>
          <w:sz w:val="32"/>
          <w:szCs w:val="32"/>
          <w:highlight w:val="none"/>
        </w:rPr>
      </w:pPr>
    </w:p>
    <w:p w14:paraId="0EA60A9F">
      <w:pPr>
        <w:pStyle w:val="2"/>
        <w:jc w:val="both"/>
        <w:rPr>
          <w:rFonts w:hint="eastAsia"/>
        </w:rPr>
      </w:pPr>
    </w:p>
    <w:p w14:paraId="62405D36">
      <w:pPr>
        <w:pageBreakBefore w:val="0"/>
        <w:kinsoku/>
        <w:wordWrap/>
        <w:overflowPunct/>
        <w:topLinePunct w:val="0"/>
        <w:autoSpaceDE/>
        <w:autoSpaceDN/>
        <w:bidi w:val="0"/>
        <w:spacing w:line="600" w:lineRule="exact"/>
        <w:ind w:firstLine="640" w:firstLineChars="200"/>
        <w:textAlignment w:val="auto"/>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39DE4929">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b/>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816.75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610.52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296</w:t>
      </w:r>
      <w:r>
        <w:rPr>
          <w:rFonts w:hint="eastAsia" w:ascii="Times New Roman" w:hAnsi="Times New Roman" w:eastAsia="仿宋_GB2312" w:cs="仿宋_GB2312"/>
          <w:color w:val="auto"/>
          <w:sz w:val="32"/>
          <w:szCs w:val="32"/>
          <w:highlight w:val="none"/>
        </w:rPr>
        <w:t>%。主要变动原因是</w:t>
      </w:r>
      <w:r>
        <w:rPr>
          <w:rFonts w:hint="eastAsia" w:ascii="仿宋_GB2312" w:hAnsi="仿宋" w:eastAsia="仿宋_GB2312"/>
          <w:color w:val="000000"/>
          <w:sz w:val="32"/>
          <w:szCs w:val="32"/>
          <w:lang w:eastAsia="zh-CN"/>
        </w:rPr>
        <w:t>县公务服务中心从2024年7月承担了县供销社转过来的职能职责：公务用车管理、行政事业性国有资产管理、办公用房管理等职责，经费也转由县公务服务中心使用。</w:t>
      </w:r>
    </w:p>
    <w:p w14:paraId="139D46CE">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6432" behindDoc="0" locked="0" layoutInCell="1" allowOverlap="1">
            <wp:simplePos x="0" y="0"/>
            <wp:positionH relativeFrom="column">
              <wp:posOffset>501650</wp:posOffset>
            </wp:positionH>
            <wp:positionV relativeFrom="paragraph">
              <wp:posOffset>123190</wp:posOffset>
            </wp:positionV>
            <wp:extent cx="3863340" cy="2472055"/>
            <wp:effectExtent l="0" t="0" r="3810" b="4445"/>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3863340" cy="2472055"/>
                    </a:xfrm>
                    <a:prstGeom prst="rect">
                      <a:avLst/>
                    </a:prstGeom>
                    <a:noFill/>
                    <a:ln>
                      <a:noFill/>
                    </a:ln>
                  </pic:spPr>
                </pic:pic>
              </a:graphicData>
            </a:graphic>
          </wp:anchor>
        </w:drawing>
      </w:r>
    </w:p>
    <w:p w14:paraId="5F74B724">
      <w:pPr>
        <w:pStyle w:val="2"/>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DC3B659">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1FDC898">
      <w:pPr>
        <w:pStyle w:val="2"/>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742289C2">
      <w:pPr>
        <w:pStyle w:val="2"/>
        <w:pageBreakBefore w:val="0"/>
        <w:kinsoku/>
        <w:wordWrap/>
        <w:overflowPunct/>
        <w:topLinePunct w:val="0"/>
        <w:autoSpaceDE/>
        <w:autoSpaceDN/>
        <w:bidi w:val="0"/>
        <w:spacing w:line="600" w:lineRule="exact"/>
        <w:jc w:val="both"/>
        <w:textAlignment w:val="auto"/>
        <w:rPr>
          <w:rFonts w:hint="eastAsia"/>
          <w:lang w:val="en-US" w:eastAsia="zh-CN"/>
        </w:rPr>
      </w:pPr>
    </w:p>
    <w:p w14:paraId="5945CB2D">
      <w:pPr>
        <w:rPr>
          <w:rFonts w:hint="eastAsia"/>
          <w:lang w:val="en-US" w:eastAsia="zh-CN"/>
        </w:rPr>
      </w:pPr>
    </w:p>
    <w:p w14:paraId="0AA8AB2F">
      <w:pPr>
        <w:pageBreakBefore w:val="0"/>
        <w:kinsoku/>
        <w:wordWrap/>
        <w:overflowPunct/>
        <w:topLinePunct w:val="0"/>
        <w:autoSpaceDE/>
        <w:autoSpaceDN/>
        <w:bidi w:val="0"/>
        <w:spacing w:line="600" w:lineRule="exact"/>
        <w:ind w:firstLine="640" w:firstLineChars="200"/>
        <w:textAlignment w:val="auto"/>
        <w:outlineLvl w:val="1"/>
        <w:rPr>
          <w:rStyle w:val="32"/>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6E9C9BCB">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7701D62A">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b/>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816.75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610.52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296</w:t>
      </w:r>
      <w:r>
        <w:rPr>
          <w:rFonts w:hint="eastAsia" w:ascii="Times New Roman" w:hAnsi="Times New Roman" w:eastAsia="仿宋_GB2312" w:cs="仿宋_GB2312"/>
          <w:color w:val="auto"/>
          <w:sz w:val="32"/>
          <w:szCs w:val="32"/>
          <w:highlight w:val="none"/>
        </w:rPr>
        <w:t>%。主要变动原因是</w:t>
      </w:r>
      <w:r>
        <w:rPr>
          <w:rFonts w:hint="eastAsia" w:ascii="仿宋_GB2312" w:hAnsi="仿宋" w:eastAsia="仿宋_GB2312"/>
          <w:color w:val="000000"/>
          <w:sz w:val="32"/>
          <w:szCs w:val="32"/>
          <w:lang w:eastAsia="zh-CN"/>
        </w:rPr>
        <w:t>县公务服务中心从2024年7月承担了县供销社转过来的职能职责：公务用车管理、行政事业性国有资产管理、办公用房管理等职责，经费也转由县公务服务中心使用。</w:t>
      </w:r>
    </w:p>
    <w:p w14:paraId="4703E59B">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657860</wp:posOffset>
            </wp:positionH>
            <wp:positionV relativeFrom="paragraph">
              <wp:posOffset>88900</wp:posOffset>
            </wp:positionV>
            <wp:extent cx="3855720" cy="2466975"/>
            <wp:effectExtent l="0" t="0" r="11430" b="952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3855720" cy="2466975"/>
                    </a:xfrm>
                    <a:prstGeom prst="rect">
                      <a:avLst/>
                    </a:prstGeom>
                    <a:noFill/>
                    <a:ln>
                      <a:noFill/>
                    </a:ln>
                  </pic:spPr>
                </pic:pic>
              </a:graphicData>
            </a:graphic>
          </wp:anchor>
        </w:drawing>
      </w:r>
    </w:p>
    <w:p w14:paraId="7F668412">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39F7E68">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CB6E087">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6D1400B">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9" w:name="_Toc15377211"/>
    </w:p>
    <w:p w14:paraId="6A97AFB5">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p>
    <w:p w14:paraId="3E132399">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p>
    <w:p w14:paraId="77F4313A">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7E49118C">
      <w:pPr>
        <w:pageBreakBefore w:val="0"/>
        <w:numPr>
          <w:ilvl w:val="0"/>
          <w:numId w:val="0"/>
        </w:numPr>
        <w:kinsoku/>
        <w:wordWrap/>
        <w:overflowPunct/>
        <w:topLinePunct w:val="0"/>
        <w:autoSpaceDE/>
        <w:autoSpaceDN/>
        <w:bidi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816.75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_GB2312" w:hAnsi="仿宋" w:eastAsia="仿宋_GB2312"/>
          <w:sz w:val="32"/>
          <w:szCs w:val="32"/>
          <w:highlight w:val="none"/>
        </w:rPr>
        <w:t>一般公共服务支出759.65</w:t>
      </w:r>
      <w:r>
        <w:rPr>
          <w:rFonts w:hint="eastAsia" w:ascii="仿宋_GB2312" w:hAnsi="仿宋" w:eastAsia="仿宋_GB2312"/>
          <w:sz w:val="32"/>
          <w:szCs w:val="32"/>
          <w:highlight w:val="none"/>
          <w:lang w:eastAsia="zh-CN"/>
        </w:rPr>
        <w:t>万元，</w:t>
      </w:r>
      <w:r>
        <w:rPr>
          <w:rFonts w:hint="eastAsia" w:ascii="仿宋_GB2312" w:hAnsi="仿宋" w:eastAsia="仿宋_GB2312"/>
          <w:sz w:val="32"/>
          <w:szCs w:val="32"/>
          <w:highlight w:val="none"/>
          <w:lang w:val="en-US" w:eastAsia="zh-CN"/>
        </w:rPr>
        <w:t>占总支出93.01%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社会保障和就业支出23.77</w:t>
      </w:r>
      <w:r>
        <w:rPr>
          <w:rFonts w:hint="eastAsia" w:ascii="仿宋_GB2312" w:hAnsi="仿宋" w:eastAsia="仿宋_GB2312"/>
          <w:sz w:val="32"/>
          <w:szCs w:val="32"/>
          <w:highlight w:val="none"/>
          <w:lang w:eastAsia="zh-CN"/>
        </w:rPr>
        <w:t>万元，</w:t>
      </w:r>
      <w:r>
        <w:rPr>
          <w:rFonts w:hint="eastAsia" w:ascii="仿宋_GB2312" w:hAnsi="仿宋" w:eastAsia="仿宋_GB2312"/>
          <w:sz w:val="32"/>
          <w:szCs w:val="32"/>
          <w:highlight w:val="none"/>
          <w:lang w:val="en-US" w:eastAsia="zh-CN"/>
        </w:rPr>
        <w:t>占总支出2.91%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农林水支出17.25</w:t>
      </w:r>
      <w:r>
        <w:rPr>
          <w:rFonts w:hint="eastAsia" w:ascii="仿宋_GB2312" w:hAnsi="仿宋" w:eastAsia="仿宋_GB2312"/>
          <w:sz w:val="32"/>
          <w:szCs w:val="32"/>
          <w:highlight w:val="none"/>
          <w:lang w:eastAsia="zh-CN"/>
        </w:rPr>
        <w:t>万元，</w:t>
      </w:r>
      <w:r>
        <w:rPr>
          <w:rFonts w:hint="eastAsia" w:ascii="仿宋_GB2312" w:hAnsi="仿宋" w:eastAsia="仿宋_GB2312"/>
          <w:sz w:val="32"/>
          <w:szCs w:val="32"/>
          <w:highlight w:val="none"/>
          <w:lang w:val="en-US" w:eastAsia="zh-CN"/>
        </w:rPr>
        <w:t>占总支出2.11%，</w:t>
      </w:r>
      <w:r>
        <w:rPr>
          <w:rFonts w:hint="eastAsia" w:ascii="仿宋_GB2312" w:hAnsi="仿宋" w:eastAsia="仿宋_GB2312"/>
          <w:sz w:val="32"/>
          <w:szCs w:val="32"/>
          <w:highlight w:val="none"/>
        </w:rPr>
        <w:t>卫生健康支出</w:t>
      </w:r>
      <w:r>
        <w:rPr>
          <w:rFonts w:hint="eastAsia" w:ascii="仿宋_GB2312" w:hAnsi="仿宋" w:eastAsia="仿宋_GB2312"/>
          <w:sz w:val="32"/>
          <w:szCs w:val="32"/>
          <w:highlight w:val="none"/>
          <w:lang w:val="en-US" w:eastAsia="zh-CN"/>
        </w:rPr>
        <w:t>4.08万元，占总支出0.5%，</w:t>
      </w:r>
      <w:r>
        <w:rPr>
          <w:rFonts w:hint="eastAsia" w:ascii="仿宋_GB2312" w:hAnsi="仿宋" w:eastAsia="仿宋_GB2312"/>
          <w:sz w:val="32"/>
          <w:szCs w:val="32"/>
          <w:highlight w:val="none"/>
        </w:rPr>
        <w:t>住房保障支出</w:t>
      </w:r>
      <w:r>
        <w:rPr>
          <w:rFonts w:hint="eastAsia" w:ascii="仿宋_GB2312" w:hAnsi="仿宋" w:eastAsia="仿宋_GB2312"/>
          <w:sz w:val="32"/>
          <w:szCs w:val="32"/>
          <w:highlight w:val="none"/>
          <w:lang w:val="en-US" w:eastAsia="zh-CN"/>
        </w:rPr>
        <w:t>12万元，占总支出1.47%。</w:t>
      </w:r>
    </w:p>
    <w:p w14:paraId="0510636D">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8480" behindDoc="0" locked="0" layoutInCell="1" allowOverlap="1">
            <wp:simplePos x="0" y="0"/>
            <wp:positionH relativeFrom="column">
              <wp:posOffset>761365</wp:posOffset>
            </wp:positionH>
            <wp:positionV relativeFrom="paragraph">
              <wp:posOffset>62230</wp:posOffset>
            </wp:positionV>
            <wp:extent cx="3763645" cy="2449830"/>
            <wp:effectExtent l="0" t="0" r="8255" b="7620"/>
            <wp:wrapNone/>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3"/>
                    <a:stretch>
                      <a:fillRect/>
                    </a:stretch>
                  </pic:blipFill>
                  <pic:spPr>
                    <a:xfrm>
                      <a:off x="0" y="0"/>
                      <a:ext cx="3763645" cy="2449830"/>
                    </a:xfrm>
                    <a:prstGeom prst="rect">
                      <a:avLst/>
                    </a:prstGeom>
                    <a:noFill/>
                    <a:ln>
                      <a:noFill/>
                    </a:ln>
                  </pic:spPr>
                </pic:pic>
              </a:graphicData>
            </a:graphic>
          </wp:anchor>
        </w:drawing>
      </w:r>
    </w:p>
    <w:p w14:paraId="0589BA1A">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3A9B58A">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65B400A">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D542534">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59CADD6">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0" w:name="_Toc15377212"/>
    </w:p>
    <w:p w14:paraId="6AE4A03B">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p>
    <w:p w14:paraId="4165BC2F">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1518566">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bookmarkStart w:id="34" w:name="_Toc15396608"/>
      <w:bookmarkStart w:id="35" w:name="_Toc1537721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816.75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0AFD2A0">
      <w:pPr>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一般公共服务（类）党委办公厅（室）及相关机构事务（款）  其他党委办公厅（室）及相关机构事务支出（项）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759.65</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 ，完成预算</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%，决算数等于预算数</w:t>
      </w:r>
      <w:r>
        <w:rPr>
          <w:rStyle w:val="19"/>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14:paraId="028C7A27">
      <w:pPr>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Style w:val="19"/>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社会保障和就业（类）行政事业单位养老支出（款）  机关事业单位基本养老保险缴费支出（项）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 xml:space="preserve"> 支出决算为</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14.41</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%，决算数等于预算数</w:t>
      </w:r>
      <w:r>
        <w:rPr>
          <w:rStyle w:val="19"/>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14:paraId="2D3E4492">
      <w:pPr>
        <w:pageBreakBefore w:val="0"/>
        <w:kinsoku/>
        <w:wordWrap/>
        <w:overflowPunct/>
        <w:topLinePunct w:val="0"/>
        <w:autoSpaceDE/>
        <w:autoSpaceDN/>
        <w:bidi w:val="0"/>
        <w:spacing w:line="600" w:lineRule="exact"/>
        <w:ind w:firstLine="643" w:firstLineChars="200"/>
        <w:textAlignment w:val="auto"/>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19"/>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社会保障和就业（类）行政事业单位养老支出</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款）    机关事业单位职业年金缴费支出（项）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 xml:space="preserve"> 支出决算为</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7.2</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%，决算数等于预算数</w:t>
      </w:r>
      <w:r>
        <w:rPr>
          <w:rStyle w:val="19"/>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14:paraId="12711CBC">
      <w:pPr>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Style w:val="19"/>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4.</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社会保障和就业（类）其他社会保障和就业支出（款）其他社会保障和就业支出（项）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2.16</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%，决算数等于预算数</w:t>
      </w:r>
      <w:r>
        <w:rPr>
          <w:rStyle w:val="19"/>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14:paraId="4DA457D5">
      <w:pPr>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卫生健康</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（类）行政事业单位医疗（款）事业单位医疗（项）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4.08</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9"/>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9"/>
          <w:rFonts w:hint="eastAsia" w:ascii="仿宋_GB2312" w:hAnsi="仿宋_GB2312" w:eastAsia="仿宋_GB2312" w:cs="仿宋_GB2312"/>
          <w:b w:val="0"/>
          <w:bCs/>
          <w:color w:val="000000" w:themeColor="text1"/>
          <w:sz w:val="32"/>
          <w:szCs w:val="32"/>
          <w:highlight w:val="none"/>
          <w14:textFill>
            <w14:solidFill>
              <w14:schemeClr w14:val="tx1"/>
            </w14:solidFill>
          </w14:textFill>
        </w:rPr>
        <w:t>%，决算数等于预算数</w:t>
      </w:r>
      <w:r>
        <w:rPr>
          <w:rStyle w:val="19"/>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14:paraId="1D89054B">
      <w:pPr>
        <w:pageBreakBefore w:val="0"/>
        <w:kinsoku/>
        <w:wordWrap/>
        <w:overflowPunct/>
        <w:topLinePunct w:val="0"/>
        <w:autoSpaceDE/>
        <w:autoSpaceDN/>
        <w:bidi w:val="0"/>
        <w:spacing w:line="600" w:lineRule="exact"/>
        <w:ind w:firstLine="643" w:firstLineChars="200"/>
        <w:textAlignment w:val="auto"/>
        <w:rPr>
          <w:rStyle w:val="19"/>
          <w:rFonts w:hint="eastAsia" w:ascii="仿宋" w:hAnsi="仿宋" w:eastAsia="仿宋"/>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住房保障支出</w:t>
      </w:r>
      <w:r>
        <w:rPr>
          <w:rStyle w:val="19"/>
          <w:rFonts w:hint="eastAsia" w:ascii="仿宋_GB2312" w:hAnsi="仿宋_GB2312" w:eastAsia="仿宋_GB2312" w:cs="仿宋_GB2312"/>
          <w:b/>
          <w:bCs/>
          <w:color w:val="000000" w:themeColor="text1"/>
          <w:sz w:val="32"/>
          <w:szCs w:val="32"/>
          <w:highlight w:val="none"/>
          <w14:textFill>
            <w14:solidFill>
              <w14:schemeClr w14:val="tx1"/>
            </w14:solidFill>
          </w14:textFill>
        </w:rPr>
        <w:t>（类）</w:t>
      </w:r>
      <w:r>
        <w:rPr>
          <w:rStyle w:val="19"/>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住房改革支出</w:t>
      </w:r>
      <w:r>
        <w:rPr>
          <w:rStyle w:val="19"/>
          <w:rFonts w:hint="eastAsia" w:ascii="仿宋_GB2312" w:hAnsi="仿宋_GB2312" w:eastAsia="仿宋_GB2312" w:cs="仿宋_GB2312"/>
          <w:b/>
          <w:bCs/>
          <w:color w:val="000000" w:themeColor="text1"/>
          <w:sz w:val="32"/>
          <w:szCs w:val="32"/>
          <w:highlight w:val="none"/>
          <w14:textFill>
            <w14:solidFill>
              <w14:schemeClr w14:val="tx1"/>
            </w14:solidFill>
          </w14:textFill>
        </w:rPr>
        <w:t>（款）</w:t>
      </w:r>
      <w:r>
        <w:rPr>
          <w:rStyle w:val="19"/>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住房</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公积金</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12</w:t>
      </w:r>
      <w:r>
        <w:rPr>
          <w:rStyle w:val="19"/>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9"/>
          <w:rFonts w:ascii="仿宋" w:hAnsi="仿宋" w:eastAsia="仿宋"/>
          <w:b w:val="0"/>
          <w:bCs/>
          <w:color w:val="000000" w:themeColor="text1"/>
          <w:sz w:val="32"/>
          <w:szCs w:val="32"/>
          <w:highlight w:val="none"/>
          <w14:textFill>
            <w14:solidFill>
              <w14:schemeClr w14:val="tx1"/>
            </w14:solidFill>
          </w14:textFill>
        </w:rPr>
        <w:t>%</w:t>
      </w:r>
      <w:r>
        <w:rPr>
          <w:rStyle w:val="19"/>
          <w:rFonts w:hint="eastAsia" w:ascii="仿宋" w:hAnsi="仿宋" w:eastAsia="仿宋"/>
          <w:b w:val="0"/>
          <w:bCs/>
          <w:color w:val="000000" w:themeColor="text1"/>
          <w:sz w:val="32"/>
          <w:szCs w:val="32"/>
          <w:highlight w:val="none"/>
          <w14:textFill>
            <w14:solidFill>
              <w14:schemeClr w14:val="tx1"/>
            </w14:solidFill>
          </w14:textFill>
        </w:rPr>
        <w:t>，决算数等于预算数</w:t>
      </w:r>
      <w:r>
        <w:rPr>
          <w:rStyle w:val="19"/>
          <w:rFonts w:hint="eastAsia" w:ascii="仿宋" w:hAnsi="仿宋" w:eastAsia="仿宋"/>
          <w:b w:val="0"/>
          <w:bCs/>
          <w:color w:val="000000" w:themeColor="text1"/>
          <w:sz w:val="32"/>
          <w:szCs w:val="32"/>
          <w:highlight w:val="none"/>
          <w:lang w:eastAsia="zh-CN"/>
          <w14:textFill>
            <w14:solidFill>
              <w14:schemeClr w14:val="tx1"/>
            </w14:solidFill>
          </w14:textFill>
        </w:rPr>
        <w:t>。</w:t>
      </w:r>
    </w:p>
    <w:p w14:paraId="3BFB9332">
      <w:pPr>
        <w:pageBreakBefore w:val="0"/>
        <w:kinsoku/>
        <w:wordWrap/>
        <w:overflowPunct/>
        <w:topLinePunct w:val="0"/>
        <w:autoSpaceDE/>
        <w:autoSpaceDN/>
        <w:bidi w:val="0"/>
        <w:spacing w:line="600" w:lineRule="exact"/>
        <w:ind w:firstLine="643" w:firstLineChars="200"/>
        <w:textAlignment w:val="auto"/>
        <w:rPr>
          <w:rFonts w:hint="default" w:eastAsia="仿宋_GB2312"/>
          <w:lang w:val="en-US" w:eastAsia="zh-CN"/>
        </w:rPr>
      </w:pPr>
      <w:r>
        <w:rPr>
          <w:rStyle w:val="19"/>
          <w:rFonts w:hint="eastAsia" w:ascii="仿宋" w:hAnsi="仿宋" w:eastAsia="仿宋"/>
          <w:b/>
          <w:bCs w:val="0"/>
          <w:color w:val="000000" w:themeColor="text1"/>
          <w:sz w:val="32"/>
          <w:szCs w:val="32"/>
          <w:highlight w:val="none"/>
          <w:lang w:val="en-US" w:eastAsia="zh-CN"/>
          <w14:textFill>
            <w14:solidFill>
              <w14:schemeClr w14:val="tx1"/>
            </w14:solidFill>
          </w14:textFill>
        </w:rPr>
        <w:t>7.农林水支出</w:t>
      </w:r>
      <w:r>
        <w:rPr>
          <w:rStyle w:val="19"/>
          <w:rFonts w:hint="eastAsia" w:ascii="仿宋_GB2312" w:hAnsi="仿宋_GB2312" w:eastAsia="仿宋_GB2312" w:cs="仿宋_GB2312"/>
          <w:b/>
          <w:bCs/>
          <w:color w:val="000000" w:themeColor="text1"/>
          <w:sz w:val="32"/>
          <w:szCs w:val="32"/>
          <w:highlight w:val="none"/>
          <w14:textFill>
            <w14:solidFill>
              <w14:schemeClr w14:val="tx1"/>
            </w14:solidFill>
          </w14:textFill>
        </w:rPr>
        <w:t>（类）巩固脱贫攻坚成果衔接乡村振兴（款）其他巩固脱贫攻坚成果衔接乡村振兴支出</w:t>
      </w:r>
      <w:r>
        <w:rPr>
          <w:rStyle w:val="19"/>
          <w:rFonts w:hint="eastAsia" w:ascii="仿宋_GB2312" w:hAnsi="仿宋_GB2312" w:eastAsia="仿宋_GB2312" w:cs="仿宋_GB2312"/>
          <w:bCs/>
          <w:color w:val="000000" w:themeColor="text1"/>
          <w:sz w:val="32"/>
          <w:szCs w:val="32"/>
          <w:highlight w:val="none"/>
          <w14:textFill>
            <w14:solidFill>
              <w14:schemeClr w14:val="tx1"/>
            </w14:solidFill>
          </w14:textFill>
        </w:rPr>
        <w:t>（项）</w:t>
      </w:r>
      <w:r>
        <w:rPr>
          <w:rStyle w:val="19"/>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9"/>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支出决算为</w:t>
      </w:r>
      <w:r>
        <w:rPr>
          <w:rStyle w:val="19"/>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17.25万元，</w:t>
      </w:r>
      <w:r>
        <w:rPr>
          <w:rStyle w:val="19"/>
          <w:rFonts w:hint="eastAsia" w:ascii="仿宋" w:hAnsi="仿宋" w:eastAsia="仿宋"/>
          <w:b w:val="0"/>
          <w:bCs w:val="0"/>
          <w:color w:val="000000" w:themeColor="text1"/>
          <w:sz w:val="32"/>
          <w:szCs w:val="32"/>
          <w:highlight w:val="none"/>
          <w14:textFill>
            <w14:solidFill>
              <w14:schemeClr w14:val="tx1"/>
            </w14:solidFill>
          </w14:textFill>
        </w:rPr>
        <w:t>完成预算</w:t>
      </w:r>
      <w:r>
        <w:rPr>
          <w:rStyle w:val="19"/>
          <w:rFonts w:hint="eastAsia" w:ascii="仿宋" w:hAnsi="仿宋" w:eastAsia="仿宋"/>
          <w:b w:val="0"/>
          <w:bCs w:val="0"/>
          <w:color w:val="000000" w:themeColor="text1"/>
          <w:sz w:val="32"/>
          <w:szCs w:val="32"/>
          <w:highlight w:val="none"/>
          <w:lang w:val="en-US" w:eastAsia="zh-CN"/>
          <w14:textFill>
            <w14:solidFill>
              <w14:schemeClr w14:val="tx1"/>
            </w14:solidFill>
          </w14:textFill>
        </w:rPr>
        <w:t>100</w:t>
      </w:r>
      <w:r>
        <w:rPr>
          <w:rStyle w:val="19"/>
          <w:rFonts w:ascii="仿宋" w:hAnsi="仿宋" w:eastAsia="仿宋"/>
          <w:b w:val="0"/>
          <w:bCs w:val="0"/>
          <w:color w:val="000000" w:themeColor="text1"/>
          <w:sz w:val="32"/>
          <w:szCs w:val="32"/>
          <w:highlight w:val="none"/>
          <w14:textFill>
            <w14:solidFill>
              <w14:schemeClr w14:val="tx1"/>
            </w14:solidFill>
          </w14:textFill>
        </w:rPr>
        <w:t>%</w:t>
      </w:r>
      <w:r>
        <w:rPr>
          <w:rStyle w:val="19"/>
          <w:rFonts w:hint="eastAsia" w:ascii="仿宋" w:hAnsi="仿宋" w:eastAsia="仿宋"/>
          <w:b w:val="0"/>
          <w:bCs w:val="0"/>
          <w:color w:val="000000" w:themeColor="text1"/>
          <w:sz w:val="32"/>
          <w:szCs w:val="32"/>
          <w:highlight w:val="none"/>
          <w14:textFill>
            <w14:solidFill>
              <w14:schemeClr w14:val="tx1"/>
            </w14:solidFill>
          </w14:textFill>
        </w:rPr>
        <w:t>，决算数等于预算数</w:t>
      </w:r>
      <w:r>
        <w:rPr>
          <w:rStyle w:val="19"/>
          <w:rFonts w:hint="eastAsia" w:ascii="仿宋" w:hAnsi="仿宋" w:eastAsia="仿宋"/>
          <w:b w:val="0"/>
          <w:bCs w:val="0"/>
          <w:color w:val="000000" w:themeColor="text1"/>
          <w:sz w:val="32"/>
          <w:szCs w:val="32"/>
          <w:highlight w:val="none"/>
          <w:lang w:eastAsia="zh-CN"/>
          <w14:textFill>
            <w14:solidFill>
              <w14:schemeClr w14:val="tx1"/>
            </w14:solidFill>
          </w14:textFill>
        </w:rPr>
        <w:t>。</w:t>
      </w:r>
    </w:p>
    <w:p w14:paraId="6266B22E">
      <w:pPr>
        <w:pageBreakBefore w:val="0"/>
        <w:tabs>
          <w:tab w:val="right" w:pos="8306"/>
        </w:tabs>
        <w:kinsoku/>
        <w:wordWrap/>
        <w:overflowPunct/>
        <w:topLinePunct w:val="0"/>
        <w:autoSpaceDE/>
        <w:autoSpaceDN/>
        <w:bidi w:val="0"/>
        <w:spacing w:line="600" w:lineRule="exact"/>
        <w:ind w:firstLine="640"/>
        <w:textAlignment w:val="auto"/>
        <w:outlineLvl w:val="1"/>
        <w:rPr>
          <w:rStyle w:val="32"/>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43BE358C">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36" w:name="_Toc15377215"/>
      <w:bookmarkStart w:id="37" w:name="_Toc15396609"/>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399.21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02D94EF">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155.94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元，主要包括：基本工资、津贴补贴、伙食补助费、绩效工资、机关事业单位基本养老保险缴费、职业年金缴费、其他社会保障缴费、其他工资福利支出、住房公积金等。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243.27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差旅费、租赁费、公务接待费、委托业务费、工会经费、福利费、公务用车运行维护费、其他交通费等。</w:t>
      </w:r>
    </w:p>
    <w:p w14:paraId="418D7005">
      <w:pPr>
        <w:pageBreakBefore w:val="0"/>
        <w:kinsoku/>
        <w:wordWrap/>
        <w:overflowPunct/>
        <w:topLinePunct w:val="0"/>
        <w:autoSpaceDE/>
        <w:autoSpaceDN/>
        <w:bidi w:val="0"/>
        <w:spacing w:line="600" w:lineRule="exact"/>
        <w:ind w:firstLine="640"/>
        <w:textAlignment w:val="auto"/>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299804FA">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2AEDB60F">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325.28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313.35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2626.57</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380A7013">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50EC814">
      <w:pPr>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313.35</w:t>
      </w:r>
      <w:r>
        <w:rPr>
          <w:rFonts w:hint="eastAsia" w:ascii="仿宋_GB2312" w:hAnsi="仿宋_GB2312" w:eastAsia="仿宋_GB2312" w:cs="仿宋_GB2312"/>
          <w:color w:val="auto"/>
          <w:kern w:val="2"/>
          <w:sz w:val="32"/>
          <w:szCs w:val="32"/>
          <w:highlight w:val="none"/>
          <w:lang w:val="en-US" w:eastAsia="zh-CN" w:bidi="ar-SA"/>
        </w:rPr>
        <w:t>万元，占96.33%；公务接待费支出决算</w:t>
      </w:r>
      <w:r>
        <w:rPr>
          <w:rFonts w:hint="eastAsia" w:ascii="仿宋_GB2312" w:hAnsi="仿宋_GB2312" w:eastAsia="仿宋_GB2312" w:cs="仿宋_GB2312"/>
          <w:sz w:val="32"/>
          <w:szCs w:val="32"/>
        </w:rPr>
        <w:t>11.94</w:t>
      </w:r>
      <w:r>
        <w:rPr>
          <w:rFonts w:hint="eastAsia" w:ascii="仿宋_GB2312" w:hAnsi="仿宋_GB2312" w:eastAsia="仿宋_GB2312" w:cs="仿宋_GB2312"/>
          <w:color w:val="auto"/>
          <w:kern w:val="2"/>
          <w:sz w:val="32"/>
          <w:szCs w:val="32"/>
          <w:highlight w:val="none"/>
          <w:lang w:val="en-US" w:eastAsia="zh-CN" w:bidi="ar-SA"/>
        </w:rPr>
        <w:t>万元，占3.67%。具体情况如下：</w:t>
      </w:r>
    </w:p>
    <w:p w14:paraId="7E7E9293">
      <w:pPr>
        <w:pStyle w:val="15"/>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9504" behindDoc="0" locked="0" layoutInCell="1" allowOverlap="1">
            <wp:simplePos x="0" y="0"/>
            <wp:positionH relativeFrom="column">
              <wp:posOffset>762000</wp:posOffset>
            </wp:positionH>
            <wp:positionV relativeFrom="paragraph">
              <wp:posOffset>300355</wp:posOffset>
            </wp:positionV>
            <wp:extent cx="3547745" cy="2282190"/>
            <wp:effectExtent l="0" t="0" r="14605" b="3810"/>
            <wp:wrapNone/>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4"/>
                    <a:stretch>
                      <a:fillRect/>
                    </a:stretch>
                  </pic:blipFill>
                  <pic:spPr>
                    <a:xfrm>
                      <a:off x="0" y="0"/>
                      <a:ext cx="3547745" cy="2282190"/>
                    </a:xfrm>
                    <a:prstGeom prst="rect">
                      <a:avLst/>
                    </a:prstGeom>
                    <a:noFill/>
                    <a:ln>
                      <a:noFill/>
                    </a:ln>
                  </pic:spPr>
                </pic:pic>
              </a:graphicData>
            </a:graphic>
          </wp:anchor>
        </w:drawing>
      </w:r>
    </w:p>
    <w:p w14:paraId="03BEE40A">
      <w:pPr>
        <w:pStyle w:val="9"/>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p>
    <w:p w14:paraId="75F19E1F">
      <w:pPr>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p>
    <w:p w14:paraId="7CCAC72B">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p>
    <w:p w14:paraId="3D4042F0">
      <w:pPr>
        <w:pageBreakBefore w:val="0"/>
        <w:kinsoku/>
        <w:wordWrap/>
        <w:overflowPunct/>
        <w:topLinePunct w:val="0"/>
        <w:autoSpaceDE/>
        <w:autoSpaceDN/>
        <w:bidi w:val="0"/>
        <w:spacing w:line="600" w:lineRule="exact"/>
        <w:textAlignment w:val="auto"/>
        <w:rPr>
          <w:rFonts w:hint="eastAsia"/>
          <w:lang w:val="en-US" w:eastAsia="zh-CN"/>
        </w:rPr>
      </w:pPr>
    </w:p>
    <w:p w14:paraId="18AE39DC">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4C1F1BC">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7E4ECDF0">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40" w:name="_Toc15377218"/>
      <w:bookmarkStart w:id="41" w:name="_Toc15396610"/>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F4135E7">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313.35万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313.35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color w:val="000000"/>
          <w:sz w:val="32"/>
          <w:szCs w:val="32"/>
          <w:lang w:eastAsia="zh-CN"/>
        </w:rPr>
        <w:t>县公务服务中心2024年7月承担了县供销社转过来的职能职责：公务用车管理。</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100.73</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100.73</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公务出行</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w:t>
      </w:r>
    </w:p>
    <w:p w14:paraId="58B7BD0A">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212.62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全县各行政事业单位因公出行</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30D1EFE4">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11.94万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5.33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30.86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sz w:val="32"/>
          <w:szCs w:val="32"/>
          <w:highlight w:val="none"/>
          <w:lang w:val="en-US" w:eastAsia="zh-CN"/>
        </w:rPr>
        <w:t>2024年度县公务服务中心接待范围缩小，加上厉行节约原则，接待费减少</w:t>
      </w:r>
      <w:r>
        <w:rPr>
          <w:rFonts w:hint="eastAsia" w:ascii="Times New Roman" w:hAnsi="Times New Roman" w:eastAsia="仿宋_GB2312" w:cs="仿宋_GB2312"/>
          <w:color w:val="auto"/>
          <w:kern w:val="2"/>
          <w:sz w:val="32"/>
          <w:szCs w:val="32"/>
          <w:highlight w:val="none"/>
          <w:lang w:val="en-US" w:eastAsia="zh-CN" w:bidi="ar-SA"/>
        </w:rPr>
        <w:t>。其中：</w:t>
      </w:r>
    </w:p>
    <w:p w14:paraId="6C572FC1">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11.94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全县重要公务接待、公务活动</w:t>
      </w:r>
      <w:r>
        <w:rPr>
          <w:rFonts w:hint="eastAsia" w:ascii="Times New Roman" w:hAnsi="Times New Roman" w:eastAsia="仿宋_GB2312" w:cs="仿宋_GB2312"/>
          <w:color w:val="auto"/>
          <w:kern w:val="2"/>
          <w:sz w:val="32"/>
          <w:szCs w:val="32"/>
          <w:highlight w:val="none"/>
          <w:lang w:val="en-US" w:eastAsia="zh-CN" w:bidi="ar-SA"/>
        </w:rPr>
        <w:t>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3055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11.94</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其中副国级领导1批次1人，部级领导4批次72人次，厅级领导65批次807人次，指导其他各类接待162批次2175人次。以优质公务服务为峨边彝族自治县高质量发展助力，圆满完成国际自行车比赛、省市委巡视巡察、自治县40周年活动庆祝大会等多项重要大型活动接待任务，被评为自治县40周年庆祝大会突出表现单位并通报表扬。周密细致保障县委主要领导外出调研考察学习等后勤工作40余次。</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外事接待支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出</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万元。外事接待</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批次，</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人次，共计支出0万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w:t>
      </w:r>
    </w:p>
    <w:p w14:paraId="2D7E9407">
      <w:pPr>
        <w:pageBreakBefore w:val="0"/>
        <w:kinsoku/>
        <w:wordWrap/>
        <w:overflowPunct/>
        <w:topLinePunct w:val="0"/>
        <w:autoSpaceDE/>
        <w:autoSpaceDN/>
        <w:bidi w:val="0"/>
        <w:spacing w:line="600" w:lineRule="exact"/>
        <w:ind w:firstLine="640"/>
        <w:textAlignment w:val="auto"/>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138885A9">
      <w:pPr>
        <w:pageBreakBefore w:val="0"/>
        <w:kinsoku/>
        <w:wordWrap/>
        <w:overflowPunct/>
        <w:topLinePunct w:val="0"/>
        <w:autoSpaceDE/>
        <w:autoSpaceDN/>
        <w:bidi w:val="0"/>
        <w:spacing w:line="600" w:lineRule="exact"/>
        <w:ind w:firstLine="640"/>
        <w:textAlignment w:val="auto"/>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1CFD1A8">
      <w:pPr>
        <w:pageBreakBefore w:val="0"/>
        <w:numPr>
          <w:ilvl w:val="0"/>
          <w:numId w:val="0"/>
        </w:numPr>
        <w:kinsoku/>
        <w:wordWrap/>
        <w:overflowPunct/>
        <w:topLinePunct w:val="0"/>
        <w:autoSpaceDE/>
        <w:autoSpaceDN/>
        <w:bidi w:val="0"/>
        <w:spacing w:line="600" w:lineRule="exact"/>
        <w:ind w:left="630" w:leftChars="0"/>
        <w:textAlignment w:val="auto"/>
        <w:outlineLvl w:val="1"/>
        <w:rPr>
          <w:rStyle w:val="32"/>
          <w:rFonts w:ascii="Times New Roman" w:hAnsi="Times New Roman" w:eastAsia="黑体"/>
          <w:b w:val="0"/>
          <w:color w:val="auto"/>
          <w:highlight w:val="none"/>
        </w:rPr>
      </w:pPr>
      <w:bookmarkStart w:id="42" w:name="_Toc15396611"/>
      <w:bookmarkStart w:id="43"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0572456E">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44" w:name="_Toc15396612"/>
      <w:bookmarkStart w:id="45" w:name="_Toc15377221"/>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3F6A606">
      <w:pPr>
        <w:pageBreakBefore w:val="0"/>
        <w:numPr>
          <w:ilvl w:val="0"/>
          <w:numId w:val="0"/>
        </w:numPr>
        <w:kinsoku/>
        <w:wordWrap/>
        <w:overflowPunct/>
        <w:topLinePunct w:val="0"/>
        <w:autoSpaceDE/>
        <w:autoSpaceDN/>
        <w:bidi w:val="0"/>
        <w:spacing w:line="600" w:lineRule="exact"/>
        <w:ind w:left="630" w:leftChars="0"/>
        <w:textAlignment w:val="auto"/>
        <w:outlineLvl w:val="1"/>
        <w:rPr>
          <w:rStyle w:val="32"/>
          <w:rFonts w:hint="eastAsia" w:ascii="Times New Roman" w:hAnsi="Times New Roman" w:eastAsia="黑体"/>
          <w:b w:val="0"/>
          <w:color w:val="auto"/>
          <w:highlight w:val="none"/>
        </w:rPr>
      </w:pPr>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3CD2DC77">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094CBC35">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峨边彝族自治县公务服务中心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4421429">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3FF15D3">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峨边彝族自治县公务服务中心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240.28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172.17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68.11</w:t>
      </w:r>
      <w:r>
        <w:rPr>
          <w:rFonts w:hint="eastAsia" w:ascii="仿宋_GB2312" w:hAnsi="仿宋_GB2312" w:eastAsia="仿宋_GB2312" w:cs="仿宋_GB2312"/>
          <w:color w:val="auto"/>
          <w:kern w:val="2"/>
          <w:sz w:val="32"/>
          <w:szCs w:val="32"/>
          <w:highlight w:val="none"/>
          <w:lang w:val="en-US" w:eastAsia="zh-CN" w:bidi="ar-SA"/>
        </w:rPr>
        <w:t>万元。主要用于公务用车维修和公务用车保险购买。授予中小企业合同金额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7AD10C0">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6A79DF06">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峨边彝族自治县公务服务中心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C5E38AA">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A5A379A">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峨边彝族自治县公务服务中心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w:t>
      </w:r>
      <w:r>
        <w:rPr>
          <w:rFonts w:hint="eastAsia" w:eastAsia="仿宋_GB2312" w:cs="仿宋_GB2312"/>
          <w:color w:val="auto"/>
          <w:kern w:val="2"/>
          <w:sz w:val="32"/>
          <w:szCs w:val="32"/>
          <w:highlight w:val="none"/>
          <w:lang w:val="en-US" w:eastAsia="zh-CN" w:bidi="ar-SA"/>
        </w:rPr>
        <w:t>对2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B5CE4EE">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峨边彝族自治县公务服务中心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r>
        <w:rPr>
          <w:rFonts w:hint="default" w:ascii="Times New Roman" w:hAnsi="Times New Roman" w:eastAsia="仿宋_GB2312" w:cs="仿宋_GB2312"/>
          <w:color w:val="auto"/>
          <w:kern w:val="2"/>
          <w:sz w:val="32"/>
          <w:szCs w:val="32"/>
          <w:highlight w:val="none"/>
          <w:lang w:val="en-US" w:eastAsia="zh-CN" w:bidi="ar-SA"/>
        </w:rPr>
        <w:t xml:space="preserve">2024 </w:t>
      </w:r>
      <w:r>
        <w:rPr>
          <w:rFonts w:hint="eastAsia" w:ascii="Times New Roman" w:hAnsi="Times New Roman" w:eastAsia="仿宋_GB2312" w:cs="仿宋_GB2312"/>
          <w:color w:val="auto"/>
          <w:kern w:val="2"/>
          <w:sz w:val="32"/>
          <w:szCs w:val="32"/>
          <w:highlight w:val="none"/>
          <w:lang w:val="en-US" w:eastAsia="zh-CN" w:bidi="ar-SA"/>
        </w:rPr>
        <w:t>年，</w:t>
      </w:r>
      <w:r>
        <w:rPr>
          <w:rFonts w:hint="eastAsia" w:eastAsia="仿宋_GB2312" w:cs="仿宋_GB2312"/>
          <w:color w:val="auto"/>
          <w:kern w:val="2"/>
          <w:sz w:val="32"/>
          <w:szCs w:val="32"/>
          <w:highlight w:val="none"/>
          <w:lang w:val="en-US" w:eastAsia="zh-CN" w:bidi="ar-SA"/>
        </w:rPr>
        <w:t>县公务服务中心</w:t>
      </w:r>
      <w:r>
        <w:rPr>
          <w:rFonts w:hint="eastAsia" w:ascii="Times New Roman" w:hAnsi="Times New Roman" w:eastAsia="仿宋_GB2312" w:cs="仿宋_GB2312"/>
          <w:color w:val="auto"/>
          <w:kern w:val="2"/>
          <w:sz w:val="32"/>
          <w:szCs w:val="32"/>
          <w:highlight w:val="none"/>
          <w:lang w:val="en-US" w:eastAsia="zh-CN" w:bidi="ar-SA"/>
        </w:rPr>
        <w:t>坚决贯彻党中央、国务院、</w:t>
      </w:r>
      <w:r>
        <w:rPr>
          <w:rFonts w:hint="eastAsia" w:eastAsia="仿宋_GB2312" w:cs="仿宋_GB2312"/>
          <w:color w:val="auto"/>
          <w:kern w:val="2"/>
          <w:sz w:val="32"/>
          <w:szCs w:val="32"/>
          <w:highlight w:val="none"/>
          <w:lang w:val="en-US" w:eastAsia="zh-CN" w:bidi="ar-SA"/>
        </w:rPr>
        <w:t>省委、省政府、市委、市政府及县委、县政府</w:t>
      </w:r>
      <w:r>
        <w:rPr>
          <w:rFonts w:hint="eastAsia" w:ascii="Times New Roman" w:hAnsi="Times New Roman" w:eastAsia="仿宋_GB2312" w:cs="仿宋_GB2312"/>
          <w:color w:val="auto"/>
          <w:kern w:val="2"/>
          <w:sz w:val="32"/>
          <w:szCs w:val="32"/>
          <w:highlight w:val="none"/>
          <w:lang w:val="en-US" w:eastAsia="zh-CN" w:bidi="ar-SA"/>
        </w:rPr>
        <w:t>关于深化预算绩效管理改革的战略部署，牢牢扛起部门主体责任，以构建“标准科学、程序规范、约束有力”的绩效管理体系为目标，统筹推进预算与绩效一体化管理。通过强化事先评估科学决策、事中监控动态纠偏、事后评价精准问效，持续深化“目标导向、结果倒逼”的管理机制，将绩效理念深度融入预算编制、执行、监督全过程，切实提升财政资源配置效率和资金使用效益</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 xml:space="preserve">2024 </w:t>
      </w:r>
      <w:r>
        <w:rPr>
          <w:rFonts w:hint="eastAsia" w:ascii="Times New Roman" w:hAnsi="Times New Roman" w:eastAsia="仿宋_GB2312" w:cs="仿宋_GB2312"/>
          <w:color w:val="auto"/>
          <w:kern w:val="2"/>
          <w:sz w:val="32"/>
          <w:szCs w:val="32"/>
          <w:highlight w:val="none"/>
          <w:lang w:val="en-US" w:eastAsia="zh-CN" w:bidi="ar-SA"/>
        </w:rPr>
        <w:t>年，我</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预、决算编制合理，支出规范。财政资金既确保了</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的正常运转，又保障了重大项目的实施，资金支出绩效良好，全面达到了预期目标。</w:t>
      </w:r>
    </w:p>
    <w:p w14:paraId="597D7C47">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 年本部门不涉及专项预算项目绩效评价。</w:t>
      </w:r>
    </w:p>
    <w:p w14:paraId="128BB06F">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2E714FF">
      <w:pPr>
        <w:pStyle w:val="2"/>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4008DBB4">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5A92B7CB">
      <w:pPr>
        <w:pStyle w:val="2"/>
        <w:pageBreakBefore w:val="0"/>
        <w:kinsoku/>
        <w:wordWrap/>
        <w:overflowPunct/>
        <w:topLinePunct w:val="0"/>
        <w:autoSpaceDE/>
        <w:autoSpaceDN/>
        <w:bidi w:val="0"/>
        <w:spacing w:line="600" w:lineRule="exact"/>
        <w:textAlignment w:val="auto"/>
        <w:rPr>
          <w:rFonts w:hint="eastAsia"/>
          <w:lang w:val="en-US" w:eastAsia="zh-CN"/>
        </w:rPr>
      </w:pPr>
    </w:p>
    <w:p w14:paraId="717B68E3">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64A5AD2">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bookmarkStart w:id="49" w:name="_Toc15377225"/>
      <w:bookmarkStart w:id="50" w:name="_Toc15396613"/>
    </w:p>
    <w:p w14:paraId="1FBC8BC5">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04153286">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1DED31B7">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2A50207B">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2B4D2910">
      <w:pPr>
        <w:pStyle w:val="2"/>
        <w:rPr>
          <w:rFonts w:hint="eastAsia" w:ascii="Times New Roman" w:hAnsi="Times New Roman" w:eastAsia="黑体"/>
          <w:color w:val="auto"/>
          <w:sz w:val="44"/>
          <w:szCs w:val="44"/>
          <w:highlight w:val="none"/>
        </w:rPr>
      </w:pPr>
    </w:p>
    <w:p w14:paraId="70417AAF">
      <w:pPr>
        <w:rPr>
          <w:rFonts w:hint="eastAsia" w:ascii="Times New Roman" w:hAnsi="Times New Roman" w:eastAsia="黑体"/>
          <w:color w:val="auto"/>
          <w:sz w:val="44"/>
          <w:szCs w:val="44"/>
          <w:highlight w:val="none"/>
        </w:rPr>
      </w:pPr>
    </w:p>
    <w:p w14:paraId="36B0C6CE">
      <w:pPr>
        <w:pStyle w:val="2"/>
        <w:rPr>
          <w:rFonts w:hint="eastAsia" w:ascii="Times New Roman" w:hAnsi="Times New Roman" w:eastAsia="黑体"/>
          <w:color w:val="auto"/>
          <w:sz w:val="44"/>
          <w:szCs w:val="44"/>
          <w:highlight w:val="none"/>
        </w:rPr>
      </w:pPr>
    </w:p>
    <w:p w14:paraId="67D0E12C">
      <w:pPr>
        <w:rPr>
          <w:rFonts w:hint="eastAsia" w:ascii="Times New Roman" w:hAnsi="Times New Roman" w:eastAsia="黑体"/>
          <w:color w:val="auto"/>
          <w:sz w:val="44"/>
          <w:szCs w:val="44"/>
          <w:highlight w:val="none"/>
        </w:rPr>
      </w:pPr>
    </w:p>
    <w:p w14:paraId="0612712E">
      <w:pPr>
        <w:pStyle w:val="2"/>
        <w:rPr>
          <w:rFonts w:hint="eastAsia"/>
        </w:rPr>
      </w:pPr>
    </w:p>
    <w:p w14:paraId="4863A96A">
      <w:pPr>
        <w:rPr>
          <w:rFonts w:hint="eastAsia"/>
        </w:rPr>
      </w:pPr>
    </w:p>
    <w:p w14:paraId="4D9A0F6D">
      <w:pPr>
        <w:pStyle w:val="2"/>
        <w:rPr>
          <w:rFonts w:hint="eastAsia"/>
        </w:rPr>
      </w:pPr>
    </w:p>
    <w:p w14:paraId="4A9740C3">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3A9829AE">
      <w:pPr>
        <w:pageBreakBefore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2499416C">
      <w:pPr>
        <w:pageBreakBefore w:val="0"/>
        <w:kinsoku/>
        <w:wordWrap/>
        <w:overflowPunct/>
        <w:topLinePunct w:val="0"/>
        <w:autoSpaceDE/>
        <w:autoSpaceDN/>
        <w:bidi w:val="0"/>
        <w:spacing w:line="600" w:lineRule="exact"/>
        <w:jc w:val="left"/>
        <w:textAlignment w:val="auto"/>
        <w:rPr>
          <w:rFonts w:ascii="Times New Roman" w:hAnsi="Times New Roman"/>
          <w:b/>
          <w:color w:val="auto"/>
          <w:sz w:val="44"/>
          <w:szCs w:val="44"/>
          <w:highlight w:val="none"/>
        </w:rPr>
      </w:pPr>
    </w:p>
    <w:p w14:paraId="00ADC19E">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1.财政拨款收入：指县级财政当年拨付的资金。</w:t>
      </w:r>
    </w:p>
    <w:p w14:paraId="0E6C89F4">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2.年初结转和结余：指以前年度尚未完成、结转到本年按有关规定继续使用的资金。 </w:t>
      </w:r>
    </w:p>
    <w:p w14:paraId="26A19BD5">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3.年末结转和结余：指部门按有关规定结转到下年或以后年度继续使用的资金。</w:t>
      </w:r>
    </w:p>
    <w:p w14:paraId="5A3A1264">
      <w:pPr>
        <w:pageBreakBefore w:val="0"/>
        <w:kinsoku/>
        <w:wordWrap/>
        <w:overflowPunct/>
        <w:topLinePunct w:val="0"/>
        <w:autoSpaceDE/>
        <w:autoSpaceDN/>
        <w:bidi w:val="0"/>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4.一般公共服务（类）党委办公厅（室）及相关机构事务（款）  其他党委办公厅（室）及相关机构事务支出（项）：指单位正常运转的基本支出，包括基本工资、津贴补贴等人员经费以及办公费、水电费、印刷费等日常公用经费项目经费。</w:t>
      </w:r>
    </w:p>
    <w:p w14:paraId="3EA60F52">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5.社会保障和就业（类）行政事业单位养老支出（款）  机关事业单位基本养老保险缴费支出（项）： 指养老保险支出。</w:t>
      </w:r>
    </w:p>
    <w:p w14:paraId="265D93EE">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6.社会保障和就业（类）行政事业单位养老支出（款）    机关事业单位职业年金缴费支出（项）： 指单位职业年金支出。</w:t>
      </w:r>
    </w:p>
    <w:p w14:paraId="299AB512">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7.社会保障和就业（类）其他社会保障和就业支出（款）其他社会保障和就业支出（项）：指单位失业保险和工伤保险支出。</w:t>
      </w:r>
    </w:p>
    <w:p w14:paraId="0B0AE566">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8.卫生健康（类）行政事业单位医疗（款）事业单位医疗（项）：指单位医疗保险支出。</w:t>
      </w:r>
    </w:p>
    <w:p w14:paraId="5095794A">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9.住房保障支出（类）住房改革支出（款）住房公积金（项）：指单位住房公积金支出。</w:t>
      </w:r>
    </w:p>
    <w:p w14:paraId="2A77B3E1">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10.农林水支出（类）巩固脱贫攻坚成果衔接乡村振兴（款）其他巩固拓展脱贫攻坚成果衔接乡村振兴支出（项）：指对聘用人员的劳务费支出。</w:t>
      </w:r>
    </w:p>
    <w:p w14:paraId="0B1A0E30">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11.基本支出：指为保障机构正常运转、完成日常工作任务而发生的人员支出和公用支出。</w:t>
      </w:r>
    </w:p>
    <w:p w14:paraId="66F299D5">
      <w:pPr>
        <w:pageBreakBefore w:val="0"/>
        <w:kinsoku/>
        <w:wordWrap/>
        <w:overflowPunct/>
        <w:topLinePunct w:val="0"/>
        <w:autoSpaceDE/>
        <w:autoSpaceDN/>
        <w:bidi w:val="0"/>
        <w:spacing w:line="600"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12.项目支出：指在基本支出之外为完成特定行政任务和事业发展目标所发生的支出。 </w:t>
      </w:r>
    </w:p>
    <w:p w14:paraId="1831ADBF">
      <w:pPr>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w:t>
      </w:r>
      <w:r>
        <w:rPr>
          <w:rFonts w:hint="eastAsia" w:ascii="Times New Roman" w:hAnsi="Times New Roman" w:eastAsia="仿宋_GB2312" w:cs="仿宋_GB2312"/>
          <w:color w:val="auto"/>
          <w:kern w:val="2"/>
          <w:sz w:val="32"/>
          <w:szCs w:val="32"/>
          <w:highlight w:val="none"/>
          <w:lang w:val="en-US" w:eastAsia="zh-CN" w:bidi="ar-SA"/>
        </w:rPr>
        <w:t>单位按规定开支的各类公务接待（含外宾接待）支出。</w:t>
      </w:r>
    </w:p>
    <w:p w14:paraId="34A85B87">
      <w:pPr>
        <w:pageBreakBefore w:val="0"/>
        <w:kinsoku/>
        <w:wordWrap/>
        <w:overflowPunct/>
        <w:topLinePunct w:val="0"/>
        <w:autoSpaceDE/>
        <w:autoSpaceDN/>
        <w:bidi w:val="0"/>
        <w:spacing w:line="600" w:lineRule="exact"/>
        <w:jc w:val="center"/>
        <w:textAlignment w:val="auto"/>
        <w:rPr>
          <w:rStyle w:val="31"/>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5C2B9F52">
      <w:pPr>
        <w:keepNext w:val="0"/>
        <w:keepLines w:val="0"/>
        <w:pageBreakBefore w:val="0"/>
        <w:kinsoku/>
        <w:wordWrap/>
        <w:overflowPunct/>
        <w:topLinePunct w:val="0"/>
        <w:autoSpaceDE/>
        <w:autoSpaceDN/>
        <w:bidi w:val="0"/>
        <w:spacing w:line="600" w:lineRule="exact"/>
        <w:jc w:val="left"/>
        <w:textAlignment w:val="auto"/>
        <w:outlineLvl w:val="0"/>
        <w:rPr>
          <w:rFonts w:hint="eastAsia" w:ascii="Times New Roman" w:hAnsi="Times New Roman" w:eastAsia="黑体" w:cs="黑体"/>
          <w:color w:val="FF0000"/>
          <w:sz w:val="32"/>
          <w:szCs w:val="32"/>
          <w:highlight w:val="none"/>
        </w:rPr>
      </w:pPr>
    </w:p>
    <w:p w14:paraId="1D04CC9A">
      <w:pPr>
        <w:keepNext w:val="0"/>
        <w:keepLines w:val="0"/>
        <w:pageBreakBefore w:val="0"/>
        <w:kinsoku/>
        <w:wordWrap/>
        <w:overflowPunct/>
        <w:topLinePunct w:val="0"/>
        <w:autoSpaceDE/>
        <w:autoSpaceDN/>
        <w:bidi w:val="0"/>
        <w:spacing w:line="600"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E437AFD">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73AB424">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F4BBC99">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8999AA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8FC7565">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 w:hAnsi="仿宋" w:eastAsia="仿宋"/>
          <w:color w:val="000000" w:themeColor="text1"/>
          <w:sz w:val="32"/>
          <w:szCs w:val="32"/>
          <w14:textFill>
            <w14:solidFill>
              <w14:schemeClr w14:val="tx1"/>
            </w14:solidFill>
          </w14:textFill>
        </w:rPr>
        <w:t>峨边彝族自治县</w:t>
      </w:r>
      <w:r>
        <w:rPr>
          <w:rFonts w:hint="eastAsia" w:ascii="仿宋" w:hAnsi="仿宋" w:eastAsia="仿宋"/>
          <w:color w:val="000000" w:themeColor="text1"/>
          <w:sz w:val="32"/>
          <w:szCs w:val="32"/>
          <w:lang w:eastAsia="zh-CN"/>
          <w14:textFill>
            <w14:solidFill>
              <w14:schemeClr w14:val="tx1"/>
            </w14:solidFill>
          </w14:textFill>
        </w:rPr>
        <w:t>公务服务中心</w:t>
      </w:r>
      <w:r>
        <w:rPr>
          <w:rFonts w:hint="eastAsia" w:ascii="仿宋" w:hAnsi="仿宋" w:eastAsia="仿宋"/>
          <w:color w:val="000000" w:themeColor="text1"/>
          <w:sz w:val="32"/>
          <w:szCs w:val="32"/>
          <w14:textFill>
            <w14:solidFill>
              <w14:schemeClr w14:val="tx1"/>
            </w14:solidFill>
          </w14:textFill>
        </w:rPr>
        <w:t>（简称</w:t>
      </w:r>
      <w:r>
        <w:rPr>
          <w:rFonts w:hint="eastAsia" w:ascii="仿宋" w:hAnsi="仿宋" w:eastAsia="仿宋"/>
          <w:color w:val="000000" w:themeColor="text1"/>
          <w:sz w:val="32"/>
          <w:szCs w:val="32"/>
          <w:lang w:eastAsia="zh-CN"/>
          <w14:textFill>
            <w14:solidFill>
              <w14:schemeClr w14:val="tx1"/>
            </w14:solidFill>
          </w14:textFill>
        </w:rPr>
        <w:t>县公务服务中心</w:t>
      </w:r>
      <w:r>
        <w:rPr>
          <w:rFonts w:hint="eastAsia" w:ascii="仿宋" w:hAnsi="仿宋" w:eastAsia="仿宋"/>
          <w:color w:val="000000" w:themeColor="text1"/>
          <w:sz w:val="32"/>
          <w:szCs w:val="32"/>
          <w14:textFill>
            <w14:solidFill>
              <w14:schemeClr w14:val="tx1"/>
            </w14:solidFill>
          </w14:textFill>
        </w:rPr>
        <w:t>）部门预算单位</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5BB931C7">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1.贯彻落实中央和省市党政机关国内公务接待管理办法及省市细则精神，归口统筹管理全县党政机关国内公务接待事宜，制定工作机制和工作规范，具体实施全县党政机关重要公务接待任务；指导县级部门和乡镇按规定做好对口公务接待；统一管理和使用接待经费。 </w:t>
      </w:r>
    </w:p>
    <w:p w14:paraId="56462919">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2.负责县委、县人大、县政府、县政协主要领导外出考察调研、督促指导等活动开展，完成方案制定、前期筹备、综合协调等工作。 </w:t>
      </w:r>
    </w:p>
    <w:p w14:paraId="2C78C10E">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3.筹备上级领导或部门考察调研、督促指导等活动开展，完成方案制定、工作筹备、综合协调等工作。 </w:t>
      </w:r>
    </w:p>
    <w:p w14:paraId="284166A3">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4.配合牵头部门做好重要会议、重大公务活动的联系、协调、服务和保障等工作。 </w:t>
      </w:r>
    </w:p>
    <w:p w14:paraId="617C3123">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5.负责县级领导（含已退出领导岗位尚未办理退休手续的县级领导）综合协调、工作协同、责任履行、保障服务及统筹落实中央、省、市、县委布置的应由县级领导干部承担的任务等工作；制定完善县级领导服务保障机制。 </w:t>
      </w:r>
    </w:p>
    <w:p w14:paraId="323B72CE">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6.完成县委、县政府以及县委办领导交办的其他工作</w:t>
      </w:r>
    </w:p>
    <w:p w14:paraId="163834B7">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 w:eastAsia="仿宋_GB2312" w:cs="Times New Roman"/>
          <w:color w:val="000000" w:themeColor="text1"/>
          <w:sz w:val="32"/>
          <w:szCs w:val="32"/>
          <w:lang w:val="zh-CN" w:eastAsia="zh-CN"/>
          <w14:textFill>
            <w14:solidFill>
              <w14:schemeClr w14:val="tx1"/>
            </w14:solidFill>
          </w14:textFill>
        </w:rPr>
        <w:t>县公务服务中心事业编制</w:t>
      </w:r>
      <w:r>
        <w:rPr>
          <w:rFonts w:hint="eastAsia" w:ascii="仿宋_GB2312" w:hAnsi="仿宋" w:eastAsia="仿宋_GB2312" w:cs="Times New Roman"/>
          <w:color w:val="000000" w:themeColor="text1"/>
          <w:sz w:val="32"/>
          <w:szCs w:val="32"/>
          <w:lang w:val="en-US" w:eastAsia="zh-CN"/>
          <w14:textFill>
            <w14:solidFill>
              <w14:schemeClr w14:val="tx1"/>
            </w14:solidFill>
          </w14:textFill>
        </w:rPr>
        <w:t>12名，实有在编人员9名，在岗人员合计10名。</w:t>
      </w:r>
    </w:p>
    <w:p w14:paraId="74652A9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CE19DC2">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 w:eastAsia="仿宋_GB2312" w:cs="Times New Roman"/>
          <w:color w:val="000000" w:themeColor="text1"/>
          <w:sz w:val="32"/>
          <w:szCs w:val="32"/>
          <w:lang w:val="zh-CN" w:eastAsia="zh-CN"/>
          <w14:textFill>
            <w14:solidFill>
              <w14:schemeClr w14:val="tx1"/>
            </w14:solidFill>
          </w14:textFill>
        </w:rPr>
        <w:t>县公务服务中心</w:t>
      </w:r>
      <w:r>
        <w:rPr>
          <w:rFonts w:hint="eastAsia" w:ascii="仿宋_GB2312" w:hAnsi="仿宋" w:eastAsia="仿宋_GB2312" w:cs="Times New Roman"/>
          <w:color w:val="000000" w:themeColor="text1"/>
          <w:sz w:val="32"/>
          <w:szCs w:val="32"/>
          <w:lang w:val="en-US" w:eastAsia="zh-CN"/>
          <w14:textFill>
            <w14:solidFill>
              <w14:schemeClr w14:val="tx1"/>
            </w14:solidFill>
          </w14:textFill>
        </w:rPr>
        <w:t>2024年财政拨款预算决算收入816.75万元，其中上级资金0万元，县级资金816.75万元。</w:t>
      </w:r>
    </w:p>
    <w:p w14:paraId="7D30D08D">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县公务服务中心2024年度基本支出816.75万元，其中人员经费155.94万元，公用经费243.27万元。项目支出417.54万元。</w:t>
      </w:r>
    </w:p>
    <w:p w14:paraId="6D5583A7">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6695EF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峨边彝族自治县公务服务中心 2024 年决算报表无结转结余情况。</w:t>
      </w:r>
    </w:p>
    <w:p w14:paraId="19B6B3F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D3F3F4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2AD9E089">
      <w:pPr>
        <w:keepNext w:val="0"/>
        <w:keepLines w:val="0"/>
        <w:pageBreakBefore w:val="0"/>
        <w:widowControl/>
        <w:suppressLineNumbers w:val="0"/>
        <w:kinsoku/>
        <w:wordWrap/>
        <w:overflowPunct/>
        <w:topLinePunct w:val="0"/>
        <w:autoSpaceDE/>
        <w:autoSpaceDN/>
        <w:bidi w:val="0"/>
        <w:spacing w:line="600" w:lineRule="exact"/>
        <w:jc w:val="left"/>
        <w:textAlignment w:val="auto"/>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ascii="仿宋_GB2312" w:hAnsi="宋体" w:eastAsia="仿宋_GB2312" w:cs="仿宋_GB2312"/>
          <w:color w:val="000000"/>
          <w:kern w:val="0"/>
          <w:sz w:val="31"/>
          <w:szCs w:val="31"/>
          <w:lang w:val="en-US" w:eastAsia="zh-CN" w:bidi="ar"/>
        </w:rPr>
        <w:t>县公务服务中心</w:t>
      </w:r>
      <w:r>
        <w:rPr>
          <w:rFonts w:ascii="仿宋_GB2312" w:hAnsi="宋体" w:eastAsia="仿宋_GB2312" w:cs="仿宋_GB2312"/>
          <w:color w:val="000000"/>
          <w:kern w:val="0"/>
          <w:sz w:val="31"/>
          <w:szCs w:val="31"/>
          <w:lang w:val="en-US" w:eastAsia="zh-CN" w:bidi="ar"/>
        </w:rPr>
        <w:t>选取以下</w:t>
      </w:r>
      <w:r>
        <w:rPr>
          <w:rFonts w:hint="eastAsia" w:ascii="仿宋_GB2312" w:hAnsi="宋体" w:eastAsia="仿宋_GB2312"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个核心职能目标</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具体完成情况</w:t>
      </w:r>
      <w:r>
        <w:rPr>
          <w:rFonts w:hint="eastAsia" w:ascii="仿宋_GB2312" w:hAnsi="宋体" w:eastAsia="仿宋_GB2312" w:cs="仿宋_GB2312"/>
          <w:color w:val="000000"/>
          <w:kern w:val="0"/>
          <w:sz w:val="31"/>
          <w:szCs w:val="31"/>
          <w:lang w:val="en-US" w:eastAsia="zh-CN" w:bidi="ar"/>
        </w:rPr>
        <w:t>如下：</w:t>
      </w:r>
    </w:p>
    <w:p w14:paraId="321AF703">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（1）公务接待批次。本年计划编制</w:t>
      </w:r>
      <w:r>
        <w:rPr>
          <w:rFonts w:hint="eastAsia" w:ascii="仿宋_GB2312" w:hAnsi="宋体" w:eastAsia="仿宋_GB2312" w:cs="仿宋_GB2312"/>
          <w:color w:val="000000"/>
          <w:kern w:val="0"/>
          <w:sz w:val="31"/>
          <w:szCs w:val="31"/>
          <w:lang w:val="en-US" w:eastAsia="zh-CN" w:bidi="ar"/>
        </w:rPr>
        <w:t>重大公务活动</w:t>
      </w:r>
      <w:r>
        <w:rPr>
          <w:rFonts w:ascii="仿宋_GB2312" w:hAnsi="宋体" w:eastAsia="仿宋_GB2312" w:cs="仿宋_GB2312"/>
          <w:color w:val="000000"/>
          <w:kern w:val="0"/>
          <w:sz w:val="31"/>
          <w:szCs w:val="31"/>
          <w:lang w:val="en-US" w:eastAsia="zh-CN" w:bidi="ar"/>
        </w:rPr>
        <w:t>大于或等于</w:t>
      </w:r>
      <w:r>
        <w:rPr>
          <w:rFonts w:hint="eastAsia" w:ascii="仿宋_GB2312" w:hAnsi="宋体" w:eastAsia="仿宋_GB2312" w:cs="仿宋_GB2312"/>
          <w:color w:val="000000"/>
          <w:kern w:val="0"/>
          <w:sz w:val="31"/>
          <w:szCs w:val="31"/>
          <w:lang w:val="en-US" w:eastAsia="zh-CN" w:bidi="ar"/>
        </w:rPr>
        <w:t>2次，重大调研工作大于等于30次，实际完成 233 次。通过该项目实施，保障了重大公务活动顺利开展，全年接待国家、省市县级领导调研共计233批次、3055人次，其中副国级领导1批次1人，部级领导4批次72人次，厅级领导65批次807人次，指导其他各类接待162批次2175人次。圆满完成国际自行车比赛、省市委巡视巡察、自治县40周年活动庆祝大会等多项重要大型活动接待任务，评为自治县40周年庆祝大会突出表现单位并通报表扬。保障县委主要领导外出调研考察学习等后勤工作40余次。</w:t>
      </w:r>
    </w:p>
    <w:p w14:paraId="178BE99D">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lang w:val="en-US"/>
        </w:rPr>
      </w:pPr>
      <w:r>
        <w:rPr>
          <w:rFonts w:hint="eastAsia" w:ascii="仿宋_GB2312" w:hAnsi="宋体" w:eastAsia="仿宋_GB2312" w:cs="仿宋_GB2312"/>
          <w:color w:val="000000"/>
          <w:kern w:val="0"/>
          <w:sz w:val="31"/>
          <w:szCs w:val="31"/>
          <w:lang w:val="en-US" w:eastAsia="zh-CN" w:bidi="ar"/>
        </w:rPr>
        <w:t>（2）县委伙食团运转保障。保障县委及相关部门正常用餐大于等于290人，伙食团正常运行及食品质量安全保障率100%，实际完成保障人员297人，安全保障100%。保障了县委机关片区工作人员就餐，期间未发生任何食品安全事故。</w:t>
      </w:r>
    </w:p>
    <w:p w14:paraId="0DA3375D">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lang w:val="en-US"/>
        </w:rPr>
      </w:pPr>
      <w:r>
        <w:rPr>
          <w:rFonts w:hint="eastAsia" w:ascii="仿宋_GB2312" w:hAnsi="宋体" w:eastAsia="仿宋_GB2312" w:cs="仿宋_GB2312"/>
          <w:color w:val="000000"/>
          <w:kern w:val="0"/>
          <w:sz w:val="31"/>
          <w:szCs w:val="31"/>
          <w:lang w:val="en-US" w:eastAsia="zh-CN" w:bidi="ar"/>
        </w:rPr>
        <w:t>（3）公务用车购置。2024年计划购买公务车3辆，实际完成数3辆。通过该项目实施，保障了全县干部调研、考察、会议、学习等公务活动顺利开展。</w:t>
      </w:r>
    </w:p>
    <w:p w14:paraId="12BC67D2">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宋体" w:eastAsia="仿宋_GB2312" w:cs="仿宋_GB2312"/>
          <w:color w:val="000000"/>
          <w:kern w:val="0"/>
          <w:sz w:val="31"/>
          <w:szCs w:val="31"/>
          <w:lang w:val="zh-CN" w:eastAsia="zh-CN" w:bidi="ar"/>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宋体" w:eastAsia="仿宋_GB2312" w:cs="仿宋_GB2312"/>
          <w:color w:val="000000"/>
          <w:kern w:val="0"/>
          <w:sz w:val="31"/>
          <w:szCs w:val="31"/>
          <w:lang w:val="en-US" w:eastAsia="zh-CN" w:bidi="ar"/>
        </w:rPr>
        <w:t>县公务服务中心严格按要求编制 2024 年年初部门预算，编制过程中做到了提前谋划、分工合理、协同有效、研讨充分。绩效目标设定根据项目实际情况和年度工作任务，从产出指标、效益指标和满意度指标三方面进行了量化和细化，编制内容完整，要素齐全，与预算投入资金相匹配。</w:t>
      </w:r>
    </w:p>
    <w:p w14:paraId="1D75DD9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县公务服务中心</w:t>
      </w:r>
      <w:r>
        <w:rPr>
          <w:rFonts w:hint="eastAsia" w:ascii="Times New Roman" w:hAnsi="Times New Roman" w:eastAsia="仿宋_GB2312" w:cs="仿宋_GB2312"/>
          <w:color w:val="auto"/>
          <w:kern w:val="2"/>
          <w:sz w:val="32"/>
          <w:szCs w:val="32"/>
          <w:highlight w:val="none"/>
          <w:lang w:val="zh-CN" w:eastAsia="zh-CN" w:bidi="ar-SA"/>
        </w:rPr>
        <w:t>财务管理制度</w:t>
      </w:r>
      <w:r>
        <w:rPr>
          <w:rFonts w:hint="eastAsia" w:eastAsia="仿宋_GB2312" w:cs="仿宋_GB2312"/>
          <w:color w:val="auto"/>
          <w:kern w:val="2"/>
          <w:sz w:val="32"/>
          <w:szCs w:val="32"/>
          <w:highlight w:val="none"/>
          <w:lang w:val="zh-CN" w:eastAsia="zh-CN" w:bidi="ar-SA"/>
        </w:rPr>
        <w:t>齐全</w:t>
      </w:r>
      <w:r>
        <w:rPr>
          <w:rFonts w:hint="eastAsia" w:ascii="Times New Roman" w:hAnsi="Times New Roman" w:eastAsia="仿宋_GB2312" w:cs="仿宋_GB2312"/>
          <w:color w:val="auto"/>
          <w:kern w:val="2"/>
          <w:sz w:val="32"/>
          <w:szCs w:val="32"/>
          <w:highlight w:val="none"/>
          <w:lang w:val="zh-CN" w:eastAsia="zh-CN" w:bidi="ar-SA"/>
        </w:rPr>
        <w:t>、财务岗位设置</w:t>
      </w:r>
      <w:r>
        <w:rPr>
          <w:rFonts w:hint="eastAsia" w:eastAsia="仿宋_GB2312" w:cs="仿宋_GB2312"/>
          <w:color w:val="auto"/>
          <w:kern w:val="2"/>
          <w:sz w:val="32"/>
          <w:szCs w:val="32"/>
          <w:highlight w:val="none"/>
          <w:lang w:val="zh-CN" w:eastAsia="zh-CN" w:bidi="ar-SA"/>
        </w:rPr>
        <w:t>合理</w:t>
      </w:r>
      <w:r>
        <w:rPr>
          <w:rFonts w:hint="eastAsia" w:ascii="Times New Roman" w:hAnsi="Times New Roman" w:eastAsia="仿宋_GB2312" w:cs="仿宋_GB2312"/>
          <w:color w:val="auto"/>
          <w:kern w:val="2"/>
          <w:sz w:val="32"/>
          <w:szCs w:val="32"/>
          <w:highlight w:val="none"/>
          <w:lang w:val="zh-CN" w:eastAsia="zh-CN" w:bidi="ar-SA"/>
        </w:rPr>
        <w:t>、</w:t>
      </w:r>
      <w:r>
        <w:rPr>
          <w:rFonts w:ascii="仿宋_GB2312" w:hAnsi="宋体" w:eastAsia="仿宋_GB2312" w:cs="仿宋_GB2312"/>
          <w:color w:val="000000"/>
          <w:kern w:val="0"/>
          <w:sz w:val="31"/>
          <w:szCs w:val="31"/>
          <w:lang w:val="en-US" w:eastAsia="zh-CN" w:bidi="ar"/>
        </w:rPr>
        <w:t>资金使用均符合相关财务管理制度</w:t>
      </w:r>
      <w:r>
        <w:rPr>
          <w:rFonts w:hint="eastAsia" w:ascii="仿宋_GB2312" w:hAnsi="宋体" w:eastAsia="仿宋_GB2312" w:cs="仿宋_GB2312"/>
          <w:color w:val="000000"/>
          <w:kern w:val="0"/>
          <w:sz w:val="31"/>
          <w:szCs w:val="31"/>
          <w:lang w:val="en-US" w:eastAsia="zh-CN" w:bidi="ar"/>
        </w:rPr>
        <w:t>规定。</w:t>
      </w:r>
    </w:p>
    <w:p w14:paraId="5883FB6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（1）资产月报和年报报送。我</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按时完成了资产月报和年报的报送。</w:t>
      </w:r>
    </w:p>
    <w:p w14:paraId="7AF272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（2）账账相符。2024 年资产管理系统中固定资产总额</w:t>
      </w:r>
      <w:r>
        <w:rPr>
          <w:rFonts w:hint="eastAsia" w:eastAsia="仿宋_GB2312" w:cs="仿宋_GB2312"/>
          <w:color w:val="auto"/>
          <w:kern w:val="2"/>
          <w:sz w:val="32"/>
          <w:szCs w:val="32"/>
          <w:highlight w:val="none"/>
          <w:lang w:val="en-US" w:eastAsia="zh-CN" w:bidi="ar-SA"/>
        </w:rPr>
        <w:t>为122.25</w:t>
      </w:r>
      <w:r>
        <w:rPr>
          <w:rFonts w:hint="eastAsia" w:ascii="Times New Roman" w:hAnsi="Times New Roman" w:eastAsia="仿宋_GB2312" w:cs="仿宋_GB2312"/>
          <w:color w:val="auto"/>
          <w:kern w:val="2"/>
          <w:sz w:val="32"/>
          <w:szCs w:val="32"/>
          <w:highlight w:val="none"/>
          <w:lang w:val="en-US" w:eastAsia="zh-CN" w:bidi="ar-SA"/>
        </w:rPr>
        <w:t>万元，财务账上固定资产总额为</w:t>
      </w:r>
      <w:r>
        <w:rPr>
          <w:rFonts w:hint="eastAsia" w:eastAsia="仿宋_GB2312" w:cs="仿宋_GB2312"/>
          <w:color w:val="auto"/>
          <w:kern w:val="2"/>
          <w:sz w:val="32"/>
          <w:szCs w:val="32"/>
          <w:highlight w:val="none"/>
          <w:lang w:val="en-US" w:eastAsia="zh-CN" w:bidi="ar-SA"/>
        </w:rPr>
        <w:t>122.25</w:t>
      </w:r>
      <w:r>
        <w:rPr>
          <w:rFonts w:hint="eastAsia" w:ascii="Times New Roman" w:hAnsi="Times New Roman" w:eastAsia="仿宋_GB2312" w:cs="仿宋_GB2312"/>
          <w:color w:val="auto"/>
          <w:kern w:val="2"/>
          <w:sz w:val="32"/>
          <w:szCs w:val="32"/>
          <w:highlight w:val="none"/>
          <w:lang w:val="en-US" w:eastAsia="zh-CN" w:bidi="ar-SA"/>
        </w:rPr>
        <w:t>万元。</w:t>
      </w:r>
    </w:p>
    <w:p w14:paraId="16705BD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（3）资产管理规范。我</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严格按规定进行资产的配置和处置。每件固定资产都明确了资产使用人和保管责任人，定期对资产进行了盘点。</w:t>
      </w:r>
    </w:p>
    <w:p w14:paraId="35DE6D37">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07A3A57C">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ascii="仿宋_GB2312" w:hAnsi="宋体" w:eastAsia="仿宋_GB2312" w:cs="仿宋_GB2312"/>
          <w:color w:val="000000"/>
          <w:kern w:val="0"/>
          <w:sz w:val="31"/>
          <w:szCs w:val="31"/>
          <w:lang w:val="en-US" w:eastAsia="zh-CN" w:bidi="ar"/>
        </w:rPr>
        <w:t>（1）支持中小企业发展。</w:t>
      </w:r>
      <w:r>
        <w:rPr>
          <w:rFonts w:hint="eastAsia" w:ascii="Times New Roman" w:hAnsi="Times New Roman" w:eastAsia="仿宋_GB2312" w:cs="仿宋_GB2312"/>
          <w:color w:val="auto"/>
          <w:kern w:val="2"/>
          <w:sz w:val="32"/>
          <w:szCs w:val="32"/>
          <w:highlight w:val="none"/>
          <w:lang w:val="en-US" w:eastAsia="zh-CN" w:bidi="ar-SA"/>
        </w:rPr>
        <w:t>我</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严格执行政府采购促进中小企业发展相关管理办法，对适宜由中小企业提供的采购项目和采购包，预留采购份额专门面向中小企业采购。</w:t>
      </w:r>
    </w:p>
    <w:p w14:paraId="57367B0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（2）采购管理规范。我</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严格按政府采购法及实施条例规定 实施政府采购，2024年政府采购支出</w:t>
      </w:r>
      <w:r>
        <w:rPr>
          <w:rFonts w:hint="eastAsia" w:eastAsia="仿宋_GB2312" w:cs="仿宋_GB2312"/>
          <w:color w:val="auto"/>
          <w:kern w:val="2"/>
          <w:sz w:val="32"/>
          <w:szCs w:val="32"/>
          <w:highlight w:val="none"/>
          <w:lang w:val="en-US" w:eastAsia="zh-CN" w:bidi="ar-SA"/>
        </w:rPr>
        <w:t>240.28</w:t>
      </w:r>
      <w:r>
        <w:rPr>
          <w:rFonts w:hint="eastAsia" w:ascii="Times New Roman" w:hAnsi="Times New Roman" w:eastAsia="仿宋_GB2312" w:cs="仿宋_GB2312"/>
          <w:color w:val="auto"/>
          <w:kern w:val="2"/>
          <w:sz w:val="32"/>
          <w:szCs w:val="32"/>
          <w:highlight w:val="none"/>
          <w:lang w:val="en-US" w:eastAsia="zh-CN" w:bidi="ar-SA"/>
        </w:rPr>
        <w:t>万元。</w:t>
      </w:r>
    </w:p>
    <w:p w14:paraId="22D3146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247DEF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036CA97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417.55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0C452D7C">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ascii="仿宋_GB2312" w:hAnsi="宋体" w:eastAsia="仿宋_GB2312" w:cs="仿宋_GB2312"/>
          <w:color w:val="000000"/>
          <w:kern w:val="0"/>
          <w:sz w:val="31"/>
          <w:szCs w:val="31"/>
          <w:lang w:val="en-US" w:eastAsia="zh-CN" w:bidi="ar"/>
        </w:rPr>
        <w:t>根据 2024 年部门预算编制要求，我局对“</w:t>
      </w:r>
      <w:r>
        <w:rPr>
          <w:rFonts w:hint="eastAsia" w:ascii="仿宋_GB2312" w:hAnsi="宋体" w:eastAsia="仿宋_GB2312" w:cs="仿宋_GB2312"/>
          <w:color w:val="000000"/>
          <w:kern w:val="0"/>
          <w:sz w:val="31"/>
          <w:szCs w:val="31"/>
          <w:lang w:val="en-US" w:eastAsia="zh-CN" w:bidi="ar"/>
        </w:rPr>
        <w:t>县委伙食团运转保障经费”“公务服务保障经费”“公务用车购置”和“信息化建设费用”4 个项目开展了主任办公会研究。</w:t>
      </w:r>
    </w:p>
    <w:p w14:paraId="6D4F472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14:paraId="29A90D40">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（1）执行同向。</w:t>
      </w:r>
      <w:r>
        <w:rPr>
          <w:rFonts w:hint="eastAsia" w:ascii="仿宋_GB2312" w:hAnsi="宋体" w:eastAsia="仿宋_GB2312" w:cs="仿宋_GB2312"/>
          <w:color w:val="000000"/>
          <w:kern w:val="0"/>
          <w:sz w:val="31"/>
          <w:szCs w:val="31"/>
          <w:lang w:val="en-US" w:eastAsia="zh-CN" w:bidi="ar"/>
        </w:rPr>
        <w:t>县公务服务中心</w:t>
      </w:r>
      <w:r>
        <w:rPr>
          <w:rFonts w:ascii="仿宋_GB2312" w:hAnsi="宋体" w:eastAsia="仿宋_GB2312" w:cs="仿宋_GB2312"/>
          <w:color w:val="000000"/>
          <w:kern w:val="0"/>
          <w:sz w:val="31"/>
          <w:szCs w:val="31"/>
          <w:lang w:val="en-US" w:eastAsia="zh-CN" w:bidi="ar"/>
        </w:rPr>
        <w:t>部门预算项目实际列支内容与绩效目标</w:t>
      </w:r>
      <w:r>
        <w:rPr>
          <w:rFonts w:hint="eastAsia" w:ascii="仿宋_GB2312" w:hAnsi="宋体" w:eastAsia="仿宋_GB2312" w:cs="仿宋_GB2312"/>
          <w:color w:val="000000"/>
          <w:kern w:val="0"/>
          <w:sz w:val="31"/>
          <w:szCs w:val="31"/>
          <w:lang w:val="en-US" w:eastAsia="zh-CN" w:bidi="ar"/>
        </w:rPr>
        <w:t>设置方向相符。</w:t>
      </w:r>
    </w:p>
    <w:p w14:paraId="30941766">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（2）项目调整。县公务服务中心不存在应采取未采取收回预算、调整目标等处置措施的部门预算项目。分。</w:t>
      </w:r>
    </w:p>
    <w:p w14:paraId="258F76AF">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宋体" w:eastAsia="仿宋_GB2312" w:cs="仿宋_GB2312"/>
          <w:color w:val="000000"/>
          <w:kern w:val="0"/>
          <w:sz w:val="31"/>
          <w:szCs w:val="31"/>
          <w:lang w:val="en-US" w:eastAsia="zh-CN" w:bidi="ar"/>
        </w:rPr>
        <w:t>（3）执行结果。2024 县公务服务中心部门预算项目财政下达单位计划数417.55万元，实际支付金额417.55万元。</w:t>
      </w:r>
    </w:p>
    <w:p w14:paraId="0C890D7F">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5A3B8FB2">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（1）目标完成。</w:t>
      </w:r>
      <w:r>
        <w:rPr>
          <w:rFonts w:hint="eastAsia" w:ascii="仿宋_GB2312" w:hAnsi="宋体" w:eastAsia="仿宋_GB2312" w:cs="仿宋_GB2312"/>
          <w:color w:val="000000"/>
          <w:kern w:val="0"/>
          <w:sz w:val="31"/>
          <w:szCs w:val="31"/>
          <w:lang w:val="en-US" w:eastAsia="zh-CN" w:bidi="ar"/>
        </w:rPr>
        <w:t>县公务服务中心</w:t>
      </w:r>
      <w:r>
        <w:rPr>
          <w:rFonts w:ascii="仿宋_GB2312" w:hAnsi="宋体" w:eastAsia="仿宋_GB2312" w:cs="仿宋_GB2312"/>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个项目数量指标完成率 100%。</w:t>
      </w:r>
    </w:p>
    <w:p w14:paraId="1247AD4A">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（2）目标偏离。县公务服务中心 4个项目数量指标均达到预期目标，未发生偏离。 </w:t>
      </w:r>
    </w:p>
    <w:p w14:paraId="6B512BB2">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仿宋_GB2312" w:hAnsi="宋体" w:eastAsia="仿宋_GB2312" w:cs="仿宋_GB2312"/>
          <w:color w:val="000000"/>
          <w:kern w:val="0"/>
          <w:sz w:val="31"/>
          <w:szCs w:val="31"/>
          <w:lang w:val="en-US" w:eastAsia="zh-CN" w:bidi="ar"/>
        </w:rPr>
        <w:t>（3）实现效果。县公务服务中心4个项目效益指标完成率 100%。</w:t>
      </w:r>
    </w:p>
    <w:p w14:paraId="5FFEA61E">
      <w:pPr>
        <w:keepNext w:val="0"/>
        <w:keepLines w:val="0"/>
        <w:pageBreakBefore w:val="0"/>
        <w:widowControl/>
        <w:suppressLineNumbers w:val="0"/>
        <w:kinsoku/>
        <w:wordWrap/>
        <w:overflowPunct/>
        <w:topLinePunct w:val="0"/>
        <w:autoSpaceDE/>
        <w:autoSpaceDN/>
        <w:bidi w:val="0"/>
        <w:spacing w:line="600" w:lineRule="exact"/>
        <w:ind w:firstLine="643" w:firstLineChars="20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 xml:space="preserve">1.内部应用情况。为进一步推动预算绩效管理提质增效，更好发挥预算绩效管理在优化财政资源配置方面的作用，县公务服务中心结合工作实际，严格预算与绩效挂钩。同时，对每个项目绩效目标实现程度和预算执行进度开展“双监控”，针对绩效监控发现的问题，县公务服务中心及时召开专题会议进行项目优化调整，将2024年绩效监控结果作为 2025 年预算编制的重要依据。 </w:t>
      </w:r>
    </w:p>
    <w:p w14:paraId="263DD2D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 xml:space="preserve">2.信息公开情况。按县财政局相关通知要求，县公务服务中心绩效目标设置情况、完成情况以及部门整体支出绩效自评报告及时向社会进行了公开。 </w:t>
      </w:r>
    </w:p>
    <w:p w14:paraId="6145895A">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3.整改反馈情况。县公务服务中心通过自查，存在内部控制制度建立不完善之处，对此本单位立即进行了整改和完善，保证制度的建立健全。</w:t>
      </w:r>
    </w:p>
    <w:p w14:paraId="2A338E5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A710FD1">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仿宋_GB2312"/>
          <w:b w:val="0"/>
          <w:bCs w:val="0"/>
          <w:kern w:val="0"/>
          <w:position w:val="0"/>
          <w:sz w:val="32"/>
          <w:szCs w:val="32"/>
          <w:highlight w:val="none"/>
          <w:lang w:val="zh-CN" w:eastAsia="zh-CN" w:bidi="ar-SA"/>
        </w:rPr>
        <w:t>根据《峨边彝族自治县财政局关于开展20</w:t>
      </w:r>
      <w:r>
        <w:rPr>
          <w:rFonts w:hint="eastAsia" w:ascii="Times New Roman" w:hAnsi="Times New Roman" w:eastAsia="仿宋_GB2312" w:cs="仿宋_GB2312"/>
          <w:b w:val="0"/>
          <w:bCs w:val="0"/>
          <w:kern w:val="0"/>
          <w:position w:val="0"/>
          <w:sz w:val="32"/>
          <w:szCs w:val="32"/>
          <w:highlight w:val="none"/>
          <w:lang w:val="en-US" w:eastAsia="zh-CN" w:bidi="ar-SA"/>
        </w:rPr>
        <w:t>24</w:t>
      </w:r>
      <w:r>
        <w:rPr>
          <w:rFonts w:hint="eastAsia" w:ascii="Times New Roman" w:hAnsi="Times New Roman" w:eastAsia="仿宋_GB2312" w:cs="仿宋_GB2312"/>
          <w:b w:val="0"/>
          <w:bCs w:val="0"/>
          <w:kern w:val="0"/>
          <w:position w:val="0"/>
          <w:sz w:val="32"/>
          <w:szCs w:val="32"/>
          <w:highlight w:val="none"/>
          <w:lang w:val="zh-CN" w:eastAsia="zh-CN" w:bidi="ar-SA"/>
        </w:rPr>
        <w:t>年</w:t>
      </w:r>
      <w:r>
        <w:rPr>
          <w:rFonts w:hint="eastAsia" w:ascii="Times New Roman" w:hAnsi="Times New Roman" w:eastAsia="仿宋_GB2312" w:cs="仿宋_GB2312"/>
          <w:b w:val="0"/>
          <w:bCs w:val="0"/>
          <w:kern w:val="0"/>
          <w:position w:val="0"/>
          <w:sz w:val="32"/>
          <w:szCs w:val="32"/>
          <w:highlight w:val="none"/>
          <w:lang w:val="en-US" w:eastAsia="zh-CN" w:bidi="ar-SA"/>
        </w:rPr>
        <w:t>县级部门预算绩效自评工作的通知</w:t>
      </w:r>
      <w:r>
        <w:rPr>
          <w:rFonts w:hint="eastAsia" w:ascii="Times New Roman" w:hAnsi="Times New Roman" w:eastAsia="仿宋_GB2312" w:cs="仿宋_GB2312"/>
          <w:b w:val="0"/>
          <w:bCs w:val="0"/>
          <w:kern w:val="0"/>
          <w:position w:val="0"/>
          <w:sz w:val="32"/>
          <w:szCs w:val="32"/>
          <w:highlight w:val="none"/>
          <w:lang w:val="zh-CN" w:eastAsia="zh-CN" w:bidi="ar-SA"/>
        </w:rPr>
        <w:t>》文件精神，</w:t>
      </w:r>
      <w:r>
        <w:rPr>
          <w:rFonts w:hint="eastAsia" w:ascii="Times New Roman" w:hAnsi="Times New Roman" w:eastAsia="仿宋_GB2312" w:cs="仿宋_GB2312"/>
          <w:b w:val="0"/>
          <w:bCs w:val="0"/>
          <w:kern w:val="0"/>
          <w:position w:val="0"/>
          <w:sz w:val="32"/>
          <w:szCs w:val="32"/>
          <w:highlight w:val="none"/>
          <w:lang w:val="en-US" w:eastAsia="zh-CN" w:bidi="ar-SA"/>
        </w:rPr>
        <w:t>县公务服务中心单位认真组织开展了部门整体支出绩效评价工作，从自评情况来看，县公务服务中心</w:t>
      </w:r>
      <w:r>
        <w:rPr>
          <w:rFonts w:hint="eastAsia" w:eastAsia="仿宋_GB2312" w:cs="仿宋_GB2312"/>
          <w:b w:val="0"/>
          <w:bCs w:val="0"/>
          <w:kern w:val="0"/>
          <w:position w:val="0"/>
          <w:sz w:val="32"/>
          <w:szCs w:val="32"/>
          <w:highlight w:val="none"/>
          <w:lang w:val="en-US" w:eastAsia="zh-CN" w:bidi="ar-SA"/>
        </w:rPr>
        <w:t>预算</w:t>
      </w:r>
      <w:r>
        <w:rPr>
          <w:rFonts w:hint="eastAsia" w:ascii="Times New Roman" w:hAnsi="Times New Roman" w:eastAsia="仿宋_GB2312" w:cs="仿宋_GB2312"/>
          <w:b w:val="0"/>
          <w:bCs w:val="0"/>
          <w:kern w:val="0"/>
          <w:position w:val="0"/>
          <w:sz w:val="32"/>
          <w:szCs w:val="32"/>
          <w:highlight w:val="none"/>
          <w:lang w:val="en-US" w:eastAsia="zh-CN" w:bidi="ar-SA"/>
        </w:rPr>
        <w:t>、决算编制合理，支出规范。财政资金既确保了单位的正常运转，又保障了重大项目的实施，资金支出绩效良好，全面达到了预期目标，综合考核自评得分 100分。</w:t>
      </w:r>
    </w:p>
    <w:p w14:paraId="32472C3A">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仿宋_GB2312"/>
          <w:b w:val="0"/>
          <w:bCs w:val="0"/>
          <w:kern w:val="0"/>
          <w:position w:val="0"/>
          <w:sz w:val="32"/>
          <w:szCs w:val="32"/>
          <w:highlight w:val="none"/>
          <w:lang w:val="en-US" w:eastAsia="zh-CN" w:bidi="ar-SA"/>
        </w:rPr>
        <w:t>经费预算还不够精准，预算编制仍需进一步精确细化。随着财务工作日益细化，项目资金需要完</w:t>
      </w:r>
      <w:bookmarkStart w:id="67" w:name="_GoBack"/>
      <w:bookmarkEnd w:id="67"/>
      <w:r>
        <w:rPr>
          <w:rFonts w:hint="eastAsia" w:ascii="Times New Roman" w:hAnsi="Times New Roman" w:eastAsia="仿宋_GB2312" w:cs="仿宋_GB2312"/>
          <w:b w:val="0"/>
          <w:bCs w:val="0"/>
          <w:kern w:val="0"/>
          <w:position w:val="0"/>
          <w:sz w:val="32"/>
          <w:szCs w:val="32"/>
          <w:highlight w:val="none"/>
          <w:lang w:val="en-US" w:eastAsia="zh-CN" w:bidi="ar-SA"/>
        </w:rPr>
        <w:t>全按照所下指标用途分类来使用，我单位目前还需要进一步对预算编制进行细化，加强资金使用的前瞻性预估。</w:t>
      </w:r>
    </w:p>
    <w:p w14:paraId="4BDFA581">
      <w:pPr>
        <w:keepNext w:val="0"/>
        <w:keepLines w:val="0"/>
        <w:pageBreakBefore w:val="0"/>
        <w:kinsoku/>
        <w:wordWrap/>
        <w:overflowPunct/>
        <w:topLinePunct w:val="0"/>
        <w:autoSpaceDE/>
        <w:autoSpaceDN/>
        <w:bidi w:val="0"/>
        <w:snapToGrid w:val="0"/>
        <w:spacing w:line="600" w:lineRule="exact"/>
        <w:ind w:firstLine="643" w:firstLineChars="200"/>
        <w:textAlignment w:val="auto"/>
        <w:rPr>
          <w:rStyle w:val="20"/>
          <w:rFonts w:hint="eastAsia" w:ascii="仿宋_GB2312" w:hAnsi="Times New Roman" w:eastAsia="仿宋_GB2312" w:cs="仿宋_GB2312"/>
          <w:b w:val="0"/>
          <w:bCs w:val="0"/>
          <w:i w:val="0"/>
          <w:i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仿宋_GB2312" w:cs="仿宋_GB2312"/>
          <w:b w:val="0"/>
          <w:bCs w:val="0"/>
          <w:kern w:val="0"/>
          <w:position w:val="0"/>
          <w:sz w:val="32"/>
          <w:szCs w:val="32"/>
          <w:highlight w:val="none"/>
          <w:lang w:val="en-US" w:eastAsia="zh-CN" w:bidi="ar-SA"/>
        </w:rPr>
        <w:t>下一步，县公务服务中心将对照自评发现的问题进行整改，不断提升预算绩效管理水平。一是严格按照党政机关过紧日子要求，严控一般性支出预算，从严审批因公出国、公务接待、公务用车购置等支出，对办公设备购置、信息网络及软件购置更新进行严格把关，大力压减</w:t>
      </w:r>
      <w:r>
        <w:rPr>
          <w:rStyle w:val="20"/>
          <w:rFonts w:hint="eastAsia" w:ascii="仿宋_GB2312" w:hAnsi="Times New Roman" w:eastAsia="仿宋_GB2312" w:cs="仿宋_GB2312"/>
          <w:b w:val="0"/>
          <w:bCs w:val="0"/>
          <w:i w:val="0"/>
          <w:iCs w:val="0"/>
          <w:color w:val="000000" w:themeColor="text1"/>
          <w:sz w:val="32"/>
          <w:szCs w:val="32"/>
          <w:shd w:val="clear" w:color="auto" w:fill="FFFFFF"/>
          <w:lang w:val="en-US" w:eastAsia="zh-CN"/>
          <w14:textFill>
            <w14:solidFill>
              <w14:schemeClr w14:val="tx1"/>
            </w14:solidFill>
          </w14:textFill>
        </w:rPr>
        <w:t xml:space="preserve">培训、差旅、办节办展等费用支出。将绩效的理念和管理办法贯穿于预算编制、预算执行和监督全过程，实现预算资金运行和预算管理效益最大化。 </w:t>
      </w:r>
    </w:p>
    <w:p w14:paraId="7C6178A4">
      <w:pPr>
        <w:keepNext w:val="0"/>
        <w:keepLines w:val="0"/>
        <w:pageBreakBefore w:val="0"/>
        <w:kinsoku/>
        <w:wordWrap/>
        <w:overflowPunct/>
        <w:topLinePunct w:val="0"/>
        <w:autoSpaceDE/>
        <w:autoSpaceDN/>
        <w:bidi w:val="0"/>
        <w:spacing w:line="600" w:lineRule="exact"/>
        <w:jc w:val="left"/>
        <w:textAlignment w:val="auto"/>
        <w:outlineLvl w:val="0"/>
        <w:rPr>
          <w:rFonts w:ascii="仿宋_GB2312" w:hAnsi="仿宋_GB2312" w:eastAsia="仿宋_GB2312" w:cs="仿宋_GB2312"/>
          <w:color w:val="auto"/>
          <w:sz w:val="32"/>
          <w:szCs w:val="32"/>
          <w:highlight w:val="none"/>
        </w:rPr>
      </w:pPr>
    </w:p>
    <w:p w14:paraId="45EF8115">
      <w:pPr>
        <w:pageBreakBefore w:val="0"/>
        <w:kinsoku/>
        <w:wordWrap/>
        <w:overflowPunct/>
        <w:topLinePunct w:val="0"/>
        <w:autoSpaceDE/>
        <w:autoSpaceDN/>
        <w:bidi w:val="0"/>
        <w:spacing w:line="600" w:lineRule="exact"/>
        <w:jc w:val="center"/>
        <w:textAlignment w:val="auto"/>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部门预算项目支出绩效自评表（2024年度）</w:t>
      </w:r>
    </w:p>
    <w:p w14:paraId="3426B3E5">
      <w:pPr>
        <w:pStyle w:val="9"/>
        <w:keepNext w:val="0"/>
        <w:keepLines w:val="0"/>
        <w:pageBreakBefore w:val="0"/>
        <w:numPr>
          <w:ilvl w:val="0"/>
          <w:numId w:val="0"/>
        </w:numPr>
        <w:kinsoku/>
        <w:wordWrap/>
        <w:overflowPunct/>
        <w:topLinePunct w:val="0"/>
        <w:autoSpaceDE/>
        <w:autoSpaceDN/>
        <w:bidi w:val="0"/>
        <w:spacing w:line="600" w:lineRule="exact"/>
        <w:ind w:firstLine="420" w:firstLineChars="200"/>
        <w:textAlignment w:val="auto"/>
        <w:rPr>
          <w:rFonts w:hint="eastAsia" w:ascii="Times New Roman" w:hAnsi="Times New Roman" w:eastAsia="仿宋_GB2312" w:cs="Times New Roman"/>
          <w:kern w:val="2"/>
          <w:sz w:val="32"/>
          <w:szCs w:val="32"/>
          <w:u w:val="none"/>
          <w:lang w:val="zh-CN" w:eastAsia="zh-CN" w:bidi="ar"/>
        </w:rPr>
      </w:pPr>
      <w:r>
        <w:drawing>
          <wp:anchor distT="0" distB="0" distL="114300" distR="114300" simplePos="0" relativeHeight="251659264" behindDoc="0" locked="0" layoutInCell="1" allowOverlap="1">
            <wp:simplePos x="0" y="0"/>
            <wp:positionH relativeFrom="column">
              <wp:posOffset>86360</wp:posOffset>
            </wp:positionH>
            <wp:positionV relativeFrom="paragraph">
              <wp:posOffset>36195</wp:posOffset>
            </wp:positionV>
            <wp:extent cx="5272405" cy="6116320"/>
            <wp:effectExtent l="0" t="0" r="444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2405" cy="6116320"/>
                    </a:xfrm>
                    <a:prstGeom prst="rect">
                      <a:avLst/>
                    </a:prstGeom>
                    <a:noFill/>
                    <a:ln>
                      <a:noFill/>
                    </a:ln>
                  </pic:spPr>
                </pic:pic>
              </a:graphicData>
            </a:graphic>
          </wp:anchor>
        </w:drawing>
      </w:r>
    </w:p>
    <w:p w14:paraId="7551BB32">
      <w:pPr>
        <w:pStyle w:val="9"/>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C9FFFE1">
      <w:pPr>
        <w:pStyle w:val="9"/>
        <w:keepNext w:val="0"/>
        <w:keepLines w:val="0"/>
        <w:pageBreakBefore w:val="0"/>
        <w:numPr>
          <w:ilvl w:val="0"/>
          <w:numId w:val="0"/>
        </w:numPr>
        <w:kinsoku/>
        <w:wordWrap/>
        <w:overflowPunct/>
        <w:topLinePunct w:val="0"/>
        <w:autoSpaceDE/>
        <w:autoSpaceDN/>
        <w:bidi w:val="0"/>
        <w:spacing w:line="600" w:lineRule="exact"/>
        <w:textAlignment w:val="auto"/>
        <w:rPr>
          <w:rFonts w:hint="eastAsia" w:ascii="Times New Roman" w:hAnsi="Times New Roman" w:cs="Times New Roman"/>
          <w:sz w:val="32"/>
          <w:szCs w:val="32"/>
          <w:highlight w:val="yellow"/>
          <w:lang w:val="zh-CN" w:eastAsia="zh-CN"/>
        </w:rPr>
      </w:pPr>
    </w:p>
    <w:p w14:paraId="5157804D">
      <w:pPr>
        <w:pStyle w:val="7"/>
        <w:pageBreakBefore w:val="0"/>
        <w:kinsoku/>
        <w:wordWrap/>
        <w:overflowPunct/>
        <w:topLinePunct w:val="0"/>
        <w:autoSpaceDE/>
        <w:autoSpaceDN/>
        <w:bidi w:val="0"/>
        <w:spacing w:line="600" w:lineRule="exact"/>
        <w:textAlignment w:val="auto"/>
        <w:rPr>
          <w:rFonts w:hint="eastAsia" w:ascii="Times New Roman" w:hAnsi="Times New Roman" w:cs="宋体"/>
          <w:color w:val="FF0000"/>
          <w:kern w:val="0"/>
          <w:sz w:val="32"/>
          <w:szCs w:val="32"/>
          <w:highlight w:val="yellow"/>
          <w:shd w:val="clear" w:color="auto" w:fill="FFFFFF"/>
          <w:lang w:val="zh-CN"/>
        </w:rPr>
      </w:pPr>
    </w:p>
    <w:p w14:paraId="2569AEBE">
      <w:pPr>
        <w:pageBreakBefore w:val="0"/>
        <w:kinsoku/>
        <w:wordWrap/>
        <w:overflowPunct/>
        <w:topLinePunct w:val="0"/>
        <w:autoSpaceDE/>
        <w:autoSpaceDN/>
        <w:bidi w:val="0"/>
        <w:spacing w:line="600" w:lineRule="exact"/>
        <w:textAlignment w:val="auto"/>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A569C84">
      <w:pPr>
        <w:pStyle w:val="7"/>
        <w:pageBreakBefore w:val="0"/>
        <w:kinsoku/>
        <w:wordWrap/>
        <w:overflowPunct/>
        <w:topLinePunct w:val="0"/>
        <w:autoSpaceDE/>
        <w:autoSpaceDN/>
        <w:bidi w:val="0"/>
        <w:spacing w:line="600" w:lineRule="exact"/>
        <w:textAlignment w:val="auto"/>
        <w:rPr>
          <w:rFonts w:hint="eastAsia" w:ascii="Times New Roman" w:hAnsi="Times New Roman" w:eastAsia="黑体" w:cs="黑体"/>
          <w:color w:val="auto"/>
          <w:sz w:val="32"/>
          <w:szCs w:val="32"/>
          <w:highlight w:val="none"/>
          <w:lang w:val="en-US" w:eastAsia="zh-CN"/>
        </w:rPr>
      </w:pPr>
    </w:p>
    <w:p w14:paraId="68E37974">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drawing>
          <wp:anchor distT="0" distB="0" distL="114300" distR="114300" simplePos="0" relativeHeight="251662336" behindDoc="0" locked="0" layoutInCell="1" allowOverlap="1">
            <wp:simplePos x="0" y="0"/>
            <wp:positionH relativeFrom="column">
              <wp:posOffset>328930</wp:posOffset>
            </wp:positionH>
            <wp:positionV relativeFrom="paragraph">
              <wp:posOffset>287655</wp:posOffset>
            </wp:positionV>
            <wp:extent cx="5272405" cy="5325110"/>
            <wp:effectExtent l="0" t="0" r="4445"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272405" cy="5325110"/>
                    </a:xfrm>
                    <a:prstGeom prst="rect">
                      <a:avLst/>
                    </a:prstGeom>
                    <a:noFill/>
                    <a:ln>
                      <a:noFill/>
                    </a:ln>
                  </pic:spPr>
                </pic:pic>
              </a:graphicData>
            </a:graphic>
          </wp:anchor>
        </w:drawing>
      </w:r>
    </w:p>
    <w:p w14:paraId="41637A6E">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A91648B">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11CF87A">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144B1F1">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1BA84C3">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AA60F72">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70E19F2">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5A1EEEC">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66815A3F">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33D37856">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0CB6D624">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3E04C470">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014B333B">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C834F5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6FEDE71">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34068F28">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1C2AE16">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51CD64B">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19ECD55">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EEF94D0">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EA6A9B0">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EA583E9">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A4D17C9">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r>
        <w:drawing>
          <wp:anchor distT="0" distB="0" distL="114300" distR="114300" simplePos="0" relativeHeight="251661312" behindDoc="0" locked="0" layoutInCell="1" allowOverlap="1">
            <wp:simplePos x="0" y="0"/>
            <wp:positionH relativeFrom="column">
              <wp:posOffset>182880</wp:posOffset>
            </wp:positionH>
            <wp:positionV relativeFrom="paragraph">
              <wp:posOffset>50800</wp:posOffset>
            </wp:positionV>
            <wp:extent cx="5272405" cy="6515735"/>
            <wp:effectExtent l="0" t="0" r="4445" b="184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272405" cy="6515735"/>
                    </a:xfrm>
                    <a:prstGeom prst="rect">
                      <a:avLst/>
                    </a:prstGeom>
                    <a:noFill/>
                    <a:ln>
                      <a:noFill/>
                    </a:ln>
                  </pic:spPr>
                </pic:pic>
              </a:graphicData>
            </a:graphic>
          </wp:anchor>
        </w:drawing>
      </w:r>
    </w:p>
    <w:p w14:paraId="4B4697B9">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93404C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167CED9">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17BF8B5">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4940C3E">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82253CC">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CE1C346">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6B16368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214A2F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EBB83FC">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9DA6A8A">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AC23130">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47688C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3E02DD04">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03681AE1">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9F85DCD">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650834FF">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04239E95">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697C5EA8">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1A56772">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7C4B19B">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0FF5822A">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r>
        <w:drawing>
          <wp:anchor distT="0" distB="0" distL="114300" distR="114300" simplePos="0" relativeHeight="251660288" behindDoc="0" locked="0" layoutInCell="1" allowOverlap="1">
            <wp:simplePos x="0" y="0"/>
            <wp:positionH relativeFrom="column">
              <wp:posOffset>26670</wp:posOffset>
            </wp:positionH>
            <wp:positionV relativeFrom="paragraph">
              <wp:posOffset>290195</wp:posOffset>
            </wp:positionV>
            <wp:extent cx="5272405" cy="6223000"/>
            <wp:effectExtent l="0" t="0" r="444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272405" cy="6223000"/>
                    </a:xfrm>
                    <a:prstGeom prst="rect">
                      <a:avLst/>
                    </a:prstGeom>
                    <a:noFill/>
                    <a:ln>
                      <a:noFill/>
                    </a:ln>
                  </pic:spPr>
                </pic:pic>
              </a:graphicData>
            </a:graphic>
          </wp:anchor>
        </w:drawing>
      </w:r>
    </w:p>
    <w:p w14:paraId="408A87F9">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342D886">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E43E558">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A22B7CE">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B40FFF5">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6E1C0920">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72CCEEE">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1E268B8">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E675884">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3A59A2F">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DF77DAF">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2E9513A">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2647FB2">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1DD503F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B6A9802">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5CEEB9FA">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7C197F97">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645BB6AD">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622FAA3">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347B7ED0">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2F23B7AC">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4915D182">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zh-CN"/>
        </w:rPr>
      </w:pPr>
    </w:p>
    <w:p w14:paraId="3FFF682C">
      <w:pPr>
        <w:pStyle w:val="37"/>
        <w:keepNext w:val="0"/>
        <w:keepLines w:val="0"/>
        <w:pageBreakBefore w:val="0"/>
        <w:widowControl w:val="0"/>
        <w:kinsoku/>
        <w:wordWrap/>
        <w:overflowPunct/>
        <w:topLinePunct w:val="0"/>
        <w:autoSpaceDE/>
        <w:autoSpaceDN/>
        <w:bidi w:val="0"/>
        <w:spacing w:line="600" w:lineRule="exact"/>
        <w:ind w:left="0" w:leftChars="0"/>
        <w:jc w:val="left"/>
        <w:textAlignment w:val="auto"/>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04392FD">
      <w:pPr>
        <w:pStyle w:val="37"/>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493706FB">
      <w:pPr>
        <w:pStyle w:val="37"/>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Times New Roman" w:hAnsi="Times New Roman" w:eastAsia="宋体"/>
          <w:color w:val="auto"/>
          <w:kern w:val="2"/>
          <w:sz w:val="32"/>
          <w:szCs w:val="32"/>
          <w:highlight w:val="none"/>
          <w:lang w:eastAsia="zh-CN"/>
        </w:rPr>
      </w:pPr>
      <w:r>
        <w:rPr>
          <w:rFonts w:ascii="Times New Roman" w:hAnsi="Times New Roman"/>
          <w:color w:val="auto"/>
          <w:kern w:val="2"/>
          <w:sz w:val="32"/>
          <w:szCs w:val="32"/>
          <w:highlight w:val="none"/>
        </w:rPr>
        <w:br w:type="textWrapping"/>
      </w:r>
      <w:r>
        <w:rPr>
          <w:rFonts w:hint="eastAsia" w:ascii="Times New Roman" w:hAnsi="Times New Roman"/>
          <w:color w:val="auto"/>
          <w:kern w:val="2"/>
          <w:sz w:val="32"/>
          <w:szCs w:val="32"/>
          <w:highlight w:val="none"/>
          <w:lang w:eastAsia="zh-CN"/>
        </w:rPr>
        <w:t>（县公务服务中心不涉及）</w:t>
      </w:r>
    </w:p>
    <w:p w14:paraId="7825AB0D">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bookmarkStart w:id="53" w:name="_Toc15396618"/>
    </w:p>
    <w:p w14:paraId="6B713DC6">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5726D8F4">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204D5861">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5F778771">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77566C3B">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36FDBFA9">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59929E2C">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322EE1B5">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6A0AF7D6">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31188B45">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776DB301">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25C004D3">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01BAB6E1">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39FBB004">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0442A305">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38407DA7">
      <w:pPr>
        <w:pageBreakBefore w:val="0"/>
        <w:widowControl/>
        <w:kinsoku/>
        <w:wordWrap/>
        <w:overflowPunct/>
        <w:topLinePunct w:val="0"/>
        <w:autoSpaceDE/>
        <w:autoSpaceDN/>
        <w:bidi w:val="0"/>
        <w:spacing w:line="600" w:lineRule="exact"/>
        <w:jc w:val="center"/>
        <w:textAlignment w:val="auto"/>
        <w:rPr>
          <w:rFonts w:hint="eastAsia" w:ascii="Times New Roman" w:hAnsi="Times New Roman" w:eastAsia="黑体"/>
          <w:color w:val="auto"/>
          <w:sz w:val="44"/>
          <w:szCs w:val="44"/>
          <w:highlight w:val="none"/>
        </w:rPr>
      </w:pPr>
    </w:p>
    <w:p w14:paraId="0650FF6E">
      <w:pPr>
        <w:pageBreakBefore w:val="0"/>
        <w:widowControl/>
        <w:kinsoku/>
        <w:wordWrap/>
        <w:overflowPunct/>
        <w:topLinePunct w:val="0"/>
        <w:autoSpaceDE/>
        <w:autoSpaceDN/>
        <w:bidi w:val="0"/>
        <w:spacing w:line="600" w:lineRule="exact"/>
        <w:ind w:firstLine="440" w:firstLineChars="100"/>
        <w:jc w:val="center"/>
        <w:textAlignment w:val="auto"/>
        <w:rPr>
          <w:rFonts w:hint="eastAsia" w:ascii="Times New Roman" w:hAnsi="Times New Roman" w:eastAsia="黑体"/>
          <w:color w:val="auto"/>
          <w:sz w:val="44"/>
          <w:szCs w:val="44"/>
          <w:highlight w:val="none"/>
        </w:rPr>
      </w:pPr>
    </w:p>
    <w:p w14:paraId="0AF31B1E">
      <w:pPr>
        <w:pageBreakBefore w:val="0"/>
        <w:widowControl/>
        <w:kinsoku/>
        <w:wordWrap/>
        <w:overflowPunct/>
        <w:topLinePunct w:val="0"/>
        <w:autoSpaceDE/>
        <w:autoSpaceDN/>
        <w:bidi w:val="0"/>
        <w:spacing w:line="600" w:lineRule="exact"/>
        <w:ind w:firstLine="440" w:firstLineChars="100"/>
        <w:jc w:val="center"/>
        <w:textAlignment w:val="auto"/>
        <w:rPr>
          <w:rFonts w:hint="eastAsia" w:ascii="Times New Roman" w:hAnsi="Times New Roman" w:eastAsia="黑体"/>
          <w:color w:val="auto"/>
          <w:sz w:val="44"/>
          <w:szCs w:val="44"/>
          <w:highlight w:val="none"/>
        </w:rPr>
      </w:pPr>
    </w:p>
    <w:p w14:paraId="05CC4A6B">
      <w:pPr>
        <w:pageBreakBefore w:val="0"/>
        <w:widowControl/>
        <w:kinsoku/>
        <w:wordWrap/>
        <w:overflowPunct/>
        <w:topLinePunct w:val="0"/>
        <w:autoSpaceDE/>
        <w:autoSpaceDN/>
        <w:bidi w:val="0"/>
        <w:spacing w:line="600" w:lineRule="exact"/>
        <w:ind w:firstLine="440" w:firstLineChars="100"/>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1"/>
      <w:bookmarkEnd w:id="53"/>
      <w:bookmarkStart w:id="54" w:name="_Toc15396619"/>
    </w:p>
    <w:p w14:paraId="642745DA">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p>
    <w:p w14:paraId="54CF658F">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31EBC8F0">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68A2EDF4">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727E2E5C">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0D4BA974">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4EB76898">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6E33665B">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787425AB">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7521BCE9">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61F4088E">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5EB3AD07">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CD98413">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419D164C">
      <w:pPr>
        <w:pStyle w:val="16"/>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6AB469ED">
      <w:pPr>
        <w:pageBreakBefore w:val="0"/>
        <w:kinsoku/>
        <w:wordWrap/>
        <w:overflowPunct/>
        <w:topLinePunct w:val="0"/>
        <w:autoSpaceDE/>
        <w:autoSpaceDN/>
        <w:bidi w:val="0"/>
        <w:spacing w:line="600" w:lineRule="exact"/>
        <w:textAlignment w:val="auto"/>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2B47">
    <w:pPr>
      <w:pStyle w:val="12"/>
      <w:jc w:val="center"/>
    </w:pPr>
  </w:p>
  <w:p w14:paraId="61F5EA6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7331">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8175E">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098175E">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64DDAD5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B35A">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7BD8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097BD8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0084">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E047CB"/>
    <w:rsid w:val="02FEBE30"/>
    <w:rsid w:val="04916F1E"/>
    <w:rsid w:val="04CC2940"/>
    <w:rsid w:val="05987D42"/>
    <w:rsid w:val="06183E57"/>
    <w:rsid w:val="061E35DE"/>
    <w:rsid w:val="066E0107"/>
    <w:rsid w:val="07996F6E"/>
    <w:rsid w:val="07DFD8BA"/>
    <w:rsid w:val="07E510E2"/>
    <w:rsid w:val="08BF1067"/>
    <w:rsid w:val="097C160A"/>
    <w:rsid w:val="09867E8F"/>
    <w:rsid w:val="0A2032A3"/>
    <w:rsid w:val="0B5621B4"/>
    <w:rsid w:val="0BC2229C"/>
    <w:rsid w:val="0C8840CE"/>
    <w:rsid w:val="0CA8290A"/>
    <w:rsid w:val="0D35B1ED"/>
    <w:rsid w:val="0E1E359E"/>
    <w:rsid w:val="0E254B6B"/>
    <w:rsid w:val="0F98263C"/>
    <w:rsid w:val="101860EC"/>
    <w:rsid w:val="101F47CC"/>
    <w:rsid w:val="10C055FF"/>
    <w:rsid w:val="11342422"/>
    <w:rsid w:val="11692C01"/>
    <w:rsid w:val="11694EBD"/>
    <w:rsid w:val="11772AA4"/>
    <w:rsid w:val="118107EC"/>
    <w:rsid w:val="12E24EE2"/>
    <w:rsid w:val="13D50BC4"/>
    <w:rsid w:val="13FF1219"/>
    <w:rsid w:val="14B17F78"/>
    <w:rsid w:val="165E0673"/>
    <w:rsid w:val="167B71FA"/>
    <w:rsid w:val="16B831D5"/>
    <w:rsid w:val="16BB723D"/>
    <w:rsid w:val="17E50567"/>
    <w:rsid w:val="186504BB"/>
    <w:rsid w:val="19A445FC"/>
    <w:rsid w:val="1ADE5E5A"/>
    <w:rsid w:val="1B11026C"/>
    <w:rsid w:val="1BD02972"/>
    <w:rsid w:val="1BE8440E"/>
    <w:rsid w:val="1D155CEE"/>
    <w:rsid w:val="1D1638FE"/>
    <w:rsid w:val="1E312DEB"/>
    <w:rsid w:val="1E740ACF"/>
    <w:rsid w:val="1F631B9F"/>
    <w:rsid w:val="1FF35744"/>
    <w:rsid w:val="1FF6BC77"/>
    <w:rsid w:val="20746E9D"/>
    <w:rsid w:val="21645033"/>
    <w:rsid w:val="2186353C"/>
    <w:rsid w:val="22C862BC"/>
    <w:rsid w:val="235D2CB9"/>
    <w:rsid w:val="23860B96"/>
    <w:rsid w:val="240371BF"/>
    <w:rsid w:val="244F3473"/>
    <w:rsid w:val="24C97D99"/>
    <w:rsid w:val="25A718F0"/>
    <w:rsid w:val="25BB59F6"/>
    <w:rsid w:val="260F557C"/>
    <w:rsid w:val="26970054"/>
    <w:rsid w:val="281408E2"/>
    <w:rsid w:val="29FD04D3"/>
    <w:rsid w:val="2AF670CB"/>
    <w:rsid w:val="2BFF7BC6"/>
    <w:rsid w:val="2C8A61B5"/>
    <w:rsid w:val="2DF04E50"/>
    <w:rsid w:val="2E586DFA"/>
    <w:rsid w:val="2E831E61"/>
    <w:rsid w:val="2F040D46"/>
    <w:rsid w:val="2F6B035B"/>
    <w:rsid w:val="2FAE5751"/>
    <w:rsid w:val="2FB1A395"/>
    <w:rsid w:val="2FD9A7D8"/>
    <w:rsid w:val="2FDBF714"/>
    <w:rsid w:val="30AB6865"/>
    <w:rsid w:val="310C75EE"/>
    <w:rsid w:val="31750675"/>
    <w:rsid w:val="31891DF9"/>
    <w:rsid w:val="319F7F4E"/>
    <w:rsid w:val="32847C00"/>
    <w:rsid w:val="32BD1EF1"/>
    <w:rsid w:val="3304709D"/>
    <w:rsid w:val="3381499E"/>
    <w:rsid w:val="33A773CB"/>
    <w:rsid w:val="349D6851"/>
    <w:rsid w:val="36AA5135"/>
    <w:rsid w:val="36BE0DA7"/>
    <w:rsid w:val="36E849DE"/>
    <w:rsid w:val="376B6AA6"/>
    <w:rsid w:val="376D39B2"/>
    <w:rsid w:val="37E16F03"/>
    <w:rsid w:val="37F53A3B"/>
    <w:rsid w:val="389B6C89"/>
    <w:rsid w:val="38D469F0"/>
    <w:rsid w:val="39627CCD"/>
    <w:rsid w:val="397BAF1F"/>
    <w:rsid w:val="3AB79AF3"/>
    <w:rsid w:val="3AE834C0"/>
    <w:rsid w:val="3B656CF1"/>
    <w:rsid w:val="3B7EF35A"/>
    <w:rsid w:val="3B9FDB6C"/>
    <w:rsid w:val="3BF5BC2F"/>
    <w:rsid w:val="3CEBA265"/>
    <w:rsid w:val="3D98207C"/>
    <w:rsid w:val="3DEE7CF3"/>
    <w:rsid w:val="3E740A63"/>
    <w:rsid w:val="3E78745D"/>
    <w:rsid w:val="3EE17838"/>
    <w:rsid w:val="3F55381A"/>
    <w:rsid w:val="3F7F7599"/>
    <w:rsid w:val="3FF4CAE0"/>
    <w:rsid w:val="3FF7B227"/>
    <w:rsid w:val="41036E21"/>
    <w:rsid w:val="422B5C02"/>
    <w:rsid w:val="433F6218"/>
    <w:rsid w:val="43DE67B5"/>
    <w:rsid w:val="44E268DA"/>
    <w:rsid w:val="450D13D7"/>
    <w:rsid w:val="45506656"/>
    <w:rsid w:val="4587197C"/>
    <w:rsid w:val="45DD5482"/>
    <w:rsid w:val="45FC09EE"/>
    <w:rsid w:val="48614792"/>
    <w:rsid w:val="486A6C7A"/>
    <w:rsid w:val="4A5E78B9"/>
    <w:rsid w:val="4A627F82"/>
    <w:rsid w:val="4B0E749A"/>
    <w:rsid w:val="4B2477C4"/>
    <w:rsid w:val="4B4F25DA"/>
    <w:rsid w:val="4BE068DB"/>
    <w:rsid w:val="4C60055E"/>
    <w:rsid w:val="4C651B3F"/>
    <w:rsid w:val="4D577224"/>
    <w:rsid w:val="4D693E68"/>
    <w:rsid w:val="4DBF1CEB"/>
    <w:rsid w:val="4DF0007C"/>
    <w:rsid w:val="4E95775A"/>
    <w:rsid w:val="4EAB630A"/>
    <w:rsid w:val="4ECE2238"/>
    <w:rsid w:val="4F833267"/>
    <w:rsid w:val="4FB14DB7"/>
    <w:rsid w:val="4FE9BD67"/>
    <w:rsid w:val="4FFB052F"/>
    <w:rsid w:val="52F67AFB"/>
    <w:rsid w:val="53377350"/>
    <w:rsid w:val="537E6D0A"/>
    <w:rsid w:val="53EE0689"/>
    <w:rsid w:val="53F74C96"/>
    <w:rsid w:val="55170BA8"/>
    <w:rsid w:val="553218C9"/>
    <w:rsid w:val="567E1AA5"/>
    <w:rsid w:val="56E47B74"/>
    <w:rsid w:val="57175D52"/>
    <w:rsid w:val="57852DF9"/>
    <w:rsid w:val="57BD3DD4"/>
    <w:rsid w:val="57FA2F52"/>
    <w:rsid w:val="58E371CC"/>
    <w:rsid w:val="5AF92295"/>
    <w:rsid w:val="5B250254"/>
    <w:rsid w:val="5BDD79E6"/>
    <w:rsid w:val="5BF561CA"/>
    <w:rsid w:val="5BFF5DFC"/>
    <w:rsid w:val="5C86352A"/>
    <w:rsid w:val="5CD71FC4"/>
    <w:rsid w:val="5D1F11B5"/>
    <w:rsid w:val="5D695134"/>
    <w:rsid w:val="5DAE1B18"/>
    <w:rsid w:val="5DE7D9E5"/>
    <w:rsid w:val="5ECEC941"/>
    <w:rsid w:val="5ED8150B"/>
    <w:rsid w:val="5EF97F4F"/>
    <w:rsid w:val="5F2525CE"/>
    <w:rsid w:val="5F3D635C"/>
    <w:rsid w:val="5F5958A0"/>
    <w:rsid w:val="5FBF9FF3"/>
    <w:rsid w:val="5FCD4E2C"/>
    <w:rsid w:val="5FEF394A"/>
    <w:rsid w:val="5FF67715"/>
    <w:rsid w:val="61F76A80"/>
    <w:rsid w:val="62BF3928"/>
    <w:rsid w:val="63642AE7"/>
    <w:rsid w:val="63B3701E"/>
    <w:rsid w:val="647F5392"/>
    <w:rsid w:val="65E66580"/>
    <w:rsid w:val="664B1D71"/>
    <w:rsid w:val="664B4E8E"/>
    <w:rsid w:val="67277B67"/>
    <w:rsid w:val="67AA3209"/>
    <w:rsid w:val="693735F7"/>
    <w:rsid w:val="698D0931"/>
    <w:rsid w:val="6A5A0765"/>
    <w:rsid w:val="6A7FE5F3"/>
    <w:rsid w:val="6B053271"/>
    <w:rsid w:val="6B093B54"/>
    <w:rsid w:val="6B994FFB"/>
    <w:rsid w:val="6BAC78A9"/>
    <w:rsid w:val="6BDD78B3"/>
    <w:rsid w:val="6C4A05C8"/>
    <w:rsid w:val="6C8742B8"/>
    <w:rsid w:val="6D235815"/>
    <w:rsid w:val="6D33175E"/>
    <w:rsid w:val="6D8C7823"/>
    <w:rsid w:val="6DBF5E93"/>
    <w:rsid w:val="6DFF077E"/>
    <w:rsid w:val="6E714EF0"/>
    <w:rsid w:val="6E7E3605"/>
    <w:rsid w:val="6E7FDCC7"/>
    <w:rsid w:val="6ED6A62E"/>
    <w:rsid w:val="6EE00B15"/>
    <w:rsid w:val="6EF504D0"/>
    <w:rsid w:val="6F6FB3EB"/>
    <w:rsid w:val="6F8731EA"/>
    <w:rsid w:val="6FCE6052"/>
    <w:rsid w:val="6FD57C00"/>
    <w:rsid w:val="6FEFFFD8"/>
    <w:rsid w:val="6FF5CC65"/>
    <w:rsid w:val="6FFB47EC"/>
    <w:rsid w:val="6FFF034A"/>
    <w:rsid w:val="70484440"/>
    <w:rsid w:val="70537E7B"/>
    <w:rsid w:val="712A28F1"/>
    <w:rsid w:val="715C0E4B"/>
    <w:rsid w:val="71992E7C"/>
    <w:rsid w:val="72233669"/>
    <w:rsid w:val="72734D90"/>
    <w:rsid w:val="72EC6F6B"/>
    <w:rsid w:val="73160E6D"/>
    <w:rsid w:val="7332FE48"/>
    <w:rsid w:val="73AB61DA"/>
    <w:rsid w:val="73AD73D5"/>
    <w:rsid w:val="73B6EB34"/>
    <w:rsid w:val="73FA497D"/>
    <w:rsid w:val="744731E5"/>
    <w:rsid w:val="74A51E9F"/>
    <w:rsid w:val="74BBD01D"/>
    <w:rsid w:val="74ED5379"/>
    <w:rsid w:val="75DEEEC2"/>
    <w:rsid w:val="75E32345"/>
    <w:rsid w:val="76E3355F"/>
    <w:rsid w:val="76FF5125"/>
    <w:rsid w:val="776F6FFA"/>
    <w:rsid w:val="778769C8"/>
    <w:rsid w:val="77A75DCA"/>
    <w:rsid w:val="77DC22F5"/>
    <w:rsid w:val="783E271A"/>
    <w:rsid w:val="78441093"/>
    <w:rsid w:val="78616DE9"/>
    <w:rsid w:val="78E875D7"/>
    <w:rsid w:val="79086DAD"/>
    <w:rsid w:val="79897F46"/>
    <w:rsid w:val="79B935C6"/>
    <w:rsid w:val="79D05643"/>
    <w:rsid w:val="79D7FD79"/>
    <w:rsid w:val="79EE5BA4"/>
    <w:rsid w:val="7A894339"/>
    <w:rsid w:val="7AD284E8"/>
    <w:rsid w:val="7AD85DE2"/>
    <w:rsid w:val="7AFF7572"/>
    <w:rsid w:val="7B6C7DFB"/>
    <w:rsid w:val="7BBFBED0"/>
    <w:rsid w:val="7BC3E394"/>
    <w:rsid w:val="7C1F3737"/>
    <w:rsid w:val="7CBFC87B"/>
    <w:rsid w:val="7CFE0F48"/>
    <w:rsid w:val="7D272ABC"/>
    <w:rsid w:val="7D7EC23E"/>
    <w:rsid w:val="7E0775E3"/>
    <w:rsid w:val="7E454501"/>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annotation text"/>
    <w:basedOn w:val="1"/>
    <w:semiHidden/>
    <w:unhideWhenUsed/>
    <w:qFormat/>
    <w:uiPriority w:val="99"/>
    <w:pPr>
      <w:jc w:val="left"/>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Emphasis"/>
    <w:basedOn w:val="18"/>
    <w:qFormat/>
    <w:uiPriority w:val="0"/>
    <w:rPr>
      <w:i/>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0732051d-38af-4df2-b056-075debf522ed</errorID>
      <errorWord>.....</errorWord>
      <group>L1_Punc</group>
      <groupName>标点问题</groupName>
      <ability>L2_Punc</ability>
      <abilityName>标点符号检查</abilityName>
      <candidateList>
        <item>……</item>
      </candidateList>
      <explain>省略号错误。</explain>
      <paraID>6A88CE1D</paraID>
      <start>22</start>
      <end>27</end>
      <status>ignored</status>
      <modifiedWord/>
      <trackRevisions>false</trackRevisions>
    </reviewItem>
    <reviewItem>
      <errorID>83c14820-aa4b-48d8-a3ca-383ba083e1a6</errorID>
      <errorWord>巩固脱贫攻坚成果</errorWord>
      <group>L1_Word</group>
      <groupName>字词问题</groupName>
      <ability>L2_Typo</ability>
      <abilityName>字词错误</abilityName>
      <candidateList>
        <item>巩固拓展脱贫攻坚成果</item>
      </candidateList>
      <explain/>
      <paraID>3BFB9332</paraID>
      <start>10</start>
      <end>18</end>
      <status>ignored</status>
      <modifiedWord/>
      <trackRevisions>false</trackRevisions>
    </reviewItem>
    <reviewItem>
      <errorID>53b12f60-0b2a-4775-8394-24df5736c6fa</errorID>
      <errorWord>巩固脱贫攻坚成果</errorWord>
      <group>L1_Word</group>
      <groupName>字词问题</groupName>
      <ability>L2_Typo</ability>
      <abilityName>字词错误</abilityName>
      <candidateList>
        <item>巩固拓展脱贫攻坚成果</item>
      </candidateList>
      <explain/>
      <paraID>3BFB9332</paraID>
      <start>29</start>
      <end>37</end>
      <status>ignored</status>
      <modifiedWord/>
      <trackRevisions>false</trackRevisions>
    </reviewItem>
    <reviewItem>
      <errorID>d5d9b146-6d58-4a6c-ab1a-3ef521d5ea7e</errorID>
      <errorWord>巩固脱贫攻坚成果</errorWord>
      <group>L1_Word</group>
      <groupName>字词问题</groupName>
      <ability>L2_Typo</ability>
      <abilityName>字词错误</abilityName>
      <candidateList>
        <item>巩固拓展脱贫攻坚成果</item>
      </candidateList>
      <explain/>
      <paraID>2A77B3E1</paraID>
      <start>11</start>
      <end>19</end>
      <status>ignored</status>
      <modifiedWord/>
      <trackRevisions>false</trackRevisions>
    </reviewItem>
    <reviewItem>
      <errorID>a8bc889e-e092-4425-9f61-c0eaa407e1d6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178BE99D</paraID>
      <start>95</start>
      <end>97</end>
      <status>ignored</status>
      <modifiedWord/>
      <trackRevisions>false</trackRevisions>
    </reviewItem>
    <reviewItem>
      <errorID>f7c2a08e-87c2-4bbc-a96b-d8c2a2e8a822</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7AF272B9</paraID>
      <start>3</start>
      <end>5</end>
      <status>ignored</status>
      <modifiedWord/>
      <trackRevisions>false</trackRevisions>
    </reviewItem>
    <reviewItem>
      <errorID>1fb1b6ce-08b1-4410-8a31-036e66d9045d</errorID>
      <errorWord>所下</errorWord>
      <group>L1_Word</group>
      <groupName>字词问题</groupName>
      <ability>L2_Typo</ability>
      <abilityName>字词错误</abilityName>
      <candidateList>
        <item>所需</item>
      </candidateList>
      <explain/>
      <paraID>32472C3A</paraID>
      <start>53</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ed0fa-aff8-4118-ad1b-9fdd9e5676e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8066</Words>
  <Characters>9380</Characters>
  <Lines>61</Lines>
  <Paragraphs>17</Paragraphs>
  <TotalTime>1054</TotalTime>
  <ScaleCrop>false</ScaleCrop>
  <LinksUpToDate>false</LinksUpToDate>
  <CharactersWithSpaces>9451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2025-11-27T07:21:56Z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