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ECC0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8D5B6CB">
      <w:pPr>
        <w:pStyle w:val="3"/>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峨边彝族自治县公务服务中心</w:t>
      </w:r>
      <w:r>
        <w:rPr>
          <w:rFonts w:hint="eastAsia" w:ascii="方正小标宋简体" w:hAnsi="方正小标宋简体" w:eastAsia="方正小标宋简体" w:cs="方正小标宋简体"/>
          <w:b w:val="0"/>
          <w:bCs/>
          <w:sz w:val="52"/>
          <w:szCs w:val="52"/>
          <w:lang w:val="en-US" w:eastAsia="zh-CN"/>
        </w:rPr>
        <w:t>2025年部门预算</w:t>
      </w:r>
    </w:p>
    <w:p w14:paraId="57206456">
      <w:pPr>
        <w:jc w:val="center"/>
        <w:rPr>
          <w:rFonts w:hint="eastAsia" w:ascii="方正小标宋简体" w:hAnsi="方正小标宋简体" w:eastAsia="方正小标宋简体" w:cs="方正小标宋简体"/>
          <w:b w:val="0"/>
          <w:bCs/>
          <w:sz w:val="52"/>
          <w:szCs w:val="52"/>
          <w:lang w:val="en-US" w:eastAsia="zh-CN"/>
        </w:rPr>
      </w:pPr>
    </w:p>
    <w:p w14:paraId="78414542">
      <w:pPr>
        <w:jc w:val="both"/>
        <w:rPr>
          <w:rFonts w:hint="default"/>
          <w:b/>
          <w:bCs/>
          <w:sz w:val="52"/>
          <w:szCs w:val="52"/>
          <w:lang w:val="en-US" w:eastAsia="zh-CN"/>
        </w:rPr>
      </w:pPr>
    </w:p>
    <w:p w14:paraId="7DD53EF6">
      <w:pPr>
        <w:jc w:val="both"/>
        <w:rPr>
          <w:rFonts w:hint="default"/>
          <w:b/>
          <w:bCs/>
          <w:sz w:val="52"/>
          <w:szCs w:val="52"/>
          <w:lang w:val="en-US" w:eastAsia="zh-CN"/>
        </w:rPr>
      </w:pPr>
    </w:p>
    <w:p w14:paraId="324BF5E2">
      <w:pPr>
        <w:jc w:val="both"/>
        <w:rPr>
          <w:rFonts w:hint="default"/>
          <w:b/>
          <w:bCs/>
          <w:sz w:val="52"/>
          <w:szCs w:val="52"/>
          <w:lang w:val="en-US" w:eastAsia="zh-CN"/>
        </w:rPr>
      </w:pPr>
    </w:p>
    <w:p w14:paraId="0FFA700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单位(签章)：____________________</w:t>
      </w:r>
    </w:p>
    <w:p w14:paraId="320A89B9">
      <w:pPr>
        <w:ind w:left="0" w:leftChars="0" w:firstLine="0" w:firstLineChars="0"/>
        <w:jc w:val="both"/>
        <w:rPr>
          <w:rFonts w:hint="default"/>
          <w:b/>
          <w:bCs/>
          <w:sz w:val="32"/>
          <w:szCs w:val="32"/>
          <w:lang w:val="en-US" w:eastAsia="zh-CN"/>
        </w:rPr>
      </w:pPr>
    </w:p>
    <w:p w14:paraId="5743E7A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2025年5月9日</w:t>
      </w:r>
    </w:p>
    <w:p w14:paraId="36244570">
      <w:pPr>
        <w:jc w:val="both"/>
        <w:rPr>
          <w:rFonts w:hint="eastAsia"/>
          <w:b/>
          <w:bCs/>
          <w:sz w:val="32"/>
          <w:szCs w:val="32"/>
          <w:lang w:val="en-US" w:eastAsia="zh-CN"/>
        </w:rPr>
      </w:pPr>
    </w:p>
    <w:p w14:paraId="4BA4152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65156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部门（单位）概况</w:t>
      </w:r>
    </w:p>
    <w:p w14:paraId="0F331E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B07A0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0BC36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部门（单位）2025年部门预算表</w:t>
      </w:r>
    </w:p>
    <w:p w14:paraId="63D914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F87E4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68DE5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89115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3AAFA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54E5F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E472D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34351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2AEDE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8CA70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AEB8F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378FC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1B29B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B4196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00F8F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7FC76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部门（单位）2025年部门预算情况说明</w:t>
      </w:r>
    </w:p>
    <w:p w14:paraId="4C2708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4A59EA1">
      <w:pPr>
        <w:pStyle w:val="3"/>
        <w:numPr>
          <w:ilvl w:val="0"/>
          <w:numId w:val="0"/>
        </w:numPr>
        <w:bidi w:val="0"/>
        <w:jc w:val="both"/>
        <w:rPr>
          <w:rFonts w:hint="default"/>
          <w:lang w:val="en-US" w:eastAsia="zh-CN"/>
        </w:rPr>
      </w:pPr>
    </w:p>
    <w:p w14:paraId="3AB19384">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峨边彝族自治县公务服务中心概况</w:t>
      </w:r>
    </w:p>
    <w:p w14:paraId="62F420A2">
      <w:pPr>
        <w:widowControl w:val="0"/>
        <w:numPr>
          <w:ilvl w:val="0"/>
          <w:numId w:val="0"/>
        </w:numPr>
        <w:jc w:val="both"/>
        <w:rPr>
          <w:rFonts w:hint="default"/>
          <w:b/>
          <w:bCs/>
          <w:sz w:val="52"/>
          <w:szCs w:val="52"/>
          <w:lang w:val="en-US" w:eastAsia="zh-CN"/>
        </w:rPr>
      </w:pPr>
    </w:p>
    <w:p w14:paraId="351D5EAF">
      <w:pPr>
        <w:widowControl w:val="0"/>
        <w:numPr>
          <w:ilvl w:val="0"/>
          <w:numId w:val="0"/>
        </w:numPr>
        <w:jc w:val="both"/>
        <w:rPr>
          <w:rFonts w:hint="default"/>
          <w:b/>
          <w:bCs/>
          <w:sz w:val="52"/>
          <w:szCs w:val="52"/>
          <w:lang w:val="en-US" w:eastAsia="zh-CN"/>
        </w:rPr>
      </w:pPr>
    </w:p>
    <w:p w14:paraId="3B666C75">
      <w:pPr>
        <w:widowControl w:val="0"/>
        <w:numPr>
          <w:ilvl w:val="0"/>
          <w:numId w:val="0"/>
        </w:numPr>
        <w:jc w:val="both"/>
        <w:rPr>
          <w:rFonts w:hint="default"/>
          <w:b/>
          <w:bCs/>
          <w:sz w:val="52"/>
          <w:szCs w:val="52"/>
          <w:lang w:val="en-US" w:eastAsia="zh-CN"/>
        </w:rPr>
      </w:pPr>
    </w:p>
    <w:p w14:paraId="6CBE43CD">
      <w:pPr>
        <w:widowControl w:val="0"/>
        <w:numPr>
          <w:ilvl w:val="0"/>
          <w:numId w:val="0"/>
        </w:numPr>
        <w:jc w:val="both"/>
        <w:rPr>
          <w:rFonts w:hint="default"/>
          <w:b/>
          <w:bCs/>
          <w:sz w:val="52"/>
          <w:szCs w:val="52"/>
          <w:lang w:val="en-US" w:eastAsia="zh-CN"/>
        </w:rPr>
      </w:pPr>
    </w:p>
    <w:p w14:paraId="5D7893CA">
      <w:pPr>
        <w:widowControl w:val="0"/>
        <w:numPr>
          <w:ilvl w:val="0"/>
          <w:numId w:val="0"/>
        </w:numPr>
        <w:jc w:val="both"/>
        <w:rPr>
          <w:rFonts w:hint="default"/>
          <w:b/>
          <w:bCs/>
          <w:sz w:val="52"/>
          <w:szCs w:val="52"/>
          <w:lang w:val="en-US" w:eastAsia="zh-CN"/>
        </w:rPr>
      </w:pPr>
    </w:p>
    <w:p w14:paraId="1BAF903D">
      <w:pPr>
        <w:widowControl w:val="0"/>
        <w:numPr>
          <w:ilvl w:val="0"/>
          <w:numId w:val="0"/>
        </w:numPr>
        <w:jc w:val="both"/>
        <w:rPr>
          <w:rFonts w:hint="default"/>
          <w:b/>
          <w:bCs/>
          <w:sz w:val="52"/>
          <w:szCs w:val="52"/>
          <w:lang w:val="en-US" w:eastAsia="zh-CN"/>
        </w:rPr>
      </w:pPr>
    </w:p>
    <w:p w14:paraId="309EAA99">
      <w:pPr>
        <w:bidi w:val="0"/>
        <w:rPr>
          <w:rFonts w:hint="eastAsia" w:ascii="黑体" w:hAnsi="黑体" w:eastAsia="黑体" w:cs="黑体"/>
          <w:lang w:val="en-US" w:eastAsia="zh-CN"/>
        </w:rPr>
      </w:pPr>
    </w:p>
    <w:p w14:paraId="767B9FDE">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508ED4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olor w:val="auto"/>
          <w:sz w:val="32"/>
          <w:szCs w:val="32"/>
          <w:highlight w:val="none"/>
          <w:lang w:val="en-US"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color w:val="auto"/>
          <w:sz w:val="32"/>
          <w:szCs w:val="32"/>
          <w:highlight w:val="none"/>
          <w:lang w:val="en-US" w:eastAsia="zh-CN"/>
        </w:rPr>
        <w:t>1.贯彻落实中央和省市党政机关国内公务接待管理办法及省市细则精神,归口统筹管理全县党政机关国内公务接待事宜，制定工作机制和工作规范，具体实施全县党政机关重要公务接待任务;指导县级部门和乡镇按规定做好对口公务接待;统一管理和使用接待经费。</w:t>
      </w:r>
    </w:p>
    <w:p w14:paraId="529D4D3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olor w:val="auto"/>
          <w:sz w:val="32"/>
          <w:szCs w:val="32"/>
          <w:highlight w:val="none"/>
          <w:lang w:val="en-US" w:eastAsia="zh-CN"/>
        </w:rPr>
      </w:pPr>
      <w:r>
        <w:rPr>
          <w:rFonts w:hint="eastAsia" w:ascii="仿宋" w:hAnsi="仿宋"/>
          <w:color w:val="auto"/>
          <w:sz w:val="32"/>
          <w:szCs w:val="32"/>
          <w:highlight w:val="none"/>
          <w:lang w:val="en-US" w:eastAsia="zh-CN"/>
        </w:rPr>
        <w:t>2.负责县委、县人大、县政府、县政协主要领导外出考察调研、督促指导等活动开展，完成方案制定、前期筹备、综合协调等工作。</w:t>
      </w:r>
    </w:p>
    <w:p w14:paraId="519D087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olor w:val="auto"/>
          <w:sz w:val="32"/>
          <w:szCs w:val="32"/>
          <w:highlight w:val="none"/>
          <w:lang w:val="en-US" w:eastAsia="zh-CN"/>
        </w:rPr>
      </w:pPr>
      <w:r>
        <w:rPr>
          <w:rFonts w:hint="eastAsia" w:ascii="仿宋" w:hAnsi="仿宋"/>
          <w:color w:val="auto"/>
          <w:sz w:val="32"/>
          <w:szCs w:val="32"/>
          <w:highlight w:val="none"/>
          <w:lang w:val="en-US" w:eastAsia="zh-CN"/>
        </w:rPr>
        <w:t>3.筹备上级领导或部门考察调研、督促指导等活动开展，完成方案制定、工作筹备、综合协调等工作。</w:t>
      </w:r>
    </w:p>
    <w:p w14:paraId="67AE2EA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olor w:val="auto"/>
          <w:sz w:val="32"/>
          <w:szCs w:val="32"/>
          <w:highlight w:val="none"/>
          <w:lang w:val="en-US" w:eastAsia="zh-CN"/>
        </w:rPr>
      </w:pPr>
      <w:r>
        <w:rPr>
          <w:rFonts w:hint="eastAsia" w:ascii="仿宋" w:hAnsi="仿宋"/>
          <w:color w:val="auto"/>
          <w:sz w:val="32"/>
          <w:szCs w:val="32"/>
          <w:highlight w:val="none"/>
          <w:lang w:val="en-US" w:eastAsia="zh-CN"/>
        </w:rPr>
        <w:t>4.配合牵头部门做好重要会议、重大公务活动的联系、协调、服务和保障等工作。</w:t>
      </w:r>
    </w:p>
    <w:p w14:paraId="6AA949A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olor w:val="auto"/>
          <w:sz w:val="32"/>
          <w:szCs w:val="32"/>
          <w:highlight w:val="none"/>
          <w:lang w:val="en-US" w:eastAsia="zh-CN"/>
        </w:rPr>
      </w:pPr>
      <w:r>
        <w:rPr>
          <w:rFonts w:hint="eastAsia" w:ascii="仿宋" w:hAnsi="仿宋"/>
          <w:color w:val="auto"/>
          <w:sz w:val="32"/>
          <w:szCs w:val="32"/>
          <w:highlight w:val="none"/>
          <w:lang w:val="en-US" w:eastAsia="zh-CN"/>
        </w:rPr>
        <w:t>5.负责县级领导(含已退出领导岗位尚未办理退休手续的县级领导)综合协调、工作协同、责任履行、保障服务及统筹落实中央、省、市、县委布置的应由县级领导干部承担的任务等工作;制定完善县级领导服务保障机制。</w:t>
      </w:r>
    </w:p>
    <w:p w14:paraId="081D2CE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olor w:val="auto"/>
          <w:sz w:val="32"/>
          <w:szCs w:val="32"/>
          <w:highlight w:val="none"/>
          <w:lang w:val="en-US" w:eastAsia="zh-CN"/>
        </w:rPr>
      </w:pPr>
      <w:r>
        <w:rPr>
          <w:rFonts w:hint="eastAsia" w:ascii="仿宋" w:hAnsi="仿宋"/>
          <w:color w:val="auto"/>
          <w:sz w:val="32"/>
          <w:szCs w:val="32"/>
          <w:highlight w:val="none"/>
          <w:lang w:val="en-US" w:eastAsia="zh-CN"/>
        </w:rPr>
        <w:t>6.完成县委、县政府以及县委办领导交办的其他工作。</w:t>
      </w:r>
    </w:p>
    <w:p w14:paraId="53EF2087">
      <w:pPr>
        <w:bidi w:val="0"/>
        <w:rPr>
          <w:rFonts w:hint="eastAsia" w:ascii="仿宋_GB2312" w:hAnsi="仿宋_GB2312" w:eastAsia="仿宋_GB2312" w:cs="仿宋_GB2312"/>
          <w:color w:val="FF0000"/>
          <w:sz w:val="32"/>
          <w:szCs w:val="32"/>
        </w:rPr>
      </w:pPr>
    </w:p>
    <w:p w14:paraId="5FA29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sz w:val="32"/>
          <w:szCs w:val="32"/>
          <w:lang w:val="en-US" w:eastAsia="zh-CN"/>
        </w:rPr>
        <w:t>以习近平新时代中国特色社会主义思想为引领</w:t>
      </w:r>
      <w:r>
        <w:rPr>
          <w:rFonts w:hint="eastAsia" w:ascii="仿宋_GB2312" w:hAnsi="仿宋_GB2312" w:eastAsia="仿宋_GB2312" w:cs="仿宋_GB2312"/>
          <w:kern w:val="2"/>
          <w:sz w:val="32"/>
          <w:szCs w:val="32"/>
          <w:lang w:val="en-US" w:eastAsia="zh-CN" w:bidi="ar-SA"/>
        </w:rPr>
        <w:t>，深入贯彻落实习近平总书记对公务接待、机关事务工作的重要指示精神，</w:t>
      </w:r>
      <w:r>
        <w:rPr>
          <w:rFonts w:hint="eastAsia" w:ascii="仿宋_GB2312" w:hAnsi="仿宋_GB2312" w:eastAsia="仿宋_GB2312" w:cs="仿宋_GB2312"/>
          <w:sz w:val="32"/>
          <w:szCs w:val="32"/>
          <w:lang w:val="en-US" w:eastAsia="zh-CN"/>
        </w:rPr>
        <w:t>围绕中心、服务大局，</w:t>
      </w:r>
      <w:r>
        <w:rPr>
          <w:rFonts w:hint="eastAsia" w:ascii="仿宋_GB2312" w:hAnsi="仿宋_GB2312" w:eastAsia="仿宋_GB2312" w:cs="仿宋_GB2312"/>
          <w:b w:val="0"/>
          <w:bCs w:val="0"/>
          <w:spacing w:val="0"/>
          <w:kern w:val="2"/>
          <w:position w:val="0"/>
          <w:sz w:val="32"/>
          <w:szCs w:val="32"/>
          <w:lang w:val="en-US" w:eastAsia="zh-CN" w:bidi="ar-SA"/>
        </w:rPr>
        <w:t>始终将“节奏更快、效率更高、质量更优”主题实践活动贯穿我中心各项工作全过程、各方面，</w:t>
      </w:r>
      <w:r>
        <w:rPr>
          <w:rFonts w:hint="eastAsia" w:ascii="仿宋_GB2312" w:hAnsi="仿宋_GB2312" w:eastAsia="仿宋_GB2312" w:cs="仿宋_GB2312"/>
          <w:sz w:val="32"/>
          <w:szCs w:val="32"/>
          <w:lang w:val="en-US" w:eastAsia="zh-CN"/>
        </w:rPr>
        <w:t>推动各项工作高质量发展。一是在“干”字上发力，以实干成就实效。建立健全责任清单，拉紧责任链条，实行工作推进周例会制度，强化过程管理和跟踪问效，确保各项工作部署不打折扣、不搞变通，以“钉钉子”精神抓好工作落实，确保中心各项工作落地见效。二是在“优”字上聚力，以创优促进提升。完善激励机制，树立重实干、重实绩的用人导向，开展公务接待、机关事务管理等工作专题业务培训，全面提升中心干部队伍工作水平，推动各项工作高质量发展。三是在“新”字上着力，以创新引领发展。创新工作思路，解放思想，更新观念，以创新思维破解工作难题，及时总结好的工作经验和做法。全面推进改革创新，深化重点领域改革，推进中心工作数字化转型，运用信息化手段提升工作效能。</w:t>
      </w:r>
    </w:p>
    <w:p w14:paraId="539221AF">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B9EE8D4">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峨边彝族自治县公务服务中心</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4C4AF077">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峨边彝族自治县公务服务中心</w:t>
      </w:r>
      <w:r>
        <w:rPr>
          <w:rFonts w:hint="eastAsia" w:ascii="仿宋" w:hAnsi="仿宋" w:eastAsia="仿宋"/>
          <w:color w:val="auto"/>
          <w:sz w:val="32"/>
          <w:szCs w:val="32"/>
        </w:rPr>
        <w:t>总编制</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12</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9</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9</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62102B4A">
      <w:pPr>
        <w:spacing w:line="600" w:lineRule="exact"/>
        <w:ind w:firstLine="640" w:firstLineChars="200"/>
        <w:rPr>
          <w:rFonts w:hint="eastAsia" w:ascii="仿宋" w:hAnsi="仿宋" w:eastAsia="仿宋"/>
          <w:sz w:val="32"/>
          <w:szCs w:val="32"/>
        </w:rPr>
      </w:pPr>
    </w:p>
    <w:p w14:paraId="7E7C9F71">
      <w:pPr>
        <w:spacing w:line="600" w:lineRule="exact"/>
        <w:ind w:firstLine="640" w:firstLineChars="200"/>
        <w:rPr>
          <w:rFonts w:hint="eastAsia" w:ascii="仿宋" w:hAnsi="仿宋" w:eastAsia="仿宋"/>
          <w:sz w:val="32"/>
          <w:szCs w:val="32"/>
        </w:rPr>
      </w:pPr>
    </w:p>
    <w:p w14:paraId="04EA9CF6">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峨边彝族自治县公务服务中心</w:t>
      </w:r>
      <w:r>
        <w:rPr>
          <w:rFonts w:hint="eastAsia" w:ascii="方正小标宋简体" w:hAnsi="方正小标宋简体" w:eastAsia="方正小标宋简体" w:cs="方正小标宋简体"/>
          <w:b w:val="0"/>
          <w:bCs/>
          <w:sz w:val="52"/>
          <w:szCs w:val="52"/>
          <w:lang w:val="en-US" w:eastAsia="zh-CN"/>
        </w:rPr>
        <w:t>2025年部门预算表</w:t>
      </w:r>
    </w:p>
    <w:p w14:paraId="4BD662C6">
      <w:pPr>
        <w:spacing w:line="600" w:lineRule="exact"/>
        <w:rPr>
          <w:rFonts w:hint="default" w:ascii="仿宋" w:hAnsi="仿宋" w:eastAsia="仿宋" w:cs="Times New Roman"/>
          <w:sz w:val="32"/>
          <w:szCs w:val="32"/>
          <w:lang w:val="en-US" w:eastAsia="zh-CN"/>
        </w:rPr>
      </w:pPr>
    </w:p>
    <w:p w14:paraId="5DA7DB3B">
      <w:pPr>
        <w:spacing w:line="600" w:lineRule="exact"/>
        <w:rPr>
          <w:rFonts w:hint="default" w:ascii="仿宋" w:hAnsi="仿宋" w:eastAsia="仿宋" w:cs="Times New Roman"/>
          <w:sz w:val="32"/>
          <w:szCs w:val="32"/>
          <w:lang w:val="en-US" w:eastAsia="zh-CN"/>
        </w:rPr>
      </w:pPr>
    </w:p>
    <w:p w14:paraId="40976815">
      <w:pPr>
        <w:spacing w:line="600" w:lineRule="exact"/>
        <w:rPr>
          <w:rFonts w:hint="default" w:ascii="仿宋" w:hAnsi="仿宋" w:eastAsia="仿宋" w:cs="Times New Roman"/>
          <w:sz w:val="32"/>
          <w:szCs w:val="32"/>
          <w:lang w:val="en-US" w:eastAsia="zh-CN"/>
        </w:rPr>
      </w:pPr>
    </w:p>
    <w:p w14:paraId="1CE324B0">
      <w:pPr>
        <w:spacing w:line="600" w:lineRule="exact"/>
        <w:rPr>
          <w:rFonts w:hint="default" w:ascii="仿宋" w:hAnsi="仿宋" w:eastAsia="仿宋" w:cs="Times New Roman"/>
          <w:sz w:val="32"/>
          <w:szCs w:val="32"/>
          <w:lang w:val="en-US" w:eastAsia="zh-CN"/>
        </w:rPr>
      </w:pPr>
    </w:p>
    <w:p w14:paraId="44439576">
      <w:pPr>
        <w:spacing w:line="600" w:lineRule="exact"/>
        <w:rPr>
          <w:rFonts w:hint="default" w:ascii="仿宋" w:hAnsi="仿宋" w:eastAsia="仿宋" w:cs="Times New Roman"/>
          <w:sz w:val="32"/>
          <w:szCs w:val="32"/>
          <w:lang w:val="en-US" w:eastAsia="zh-CN"/>
        </w:rPr>
      </w:pPr>
    </w:p>
    <w:p w14:paraId="4A0829FF">
      <w:pPr>
        <w:spacing w:line="600" w:lineRule="exact"/>
        <w:rPr>
          <w:rFonts w:hint="default" w:ascii="仿宋" w:hAnsi="仿宋" w:eastAsia="仿宋" w:cs="Times New Roman"/>
          <w:sz w:val="32"/>
          <w:szCs w:val="32"/>
          <w:lang w:val="en-US" w:eastAsia="zh-CN"/>
        </w:rPr>
      </w:pPr>
    </w:p>
    <w:p w14:paraId="406E6039">
      <w:pPr>
        <w:spacing w:line="600" w:lineRule="exact"/>
        <w:rPr>
          <w:rFonts w:hint="default" w:ascii="仿宋" w:hAnsi="仿宋" w:eastAsia="仿宋" w:cs="Times New Roman"/>
          <w:sz w:val="32"/>
          <w:szCs w:val="32"/>
          <w:lang w:val="en-US" w:eastAsia="zh-CN"/>
        </w:rPr>
      </w:pPr>
    </w:p>
    <w:p w14:paraId="753E4F93">
      <w:pPr>
        <w:spacing w:line="600" w:lineRule="exact"/>
        <w:rPr>
          <w:rFonts w:hint="default" w:ascii="仿宋" w:hAnsi="仿宋" w:eastAsia="仿宋" w:cs="Times New Roman"/>
          <w:sz w:val="32"/>
          <w:szCs w:val="32"/>
          <w:lang w:val="en-US" w:eastAsia="zh-CN"/>
        </w:rPr>
      </w:pPr>
    </w:p>
    <w:p w14:paraId="4D197AC9">
      <w:pPr>
        <w:spacing w:line="600" w:lineRule="exact"/>
        <w:ind w:left="0" w:leftChars="0" w:firstLine="0" w:firstLineChars="0"/>
        <w:rPr>
          <w:rFonts w:hint="eastAsia" w:ascii="仿宋_GB2312" w:hAnsi="仿宋_GB2312" w:eastAsia="仿宋_GB2312" w:cs="仿宋_GB2312"/>
          <w:sz w:val="32"/>
          <w:szCs w:val="32"/>
          <w:lang w:val="en-US" w:eastAsia="zh-CN"/>
        </w:rPr>
      </w:pPr>
    </w:p>
    <w:p w14:paraId="65C63D4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color w:val="auto"/>
          <w:sz w:val="32"/>
          <w:szCs w:val="32"/>
          <w:lang w:eastAsia="zh-CN"/>
        </w:rPr>
        <w:t>峨边彝族自治县公务服务中心</w:t>
      </w:r>
      <w:r>
        <w:rPr>
          <w:rFonts w:hint="eastAsia" w:ascii="仿宋_GB2312" w:hAnsi="仿宋_GB2312" w:eastAsia="仿宋_GB2312" w:cs="仿宋_GB2312"/>
          <w:sz w:val="32"/>
          <w:szCs w:val="32"/>
          <w:lang w:val="en-US" w:eastAsia="zh-CN"/>
        </w:rPr>
        <w:t xml:space="preserve">预算公开报表  </w:t>
      </w:r>
    </w:p>
    <w:p w14:paraId="53BD7ADA">
      <w:pPr>
        <w:spacing w:line="600" w:lineRule="exact"/>
        <w:ind w:left="0" w:leftChars="0" w:firstLine="0" w:firstLineChars="0"/>
        <w:rPr>
          <w:rFonts w:hint="eastAsia" w:ascii="仿宋_GB2312" w:hAnsi="仿宋_GB2312" w:eastAsia="仿宋_GB2312" w:cs="仿宋_GB2312"/>
          <w:sz w:val="32"/>
          <w:szCs w:val="32"/>
          <w:lang w:val="en-US" w:eastAsia="zh-CN"/>
        </w:rPr>
      </w:pPr>
    </w:p>
    <w:p w14:paraId="52BABDBB">
      <w:pPr>
        <w:numPr>
          <w:ilvl w:val="0"/>
          <w:numId w:val="0"/>
        </w:numPr>
        <w:spacing w:line="600" w:lineRule="exact"/>
        <w:rPr>
          <w:rFonts w:hint="eastAsia" w:ascii="仿宋" w:hAnsi="仿宋" w:eastAsia="仿宋" w:cs="Times New Roman"/>
          <w:sz w:val="32"/>
          <w:szCs w:val="32"/>
          <w:lang w:val="en-US" w:eastAsia="zh-CN"/>
        </w:rPr>
      </w:pPr>
    </w:p>
    <w:p w14:paraId="0C58AE8C">
      <w:pPr>
        <w:numPr>
          <w:ilvl w:val="0"/>
          <w:numId w:val="0"/>
        </w:numPr>
        <w:ind w:leftChars="0"/>
        <w:jc w:val="both"/>
        <w:rPr>
          <w:rFonts w:hint="eastAsia"/>
          <w:b/>
          <w:bCs/>
          <w:sz w:val="52"/>
          <w:szCs w:val="52"/>
          <w:lang w:val="en-US" w:eastAsia="zh-CN"/>
        </w:rPr>
      </w:pPr>
    </w:p>
    <w:p w14:paraId="38672BEF">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峨边彝族自治县公务服务中心（单位）</w:t>
      </w:r>
      <w:r>
        <w:rPr>
          <w:rFonts w:hint="eastAsia" w:ascii="方正小标宋简体" w:hAnsi="方正小标宋简体" w:eastAsia="方正小标宋简体" w:cs="方正小标宋简体"/>
          <w:b w:val="0"/>
          <w:bCs/>
          <w:sz w:val="52"/>
          <w:szCs w:val="52"/>
          <w:lang w:val="en-US" w:eastAsia="zh-CN"/>
        </w:rPr>
        <w:t>2025年部门预算情况说明</w:t>
      </w:r>
    </w:p>
    <w:p w14:paraId="10490B44">
      <w:pPr>
        <w:numPr>
          <w:ilvl w:val="0"/>
          <w:numId w:val="0"/>
        </w:numPr>
        <w:jc w:val="center"/>
        <w:rPr>
          <w:rFonts w:hint="default"/>
          <w:b/>
          <w:bCs/>
          <w:sz w:val="52"/>
          <w:szCs w:val="52"/>
          <w:lang w:val="en-US" w:eastAsia="zh-CN"/>
        </w:rPr>
      </w:pPr>
    </w:p>
    <w:p w14:paraId="4FEC3329">
      <w:pPr>
        <w:numPr>
          <w:ilvl w:val="0"/>
          <w:numId w:val="0"/>
        </w:numPr>
        <w:spacing w:line="600" w:lineRule="exact"/>
        <w:rPr>
          <w:rFonts w:hint="eastAsia" w:ascii="仿宋" w:hAnsi="仿宋" w:eastAsia="仿宋" w:cs="Times New Roman"/>
          <w:sz w:val="32"/>
          <w:szCs w:val="32"/>
          <w:lang w:val="en-US" w:eastAsia="zh-CN"/>
        </w:rPr>
      </w:pPr>
    </w:p>
    <w:p w14:paraId="59AA649D">
      <w:pPr>
        <w:numPr>
          <w:ilvl w:val="0"/>
          <w:numId w:val="0"/>
        </w:numPr>
        <w:spacing w:line="600" w:lineRule="exact"/>
        <w:rPr>
          <w:rFonts w:hint="eastAsia" w:ascii="仿宋" w:hAnsi="仿宋" w:eastAsia="仿宋" w:cs="Times New Roman"/>
          <w:sz w:val="32"/>
          <w:szCs w:val="32"/>
          <w:lang w:val="en-US" w:eastAsia="zh-CN"/>
        </w:rPr>
      </w:pPr>
    </w:p>
    <w:p w14:paraId="1C8F7492">
      <w:pPr>
        <w:numPr>
          <w:ilvl w:val="0"/>
          <w:numId w:val="0"/>
        </w:numPr>
        <w:spacing w:line="600" w:lineRule="exact"/>
        <w:rPr>
          <w:rFonts w:hint="eastAsia" w:ascii="仿宋" w:hAnsi="仿宋" w:eastAsia="仿宋" w:cs="Times New Roman"/>
          <w:sz w:val="32"/>
          <w:szCs w:val="32"/>
          <w:lang w:val="en-US" w:eastAsia="zh-CN"/>
        </w:rPr>
      </w:pPr>
    </w:p>
    <w:p w14:paraId="77F86C06">
      <w:pPr>
        <w:numPr>
          <w:ilvl w:val="0"/>
          <w:numId w:val="0"/>
        </w:numPr>
        <w:spacing w:line="600" w:lineRule="exact"/>
        <w:rPr>
          <w:rFonts w:hint="eastAsia" w:ascii="仿宋" w:hAnsi="仿宋" w:eastAsia="仿宋" w:cs="Times New Roman"/>
          <w:sz w:val="32"/>
          <w:szCs w:val="32"/>
          <w:lang w:val="en-US" w:eastAsia="zh-CN"/>
        </w:rPr>
      </w:pPr>
    </w:p>
    <w:p w14:paraId="5B9E12C3">
      <w:pPr>
        <w:numPr>
          <w:ilvl w:val="0"/>
          <w:numId w:val="0"/>
        </w:numPr>
        <w:jc w:val="center"/>
        <w:rPr>
          <w:rFonts w:hint="default"/>
          <w:b/>
          <w:bCs/>
          <w:sz w:val="52"/>
          <w:szCs w:val="52"/>
          <w:lang w:val="en-US" w:eastAsia="zh-CN"/>
        </w:rPr>
      </w:pPr>
    </w:p>
    <w:p w14:paraId="5F1DC698">
      <w:pPr>
        <w:numPr>
          <w:ilvl w:val="0"/>
          <w:numId w:val="0"/>
        </w:numPr>
        <w:jc w:val="center"/>
        <w:rPr>
          <w:rFonts w:hint="default"/>
          <w:b/>
          <w:bCs/>
          <w:sz w:val="52"/>
          <w:szCs w:val="52"/>
          <w:lang w:val="en-US" w:eastAsia="zh-CN"/>
        </w:rPr>
      </w:pPr>
    </w:p>
    <w:p w14:paraId="69AC74AC">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2703C4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Times New Roman" w:hAnsi="Times New Roman" w:eastAsia="仿宋_GB2312" w:cs="仿宋_GB2312"/>
          <w:sz w:val="32"/>
          <w:szCs w:val="32"/>
          <w:lang w:val="en-US" w:eastAsia="zh-CN"/>
        </w:rPr>
        <w:t>。</w:t>
      </w:r>
    </w:p>
    <w:p w14:paraId="6E868AE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2864.5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2047.75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原因是：全县行政事业单位</w:t>
      </w:r>
      <w:r>
        <w:rPr>
          <w:rFonts w:hint="eastAsia" w:ascii="Times New Roman" w:hAnsi="Times New Roman" w:eastAsia="仿宋_GB2312" w:cs="仿宋_GB2312"/>
          <w:color w:val="auto"/>
          <w:kern w:val="0"/>
          <w:sz w:val="32"/>
          <w:szCs w:val="32"/>
          <w:lang w:val="en-US" w:eastAsia="zh-CN"/>
        </w:rPr>
        <w:t>6类编外用工工资今年预算在我单位，如保洁、保安等，共计1500万元，加上从2024年下半年开始，县供销社承担的公车管理、办公用房使用管理、节能降耗、行政事业单位国有资产监督管理等事务性工作职能划入县公务服务中心，故而预算增加。</w:t>
      </w:r>
    </w:p>
    <w:p w14:paraId="1B1FF50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222C7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峨边彝族自治县公务服务中心2025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2864.5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2864.5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DA8F07F">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CF358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峨边彝族自治县公务服务中心2025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2864.5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2269.5万元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79.23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595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20.77</w:t>
      </w:r>
      <w:r>
        <w:rPr>
          <w:rFonts w:hint="eastAsia" w:ascii="Times New Roman" w:hAnsi="Times New Roman" w:eastAsia="仿宋_GB2312" w:cs="仿宋_GB2312"/>
          <w:color w:val="auto"/>
          <w:kern w:val="0"/>
          <w:sz w:val="32"/>
          <w:szCs w:val="32"/>
        </w:rPr>
        <w:t>%。</w:t>
      </w:r>
    </w:p>
    <w:p w14:paraId="72801552">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2A04E5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峨边彝族自治县公务服务中心2025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2864.5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816.75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2047.75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：全县行政事业单位</w:t>
      </w:r>
      <w:r>
        <w:rPr>
          <w:rFonts w:hint="eastAsia" w:ascii="Times New Roman" w:hAnsi="Times New Roman" w:eastAsia="仿宋_GB2312" w:cs="仿宋_GB2312"/>
          <w:color w:val="auto"/>
          <w:kern w:val="0"/>
          <w:sz w:val="32"/>
          <w:szCs w:val="32"/>
          <w:lang w:val="en-US" w:eastAsia="zh-CN"/>
        </w:rPr>
        <w:t>6类编外用工工资今年预算在我单位，如保洁、保安等，共计1500万元，加上从2024年下半年开始，县供销社承担的公车管理、办公用房使用管理、节能降耗、行政事业单位国有资产监督管理等事务性工作职能划入县公务服务中心，故而预算增加。</w:t>
      </w:r>
    </w:p>
    <w:p w14:paraId="414BD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2864.5</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万元；支出包括：一般公共服务支出2818.19万元、社会保障和就业支出26.9万元、卫生健康支出4.85万元，住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保障支出14.55万元</w:t>
      </w:r>
      <w:r>
        <w:rPr>
          <w:rFonts w:hint="eastAsia" w:ascii="Times New Roman" w:hAnsi="Times New Roman" w:eastAsia="仿宋_GB2312" w:cs="仿宋_GB2312"/>
          <w:color w:val="auto"/>
          <w:kern w:val="0"/>
          <w:sz w:val="32"/>
          <w:szCs w:val="32"/>
          <w:lang w:eastAsia="zh-CN"/>
        </w:rPr>
        <w:t>。</w:t>
      </w:r>
    </w:p>
    <w:p w14:paraId="32D07DF5">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226FF75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FD99DC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2864.5</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2047.75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：全县行政事业单位</w:t>
      </w:r>
      <w:r>
        <w:rPr>
          <w:rFonts w:hint="eastAsia" w:ascii="Times New Roman" w:hAnsi="Times New Roman" w:eastAsia="仿宋_GB2312" w:cs="仿宋_GB2312"/>
          <w:color w:val="auto"/>
          <w:kern w:val="0"/>
          <w:sz w:val="32"/>
          <w:szCs w:val="32"/>
          <w:lang w:val="en-US" w:eastAsia="zh-CN"/>
        </w:rPr>
        <w:t>6类编外用工工资今年预算在我单位，如保洁、保安等，共计1500万元，加上从2024年下半年开始，县供销社承担的公车管理、办公用房使用管理、节能降耗、行政事业单位国有资产监督管理等事务性工作职能划入县公务服务中心，故而预算增加</w:t>
      </w:r>
      <w:r>
        <w:rPr>
          <w:rFonts w:hint="eastAsia" w:ascii="Times New Roman" w:hAnsi="Times New Roman" w:eastAsia="仿宋_GB2312" w:cs="仿宋_GB2312"/>
          <w:color w:val="auto"/>
          <w:kern w:val="0"/>
          <w:sz w:val="32"/>
          <w:szCs w:val="32"/>
        </w:rPr>
        <w:t>。</w:t>
      </w:r>
    </w:p>
    <w:p w14:paraId="32AC6D0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10B85FA">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一般公共服务支出</w:t>
      </w:r>
      <w:r>
        <w:rPr>
          <w:rFonts w:hint="eastAsia" w:ascii="Times New Roman" w:hAnsi="Times New Roman" w:eastAsia="仿宋_GB2312" w:cs="仿宋_GB2312"/>
          <w:color w:val="auto"/>
          <w:kern w:val="0"/>
          <w:sz w:val="32"/>
          <w:szCs w:val="32"/>
        </w:rPr>
        <w:t>2818.19</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98.38</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；社会保障和就业支出</w:t>
      </w:r>
      <w:r>
        <w:rPr>
          <w:rFonts w:hint="eastAsia" w:ascii="Times New Roman" w:hAnsi="Times New Roman" w:eastAsia="仿宋_GB2312" w:cs="仿宋_GB2312"/>
          <w:color w:val="auto"/>
          <w:kern w:val="0"/>
          <w:sz w:val="32"/>
          <w:szCs w:val="32"/>
        </w:rPr>
        <w:t>26.9</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0.94</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；医疗卫生与计划生育支出</w:t>
      </w:r>
      <w:r>
        <w:rPr>
          <w:rFonts w:hint="eastAsia" w:ascii="Times New Roman" w:hAnsi="Times New Roman" w:eastAsia="仿宋_GB2312" w:cs="仿宋_GB2312"/>
          <w:color w:val="auto"/>
          <w:kern w:val="0"/>
          <w:sz w:val="32"/>
          <w:szCs w:val="32"/>
        </w:rPr>
        <w:t>4.85</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0.17</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；住房保障支出</w:t>
      </w:r>
      <w:r>
        <w:rPr>
          <w:rFonts w:hint="eastAsia" w:ascii="Times New Roman" w:hAnsi="Times New Roman" w:eastAsia="仿宋_GB2312" w:cs="仿宋_GB2312"/>
          <w:color w:val="auto"/>
          <w:kern w:val="0"/>
          <w:sz w:val="32"/>
          <w:szCs w:val="32"/>
        </w:rPr>
        <w:t>14.55</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0.51</w:t>
      </w:r>
      <w:r>
        <w:rPr>
          <w:rFonts w:ascii="仿宋" w:hAnsi="仿宋" w:eastAsia="仿宋" w:cs="宋体"/>
          <w:color w:val="auto"/>
          <w:kern w:val="0"/>
          <w:sz w:val="32"/>
          <w:szCs w:val="32"/>
          <w:highlight w:val="none"/>
        </w:rPr>
        <w:t>%</w:t>
      </w:r>
      <w:r>
        <w:rPr>
          <w:rFonts w:hint="eastAsia" w:ascii="仿宋" w:hAnsi="仿宋" w:cs="宋体"/>
          <w:color w:val="auto"/>
          <w:kern w:val="0"/>
          <w:sz w:val="32"/>
          <w:szCs w:val="32"/>
          <w:highlight w:val="none"/>
          <w:lang w:eastAsia="zh-CN"/>
        </w:rPr>
        <w:t>。</w:t>
      </w:r>
    </w:p>
    <w:p w14:paraId="438507B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98C1040">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一般公共服务（类）</w:t>
      </w:r>
      <w:r>
        <w:rPr>
          <w:rFonts w:hint="eastAsia" w:ascii="仿宋" w:hAnsi="仿宋" w:cs="宋体"/>
          <w:color w:val="auto"/>
          <w:kern w:val="0"/>
          <w:sz w:val="32"/>
          <w:szCs w:val="32"/>
          <w:highlight w:val="none"/>
          <w:lang w:eastAsia="zh-CN"/>
        </w:rPr>
        <w:t>党委办公厅（室）及相关机构事务</w:t>
      </w:r>
      <w:r>
        <w:rPr>
          <w:rFonts w:hint="eastAsia" w:ascii="仿宋" w:hAnsi="仿宋" w:eastAsia="仿宋" w:cs="宋体"/>
          <w:color w:val="auto"/>
          <w:kern w:val="0"/>
          <w:sz w:val="32"/>
          <w:szCs w:val="32"/>
          <w:highlight w:val="none"/>
        </w:rPr>
        <w:t>（款）</w:t>
      </w:r>
      <w:r>
        <w:rPr>
          <w:rFonts w:hint="eastAsia" w:ascii="仿宋" w:hAnsi="仿宋" w:cs="宋体"/>
          <w:color w:val="auto"/>
          <w:kern w:val="0"/>
          <w:sz w:val="32"/>
          <w:szCs w:val="32"/>
          <w:highlight w:val="none"/>
          <w:lang w:eastAsia="zh-CN"/>
        </w:rPr>
        <w:t> 其他党委办公厅（室）及相关机构事务支出</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2818.19</w:t>
      </w:r>
      <w:r>
        <w:rPr>
          <w:rFonts w:hint="eastAsia" w:ascii="仿宋" w:hAnsi="仿宋" w:eastAsia="仿宋" w:cs="宋体"/>
          <w:color w:val="auto"/>
          <w:kern w:val="0"/>
          <w:sz w:val="32"/>
          <w:szCs w:val="32"/>
          <w:highlight w:val="none"/>
        </w:rPr>
        <w:t>万元，主要用于：机关及参公管理事业单位正常运转的基本支出，包括基本工资、津贴补贴等人员经费以及办公费、印刷费、水电费等日常公用经费。</w:t>
      </w:r>
    </w:p>
    <w:p w14:paraId="7E108941">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cs="宋体"/>
          <w:color w:val="auto"/>
          <w:kern w:val="0"/>
          <w:sz w:val="32"/>
          <w:szCs w:val="32"/>
          <w:highlight w:val="none"/>
          <w:lang w:val="en-US" w:eastAsia="zh-CN"/>
        </w:rPr>
        <w:t>2</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w:t>
      </w:r>
      <w:r>
        <w:rPr>
          <w:rFonts w:hint="eastAsia" w:ascii="仿宋" w:hAnsi="仿宋" w:cs="宋体"/>
          <w:color w:val="auto"/>
          <w:kern w:val="0"/>
          <w:sz w:val="32"/>
          <w:szCs w:val="32"/>
          <w:highlight w:val="none"/>
          <w:lang w:eastAsia="zh-CN"/>
        </w:rPr>
        <w:t>行政事业单位养老支出</w:t>
      </w:r>
      <w:r>
        <w:rPr>
          <w:rFonts w:hint="eastAsia" w:ascii="仿宋" w:hAnsi="仿宋" w:eastAsia="仿宋" w:cs="宋体"/>
          <w:color w:val="auto"/>
          <w:kern w:val="0"/>
          <w:sz w:val="32"/>
          <w:szCs w:val="32"/>
          <w:highlight w:val="none"/>
        </w:rPr>
        <w:t>（款）</w:t>
      </w:r>
      <w:r>
        <w:rPr>
          <w:rFonts w:hint="eastAsia" w:ascii="仿宋" w:hAnsi="仿宋" w:cs="宋体"/>
          <w:color w:val="auto"/>
          <w:kern w:val="0"/>
          <w:sz w:val="32"/>
          <w:szCs w:val="32"/>
          <w:highlight w:val="none"/>
          <w:lang w:eastAsia="zh-CN"/>
        </w:rPr>
        <w:t>机关事业单位基本养老保险缴费支出</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16.95</w:t>
      </w:r>
      <w:r>
        <w:rPr>
          <w:rFonts w:hint="eastAsia" w:ascii="仿宋" w:hAnsi="仿宋" w:eastAsia="仿宋" w:cs="宋体"/>
          <w:color w:val="auto"/>
          <w:kern w:val="0"/>
          <w:sz w:val="32"/>
          <w:szCs w:val="32"/>
          <w:highlight w:val="none"/>
        </w:rPr>
        <w:t>万元，主要用于：实施养老保险制度后，部门按规定由单位缴纳的基本养老保险费支出。</w:t>
      </w:r>
    </w:p>
    <w:p w14:paraId="5041E84E">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cs="宋体"/>
          <w:color w:val="auto"/>
          <w:kern w:val="0"/>
          <w:sz w:val="32"/>
          <w:szCs w:val="32"/>
          <w:highlight w:val="none"/>
          <w:lang w:val="en-US" w:eastAsia="zh-CN"/>
        </w:rPr>
        <w:t>3</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w:t>
      </w:r>
      <w:r>
        <w:rPr>
          <w:rFonts w:hint="eastAsia" w:ascii="仿宋" w:hAnsi="仿宋" w:cs="宋体"/>
          <w:color w:val="auto"/>
          <w:kern w:val="0"/>
          <w:sz w:val="32"/>
          <w:szCs w:val="32"/>
          <w:highlight w:val="none"/>
          <w:lang w:eastAsia="zh-CN"/>
        </w:rPr>
        <w:t>行政事业单位养老支出</w:t>
      </w:r>
      <w:r>
        <w:rPr>
          <w:rFonts w:hint="eastAsia" w:ascii="仿宋" w:hAnsi="仿宋" w:eastAsia="仿宋" w:cs="宋体"/>
          <w:color w:val="auto"/>
          <w:kern w:val="0"/>
          <w:sz w:val="32"/>
          <w:szCs w:val="32"/>
          <w:highlight w:val="none"/>
        </w:rPr>
        <w:t>（款）</w:t>
      </w:r>
      <w:r>
        <w:rPr>
          <w:rFonts w:hint="eastAsia" w:ascii="仿宋" w:hAnsi="仿宋" w:cs="宋体"/>
          <w:color w:val="auto"/>
          <w:kern w:val="0"/>
          <w:sz w:val="32"/>
          <w:szCs w:val="32"/>
          <w:highlight w:val="none"/>
          <w:lang w:eastAsia="zh-CN"/>
        </w:rPr>
        <w:t> 机关事业单位职业年金缴费支出</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8.47</w:t>
      </w:r>
      <w:r>
        <w:rPr>
          <w:rFonts w:hint="eastAsia" w:ascii="仿宋" w:hAnsi="仿宋" w:eastAsia="仿宋" w:cs="宋体"/>
          <w:color w:val="auto"/>
          <w:kern w:val="0"/>
          <w:sz w:val="32"/>
          <w:szCs w:val="32"/>
          <w:highlight w:val="none"/>
        </w:rPr>
        <w:t>万元，主要用于：实施养老保险制度后，部门按规定由单位缴纳的职业年金支出。</w:t>
      </w:r>
    </w:p>
    <w:p w14:paraId="354E74CD">
      <w:pPr>
        <w:numPr>
          <w:ilvl w:val="0"/>
          <w:numId w:val="0"/>
        </w:numPr>
        <w:spacing w:line="600" w:lineRule="exact"/>
        <w:ind w:firstLine="640" w:firstLineChars="200"/>
        <w:rPr>
          <w:rFonts w:ascii="仿宋" w:hAnsi="仿宋" w:eastAsia="仿宋" w:cs="宋体"/>
          <w:color w:val="auto"/>
          <w:kern w:val="0"/>
          <w:sz w:val="32"/>
          <w:szCs w:val="32"/>
          <w:highlight w:val="none"/>
        </w:rPr>
      </w:pPr>
      <w:r>
        <w:rPr>
          <w:rFonts w:hint="eastAsia" w:ascii="仿宋" w:hAnsi="仿宋" w:cs="宋体"/>
          <w:color w:val="auto"/>
          <w:kern w:val="0"/>
          <w:sz w:val="32"/>
          <w:szCs w:val="32"/>
          <w:highlight w:val="none"/>
          <w:lang w:val="en-US" w:eastAsia="zh-CN"/>
        </w:rPr>
        <w:t>4</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其他</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其他</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2</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1.48</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其他</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p>
    <w:p w14:paraId="65DBD88B">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cs="宋体"/>
          <w:color w:val="auto"/>
          <w:kern w:val="0"/>
          <w:sz w:val="32"/>
          <w:szCs w:val="32"/>
          <w:highlight w:val="none"/>
          <w:lang w:val="en-US" w:eastAsia="zh-CN"/>
        </w:rPr>
        <w:t>5</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医疗卫生与计划生育（类）</w:t>
      </w:r>
      <w:r>
        <w:rPr>
          <w:rFonts w:hint="eastAsia" w:ascii="仿宋" w:hAnsi="仿宋" w:cs="宋体"/>
          <w:color w:val="auto"/>
          <w:kern w:val="0"/>
          <w:sz w:val="32"/>
          <w:szCs w:val="32"/>
          <w:highlight w:val="none"/>
          <w:lang w:eastAsia="zh-CN"/>
        </w:rPr>
        <w:t>行政事业单位医疗</w:t>
      </w:r>
      <w:r>
        <w:rPr>
          <w:rFonts w:hint="eastAsia" w:ascii="仿宋" w:hAnsi="仿宋" w:eastAsia="仿宋" w:cs="宋体"/>
          <w:color w:val="auto"/>
          <w:kern w:val="0"/>
          <w:sz w:val="32"/>
          <w:szCs w:val="32"/>
          <w:highlight w:val="none"/>
        </w:rPr>
        <w:t>（款）</w:t>
      </w:r>
      <w:r>
        <w:rPr>
          <w:rFonts w:hint="eastAsia" w:ascii="仿宋" w:hAnsi="仿宋" w:cs="宋体"/>
          <w:color w:val="auto"/>
          <w:kern w:val="0"/>
          <w:sz w:val="32"/>
          <w:szCs w:val="32"/>
          <w:highlight w:val="none"/>
          <w:lang w:eastAsia="zh-CN"/>
        </w:rPr>
        <w:t>事业单位医疗</w:t>
      </w:r>
      <w:r>
        <w:rPr>
          <w:rFonts w:hint="eastAsia" w:ascii="仿宋" w:hAnsi="仿宋" w:eastAsia="仿宋" w:cs="宋体"/>
          <w:color w:val="auto"/>
          <w:kern w:val="0"/>
          <w:sz w:val="32"/>
          <w:szCs w:val="32"/>
          <w:highlight w:val="none"/>
        </w:rPr>
        <w:t>（项）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4.85</w:t>
      </w:r>
      <w:r>
        <w:rPr>
          <w:rFonts w:hint="eastAsia" w:ascii="仿宋" w:hAnsi="仿宋" w:eastAsia="仿宋" w:cs="宋体"/>
          <w:color w:val="auto"/>
          <w:kern w:val="0"/>
          <w:sz w:val="32"/>
          <w:szCs w:val="32"/>
          <w:highlight w:val="none"/>
        </w:rPr>
        <w:t>万元，主要用于：机关及参公管理事业单位基本医疗保险缴费支出。</w:t>
      </w:r>
    </w:p>
    <w:p w14:paraId="3FB9C9E4">
      <w:pPr>
        <w:numPr>
          <w:ilvl w:val="0"/>
          <w:numId w:val="0"/>
        </w:numPr>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cs="宋体"/>
          <w:color w:val="auto"/>
          <w:kern w:val="0"/>
          <w:sz w:val="32"/>
          <w:szCs w:val="32"/>
          <w:highlight w:val="none"/>
          <w:lang w:val="en-US" w:eastAsia="zh-CN"/>
        </w:rPr>
        <w:t>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住房保障类</w:t>
      </w:r>
      <w:r>
        <w:rPr>
          <w:rFonts w:hint="eastAsia" w:ascii="仿宋" w:hAnsi="仿宋" w:eastAsia="仿宋" w:cs="宋体"/>
          <w:color w:val="auto"/>
          <w:kern w:val="0"/>
          <w:sz w:val="32"/>
          <w:szCs w:val="32"/>
          <w:highlight w:val="none"/>
          <w:lang w:eastAsia="zh-CN"/>
        </w:rPr>
        <w:t>改革支出</w:t>
      </w:r>
      <w:r>
        <w:rPr>
          <w:rFonts w:hint="eastAsia" w:ascii="仿宋" w:hAnsi="仿宋" w:eastAsia="仿宋" w:cs="宋体"/>
          <w:color w:val="auto"/>
          <w:kern w:val="0"/>
          <w:sz w:val="32"/>
          <w:szCs w:val="32"/>
          <w:highlight w:val="none"/>
        </w:rPr>
        <w:t>（款） 住房公积金（项）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14.55</w:t>
      </w:r>
      <w:r>
        <w:rPr>
          <w:rFonts w:hint="eastAsia" w:ascii="仿宋" w:hAnsi="仿宋" w:eastAsia="仿宋" w:cs="宋体"/>
          <w:color w:val="auto"/>
          <w:kern w:val="0"/>
          <w:sz w:val="32"/>
          <w:szCs w:val="32"/>
          <w:highlight w:val="none"/>
        </w:rPr>
        <w:t>万元，主要用于：部门按人力资源和社会保障部、财政部规定的基本工资和津贴补贴以及规定比例为职工缴纳的住房公积金支出。</w:t>
      </w:r>
    </w:p>
    <w:p w14:paraId="0EF7E114">
      <w:pPr>
        <w:pStyle w:val="5"/>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6072E5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2269.5</w:t>
      </w:r>
      <w:r>
        <w:rPr>
          <w:rFonts w:hint="eastAsia" w:ascii="Times New Roman" w:hAnsi="Times New Roman" w:eastAsia="仿宋_GB2312" w:cs="仿宋_GB2312"/>
          <w:color w:val="auto"/>
          <w:kern w:val="0"/>
          <w:sz w:val="32"/>
          <w:szCs w:val="32"/>
        </w:rPr>
        <w:t>万元，其中：</w:t>
      </w:r>
    </w:p>
    <w:p w14:paraId="16BB9B82">
      <w:pPr>
        <w:rPr>
          <w:rFonts w:hint="eastAsia" w:ascii="仿宋" w:hAnsi="仿宋" w:eastAsia="仿宋" w:cs="宋体"/>
          <w:color w:val="auto"/>
          <w:kern w:val="0"/>
          <w:sz w:val="32"/>
          <w:szCs w:val="32"/>
          <w:highlight w:val="none"/>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1657.49</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highlight w:val="none"/>
        </w:rPr>
        <w:t>基本工资、津贴补贴、</w:t>
      </w:r>
      <w:r>
        <w:rPr>
          <w:rFonts w:hint="eastAsia" w:ascii="仿宋" w:hAnsi="仿宋" w:cs="宋体"/>
          <w:color w:val="auto"/>
          <w:kern w:val="0"/>
          <w:sz w:val="32"/>
          <w:szCs w:val="32"/>
          <w:highlight w:val="none"/>
          <w:lang w:eastAsia="zh-CN"/>
        </w:rPr>
        <w:t>规范后津贴补贴、艰苦边远地区津贴、伙食补助费、绩效工资、</w:t>
      </w:r>
      <w:r>
        <w:rPr>
          <w:rFonts w:hint="eastAsia" w:ascii="仿宋" w:hAnsi="仿宋" w:eastAsia="仿宋" w:cs="宋体"/>
          <w:color w:val="auto"/>
          <w:kern w:val="0"/>
          <w:sz w:val="32"/>
          <w:szCs w:val="32"/>
          <w:highlight w:val="none"/>
        </w:rPr>
        <w:t>机关事业单位基本养老保险缴费、职业年金缴费、职工基本医疗保险缴费</w:t>
      </w:r>
      <w:r>
        <w:rPr>
          <w:rFonts w:hint="eastAsia" w:ascii="仿宋" w:hAnsi="仿宋" w:cs="宋体"/>
          <w:color w:val="auto"/>
          <w:kern w:val="0"/>
          <w:sz w:val="32"/>
          <w:szCs w:val="32"/>
          <w:highlight w:val="none"/>
          <w:lang w:eastAsia="zh-CN"/>
        </w:rPr>
        <w:t>、其他社会保障缴费、工伤保险、失业保险、住房公积金</w:t>
      </w:r>
      <w:r>
        <w:rPr>
          <w:rFonts w:hint="eastAsia" w:ascii="仿宋" w:hAnsi="仿宋" w:eastAsia="仿宋" w:cs="宋体"/>
          <w:color w:val="auto"/>
          <w:kern w:val="0"/>
          <w:sz w:val="32"/>
          <w:szCs w:val="32"/>
          <w:highlight w:val="none"/>
        </w:rPr>
        <w:t>。</w:t>
      </w:r>
    </w:p>
    <w:p w14:paraId="130AF7C1">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612.01</w:t>
      </w:r>
      <w:r>
        <w:rPr>
          <w:rFonts w:hint="eastAsia" w:ascii="Times New Roman" w:hAnsi="Times New Roman" w:eastAsia="仿宋_GB2312" w:cs="仿宋_GB2312"/>
          <w:color w:val="auto"/>
          <w:kern w:val="0"/>
          <w:sz w:val="32"/>
          <w:szCs w:val="32"/>
        </w:rPr>
        <w:t>万元，主要包括：</w:t>
      </w:r>
      <w:r>
        <w:rPr>
          <w:rFonts w:hint="eastAsia" w:ascii="Times New Roman" w:hAnsi="Times New Roman" w:eastAsia="仿宋_GB2312" w:cs="仿宋_GB2312"/>
          <w:color w:val="auto"/>
          <w:kern w:val="0"/>
          <w:sz w:val="32"/>
          <w:szCs w:val="32"/>
        </w:rPr>
        <w:t>办公费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差旅费、工会经费、福利费、  公务接待费、其他商品和服务支出</w:t>
      </w:r>
      <w:r>
        <w:rPr>
          <w:rFonts w:hint="eastAsia" w:ascii="Times New Roman" w:hAnsi="Times New Roman" w:eastAsia="仿宋_GB2312" w:cs="仿宋_GB2312"/>
          <w:color w:val="auto"/>
          <w:kern w:val="0"/>
          <w:sz w:val="32"/>
          <w:szCs w:val="32"/>
          <w:lang w:eastAsia="zh-CN"/>
        </w:rPr>
        <w:t>、  公务用车运行维护费</w:t>
      </w:r>
      <w:r>
        <w:rPr>
          <w:rFonts w:hint="eastAsia" w:ascii="Times New Roman" w:hAnsi="Times New Roman" w:eastAsia="仿宋_GB2312" w:cs="仿宋_GB2312"/>
          <w:color w:val="auto"/>
          <w:kern w:val="0"/>
          <w:sz w:val="32"/>
          <w:szCs w:val="32"/>
        </w:rPr>
        <w:t>。</w:t>
      </w:r>
    </w:p>
    <w:p w14:paraId="56113D65">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659DFA3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峨边彝族自治县公务服务中心2025年没有使用政府性基金预算拨款安排的支出。</w:t>
      </w:r>
    </w:p>
    <w:p w14:paraId="3902F99D">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3ACB26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峨边彝族自治县公务服务中心2025年没有使用国有资本经营预算拨款安排的支出。</w:t>
      </w:r>
    </w:p>
    <w:p w14:paraId="28496F76">
      <w:pPr>
        <w:pStyle w:val="5"/>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06D32BD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495</w:t>
      </w:r>
      <w:r>
        <w:rPr>
          <w:rFonts w:hint="eastAsia" w:ascii="Times New Roman" w:hAnsi="Times New Roman" w:eastAsia="仿宋_GB2312" w:cs="仿宋_GB2312"/>
          <w:color w:val="auto"/>
          <w:kern w:val="0"/>
          <w:sz w:val="32"/>
          <w:szCs w:val="32"/>
        </w:rPr>
        <w:t>万元。</w:t>
      </w:r>
    </w:p>
    <w:p w14:paraId="6C013DA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3410206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7F7FC1E9">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w:t>
      </w:r>
      <w:r>
        <w:rPr>
          <w:rFonts w:hint="eastAsia" w:ascii="Times New Roman" w:hAnsi="Times New Roman" w:eastAsia="仿宋_GB2312" w:cs="仿宋_GB2312"/>
          <w:color w:val="auto"/>
          <w:kern w:val="0"/>
          <w:sz w:val="32"/>
          <w:szCs w:val="32"/>
          <w:lang w:eastAsia="zh-CN"/>
        </w:rPr>
        <w:t>用于</w:t>
      </w:r>
      <w:r>
        <w:rPr>
          <w:rFonts w:hint="eastAsia" w:ascii="仿宋" w:hAnsi="仿宋" w:cs="宋体"/>
          <w:color w:val="auto"/>
          <w:kern w:val="0"/>
          <w:sz w:val="32"/>
          <w:szCs w:val="32"/>
          <w:highlight w:val="none"/>
          <w:lang w:eastAsia="zh-CN"/>
        </w:rPr>
        <w:t>上级部门</w:t>
      </w:r>
      <w:r>
        <w:rPr>
          <w:rFonts w:hint="eastAsia" w:ascii="仿宋" w:hAnsi="仿宋" w:eastAsia="仿宋" w:cs="宋体"/>
          <w:color w:val="auto"/>
          <w:kern w:val="0"/>
          <w:sz w:val="32"/>
          <w:szCs w:val="32"/>
          <w:highlight w:val="none"/>
        </w:rPr>
        <w:t>调研指导工作和</w:t>
      </w:r>
      <w:r>
        <w:rPr>
          <w:rFonts w:hint="eastAsia" w:ascii="仿宋" w:hAnsi="仿宋" w:cs="宋体"/>
          <w:color w:val="auto"/>
          <w:kern w:val="0"/>
          <w:sz w:val="32"/>
          <w:szCs w:val="32"/>
          <w:highlight w:val="none"/>
          <w:lang w:eastAsia="zh-CN"/>
        </w:rPr>
        <w:t>其他区县</w:t>
      </w:r>
      <w:r>
        <w:rPr>
          <w:rFonts w:hint="eastAsia" w:ascii="仿宋" w:hAnsi="仿宋" w:eastAsia="仿宋" w:cs="宋体"/>
          <w:color w:val="auto"/>
          <w:kern w:val="0"/>
          <w:sz w:val="32"/>
          <w:szCs w:val="32"/>
          <w:highlight w:val="none"/>
        </w:rPr>
        <w:t>来我</w:t>
      </w:r>
      <w:r>
        <w:rPr>
          <w:rFonts w:hint="eastAsia" w:ascii="仿宋" w:hAnsi="仿宋" w:cs="宋体"/>
          <w:color w:val="auto"/>
          <w:kern w:val="0"/>
          <w:sz w:val="32"/>
          <w:szCs w:val="32"/>
          <w:highlight w:val="none"/>
          <w:lang w:eastAsia="zh-CN"/>
        </w:rPr>
        <w:t>县</w:t>
      </w:r>
      <w:r>
        <w:rPr>
          <w:rFonts w:hint="eastAsia" w:ascii="仿宋" w:hAnsi="仿宋" w:eastAsia="仿宋" w:cs="宋体"/>
          <w:color w:val="auto"/>
          <w:kern w:val="0"/>
          <w:sz w:val="32"/>
          <w:szCs w:val="32"/>
          <w:highlight w:val="none"/>
        </w:rPr>
        <w:t>交流学习等。</w:t>
      </w:r>
    </w:p>
    <w:p w14:paraId="3B141E9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495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2024年初我单位无</w:t>
      </w:r>
      <w:r>
        <w:rPr>
          <w:rFonts w:hint="eastAsia" w:ascii="Times New Roman" w:hAnsi="Times New Roman" w:eastAsia="仿宋_GB2312" w:cs="仿宋_GB2312"/>
          <w:color w:val="auto"/>
          <w:kern w:val="0"/>
          <w:sz w:val="32"/>
          <w:szCs w:val="32"/>
        </w:rPr>
        <w:t>公务用车购置及运行维护费</w:t>
      </w:r>
      <w:r>
        <w:rPr>
          <w:rFonts w:hint="eastAsia" w:ascii="Times New Roman" w:hAnsi="Times New Roman" w:eastAsia="仿宋_GB2312" w:cs="仿宋_GB2312"/>
          <w:color w:val="auto"/>
          <w:kern w:val="0"/>
          <w:sz w:val="32"/>
          <w:szCs w:val="32"/>
          <w:lang w:eastAsia="zh-CN"/>
        </w:rPr>
        <w:t>预算</w:t>
      </w:r>
      <w:r>
        <w:rPr>
          <w:rFonts w:hint="eastAsia" w:ascii="Times New Roman" w:hAnsi="Times New Roman" w:eastAsia="仿宋_GB2312" w:cs="仿宋_GB2312"/>
          <w:color w:val="auto"/>
          <w:kern w:val="0"/>
          <w:sz w:val="32"/>
          <w:szCs w:val="32"/>
        </w:rPr>
        <w:t>。</w:t>
      </w:r>
    </w:p>
    <w:p w14:paraId="3EDF66B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73CCA8A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3147CB7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FF0000"/>
          <w:kern w:val="0"/>
          <w:sz w:val="32"/>
          <w:szCs w:val="32"/>
          <w:lang w:val="en-US" w:eastAsia="zh-CN"/>
        </w:rPr>
        <w:t>495</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B19C15C">
      <w:pPr>
        <w:pStyle w:val="5"/>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787BB3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359E75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峨边彝族自治县公务服务中心运行经费财政拨款预算为</w:t>
      </w:r>
      <w:r>
        <w:rPr>
          <w:rFonts w:hint="eastAsia" w:ascii="Times New Roman" w:hAnsi="Times New Roman" w:eastAsia="仿宋_GB2312" w:cs="仿宋_GB2312"/>
          <w:color w:val="auto"/>
          <w:kern w:val="0"/>
          <w:sz w:val="32"/>
          <w:szCs w:val="32"/>
          <w:lang w:val="en-US" w:eastAsia="zh-CN"/>
        </w:rPr>
        <w:t>612.01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491.3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县供销社承担的公车管理事务性工作职能划入县公务服务中心，故而预算增加</w:t>
      </w:r>
      <w:r>
        <w:rPr>
          <w:rFonts w:hint="eastAsia" w:ascii="Times New Roman" w:hAnsi="Times New Roman" w:eastAsia="仿宋_GB2312" w:cs="仿宋_GB2312"/>
          <w:color w:val="auto"/>
          <w:kern w:val="0"/>
          <w:sz w:val="32"/>
          <w:szCs w:val="32"/>
        </w:rPr>
        <w:t>。</w:t>
      </w:r>
    </w:p>
    <w:p w14:paraId="51F7638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48767B45">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496.5</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239.1</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257.4</w:t>
      </w:r>
      <w:r>
        <w:rPr>
          <w:rFonts w:hint="eastAsia" w:ascii="Times New Roman" w:hAnsi="Times New Roman" w:eastAsia="仿宋_GB2312" w:cs="仿宋_GB2312"/>
          <w:color w:val="auto"/>
          <w:kern w:val="0"/>
          <w:sz w:val="32"/>
          <w:szCs w:val="32"/>
          <w:lang w:eastAsia="zh-CN"/>
        </w:rPr>
        <w:t>万元。</w:t>
      </w:r>
    </w:p>
    <w:p w14:paraId="49604F3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212F50C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w:t>
      </w:r>
      <w:r>
        <w:rPr>
          <w:rFonts w:hint="eastAsia" w:ascii="Times New Roman" w:hAnsi="Times New Roman" w:eastAsia="仿宋_GB2312" w:cs="仿宋_GB2312"/>
          <w:color w:val="000000"/>
          <w:kern w:val="0"/>
        </w:rPr>
        <w:t>单位价值</w:t>
      </w:r>
      <w:r>
        <w:rPr>
          <w:rFonts w:hint="eastAsia" w:ascii="Times New Roman" w:hAnsi="Times New Roman" w:eastAsia="仿宋_GB2312" w:cs="仿宋_GB2312"/>
          <w:color w:val="auto"/>
          <w:kern w:val="0"/>
        </w:rPr>
        <w:t>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3266B510">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万元，购置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台（套）。</w:t>
      </w:r>
    </w:p>
    <w:p w14:paraId="188C92E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B965C0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峨边彝族自治县公务服务中心</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w:t>
      </w:r>
      <w:bookmarkStart w:id="0" w:name="_GoBack"/>
      <w:bookmarkEnd w:id="0"/>
      <w:r>
        <w:rPr>
          <w:rFonts w:hint="eastAsia" w:ascii="Times New Roman" w:hAnsi="Times New Roman" w:eastAsia="仿宋_GB2312" w:cs="仿宋_GB2312"/>
          <w:color w:val="auto"/>
          <w:kern w:val="0"/>
          <w:sz w:val="32"/>
          <w:szCs w:val="32"/>
          <w:lang w:eastAsia="zh-CN"/>
        </w:rPr>
        <w:t>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595</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77DD650A">
      <w:pPr>
        <w:pStyle w:val="3"/>
        <w:numPr>
          <w:ilvl w:val="0"/>
          <w:numId w:val="0"/>
        </w:numPr>
        <w:bidi w:val="0"/>
        <w:jc w:val="both"/>
        <w:rPr>
          <w:rFonts w:hint="eastAsia"/>
          <w:lang w:val="en-US" w:eastAsia="zh-CN"/>
        </w:rPr>
      </w:pPr>
    </w:p>
    <w:p w14:paraId="0A5F1B87">
      <w:pPr>
        <w:rPr>
          <w:rFonts w:hint="eastAsia"/>
          <w:lang w:val="en-US" w:eastAsia="zh-CN"/>
        </w:rPr>
      </w:pPr>
    </w:p>
    <w:p w14:paraId="5116E33B">
      <w:pPr>
        <w:rPr>
          <w:rFonts w:hint="eastAsia"/>
          <w:lang w:val="en-US" w:eastAsia="zh-CN"/>
        </w:rPr>
      </w:pPr>
    </w:p>
    <w:p w14:paraId="510EF0D4">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55C1D0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F3FB5DC">
      <w:pPr>
        <w:widowControl/>
        <w:numPr>
          <w:ilvl w:val="0"/>
          <w:numId w:val="0"/>
        </w:numPr>
        <w:shd w:val="clear" w:color="auto" w:fill="FFFFFF"/>
        <w:jc w:val="left"/>
        <w:rPr>
          <w:rFonts w:hint="eastAsia" w:ascii="仿宋" w:hAnsi="宋体" w:eastAsia="仿宋" w:cs="宋体"/>
          <w:color w:val="000000"/>
          <w:kern w:val="0"/>
          <w:sz w:val="32"/>
          <w:szCs w:val="32"/>
        </w:rPr>
      </w:pPr>
    </w:p>
    <w:p w14:paraId="446ACD19">
      <w:pPr>
        <w:widowControl/>
        <w:numPr>
          <w:ilvl w:val="0"/>
          <w:numId w:val="0"/>
        </w:numPr>
        <w:shd w:val="clear" w:color="auto" w:fill="FFFFFF"/>
        <w:jc w:val="left"/>
        <w:rPr>
          <w:rFonts w:hint="eastAsia" w:ascii="仿宋" w:hAnsi="宋体" w:eastAsia="仿宋" w:cs="宋体"/>
          <w:color w:val="000000"/>
          <w:kern w:val="0"/>
          <w:sz w:val="32"/>
          <w:szCs w:val="32"/>
        </w:rPr>
      </w:pPr>
    </w:p>
    <w:p w14:paraId="3DF144B3">
      <w:pPr>
        <w:widowControl/>
        <w:numPr>
          <w:ilvl w:val="0"/>
          <w:numId w:val="0"/>
        </w:numPr>
        <w:shd w:val="clear" w:color="auto" w:fill="FFFFFF"/>
        <w:jc w:val="left"/>
        <w:rPr>
          <w:rFonts w:hint="eastAsia" w:ascii="仿宋" w:hAnsi="宋体" w:eastAsia="仿宋" w:cs="宋体"/>
          <w:color w:val="000000"/>
          <w:kern w:val="0"/>
          <w:sz w:val="32"/>
          <w:szCs w:val="32"/>
        </w:rPr>
      </w:pPr>
    </w:p>
    <w:p w14:paraId="41DA2C70">
      <w:pPr>
        <w:widowControl/>
        <w:numPr>
          <w:ilvl w:val="0"/>
          <w:numId w:val="0"/>
        </w:numPr>
        <w:shd w:val="clear" w:color="auto" w:fill="FFFFFF"/>
        <w:jc w:val="left"/>
        <w:rPr>
          <w:rFonts w:hint="eastAsia" w:ascii="仿宋" w:hAnsi="宋体" w:eastAsia="仿宋" w:cs="宋体"/>
          <w:color w:val="000000"/>
          <w:kern w:val="0"/>
          <w:sz w:val="32"/>
          <w:szCs w:val="32"/>
        </w:rPr>
      </w:pPr>
    </w:p>
    <w:p w14:paraId="6BFC3961">
      <w:pPr>
        <w:widowControl/>
        <w:numPr>
          <w:ilvl w:val="0"/>
          <w:numId w:val="0"/>
        </w:numPr>
        <w:shd w:val="clear" w:color="auto" w:fill="FFFFFF"/>
        <w:jc w:val="left"/>
        <w:rPr>
          <w:rFonts w:hint="eastAsia" w:ascii="仿宋" w:hAnsi="宋体" w:eastAsia="仿宋" w:cs="宋体"/>
          <w:color w:val="000000"/>
          <w:kern w:val="0"/>
          <w:sz w:val="32"/>
          <w:szCs w:val="32"/>
        </w:rPr>
      </w:pPr>
    </w:p>
    <w:p w14:paraId="34EF1601">
      <w:pPr>
        <w:widowControl/>
        <w:numPr>
          <w:ilvl w:val="0"/>
          <w:numId w:val="0"/>
        </w:numPr>
        <w:shd w:val="clear" w:color="auto" w:fill="FFFFFF"/>
        <w:jc w:val="left"/>
        <w:rPr>
          <w:rFonts w:hint="eastAsia" w:ascii="仿宋" w:hAnsi="宋体" w:eastAsia="仿宋" w:cs="宋体"/>
          <w:color w:val="000000"/>
          <w:kern w:val="0"/>
          <w:sz w:val="32"/>
          <w:szCs w:val="32"/>
        </w:rPr>
      </w:pPr>
    </w:p>
    <w:p w14:paraId="49C2087F">
      <w:pPr>
        <w:widowControl/>
        <w:numPr>
          <w:ilvl w:val="0"/>
          <w:numId w:val="0"/>
        </w:numPr>
        <w:shd w:val="clear" w:color="auto" w:fill="FFFFFF"/>
        <w:jc w:val="left"/>
        <w:rPr>
          <w:rFonts w:hint="eastAsia" w:ascii="仿宋" w:hAnsi="宋体" w:eastAsia="仿宋" w:cs="宋体"/>
          <w:color w:val="000000"/>
          <w:kern w:val="0"/>
          <w:sz w:val="32"/>
          <w:szCs w:val="32"/>
        </w:rPr>
      </w:pPr>
    </w:p>
    <w:p w14:paraId="60D8563E">
      <w:pPr>
        <w:widowControl/>
        <w:numPr>
          <w:ilvl w:val="0"/>
          <w:numId w:val="0"/>
        </w:numPr>
        <w:shd w:val="clear" w:color="auto" w:fill="FFFFFF"/>
        <w:jc w:val="left"/>
        <w:rPr>
          <w:rFonts w:hint="eastAsia" w:ascii="仿宋" w:hAnsi="宋体" w:eastAsia="仿宋" w:cs="宋体"/>
          <w:color w:val="000000"/>
          <w:kern w:val="0"/>
          <w:sz w:val="32"/>
          <w:szCs w:val="32"/>
        </w:rPr>
      </w:pPr>
    </w:p>
    <w:p w14:paraId="4BD46097">
      <w:pPr>
        <w:widowControl/>
        <w:numPr>
          <w:ilvl w:val="0"/>
          <w:numId w:val="0"/>
        </w:numPr>
        <w:shd w:val="clear" w:color="auto" w:fill="FFFFFF"/>
        <w:jc w:val="left"/>
        <w:rPr>
          <w:rFonts w:hint="eastAsia" w:ascii="仿宋" w:hAnsi="宋体" w:eastAsia="仿宋" w:cs="宋体"/>
          <w:color w:val="000000"/>
          <w:kern w:val="0"/>
          <w:sz w:val="32"/>
          <w:szCs w:val="32"/>
        </w:rPr>
      </w:pPr>
    </w:p>
    <w:p w14:paraId="3A57A949">
      <w:pPr>
        <w:widowControl/>
        <w:numPr>
          <w:ilvl w:val="0"/>
          <w:numId w:val="0"/>
        </w:numPr>
        <w:shd w:val="clear" w:color="auto" w:fill="FFFFFF"/>
        <w:jc w:val="left"/>
        <w:rPr>
          <w:rFonts w:hint="eastAsia" w:ascii="仿宋" w:hAnsi="宋体" w:eastAsia="仿宋" w:cs="宋体"/>
          <w:color w:val="000000"/>
          <w:kern w:val="0"/>
          <w:sz w:val="32"/>
          <w:szCs w:val="32"/>
        </w:rPr>
      </w:pPr>
    </w:p>
    <w:p w14:paraId="124B24B2">
      <w:pPr>
        <w:widowControl/>
        <w:numPr>
          <w:ilvl w:val="0"/>
          <w:numId w:val="0"/>
        </w:numPr>
        <w:shd w:val="clear" w:color="auto" w:fill="FFFFFF"/>
        <w:jc w:val="left"/>
        <w:rPr>
          <w:rFonts w:hint="eastAsia" w:ascii="仿宋" w:hAnsi="宋体" w:eastAsia="仿宋" w:cs="宋体"/>
          <w:color w:val="000000"/>
          <w:kern w:val="0"/>
          <w:sz w:val="32"/>
          <w:szCs w:val="32"/>
        </w:rPr>
      </w:pPr>
    </w:p>
    <w:p w14:paraId="07C68E81">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337CC9C">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65C434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FBD423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6C9F156">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8E9C9E0">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A98E12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087D44C">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E63D3C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FD1855F">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A42E686">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C6D16B4">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243C2F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2F370A7">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E9AF7A4">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19C39F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60BDD57">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73FFA0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9B425B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2AB61-92C2-4341-A9B4-5B91008831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B0379FE-E3CD-4F8E-AE6C-C64F1F9C1AB2}"/>
  </w:font>
  <w:font w:name="仿宋_GB2312">
    <w:panose1 w:val="02010609030101010101"/>
    <w:charset w:val="86"/>
    <w:family w:val="modern"/>
    <w:pitch w:val="default"/>
    <w:sig w:usb0="00000001" w:usb1="080E0000" w:usb2="00000000" w:usb3="00000000" w:csb0="00040000" w:csb1="00000000"/>
    <w:embedRegular r:id="rId3" w:fontKey="{1C705EA6-CFAB-43A6-BBFE-C73801A52BF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50615AC1-3E85-4FF0-B003-CF285167F266}"/>
  </w:font>
  <w:font w:name="楷体">
    <w:panose1 w:val="02010609060101010101"/>
    <w:charset w:val="86"/>
    <w:family w:val="auto"/>
    <w:pitch w:val="default"/>
    <w:sig w:usb0="800002BF" w:usb1="38CF7CFA" w:usb2="00000016" w:usb3="00000000" w:csb0="00040001" w:csb1="00000000"/>
    <w:embedRegular r:id="rId5" w:fontKey="{71181112-349C-4141-A677-56CA3F3CA19E}"/>
  </w:font>
  <w:font w:name="楷体_GB2312">
    <w:panose1 w:val="02010609030101010101"/>
    <w:charset w:val="86"/>
    <w:family w:val="modern"/>
    <w:pitch w:val="default"/>
    <w:sig w:usb0="00000001" w:usb1="080E0000" w:usb2="00000000" w:usb3="00000000" w:csb0="00040000" w:csb1="00000000"/>
    <w:embedRegular r:id="rId6" w:fontKey="{CAAB0451-DC98-4D36-983F-46A6914EA1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DD4F">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553F0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D553F0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722330"/>
    <w:rsid w:val="01882F25"/>
    <w:rsid w:val="0189665C"/>
    <w:rsid w:val="018C0544"/>
    <w:rsid w:val="019F118E"/>
    <w:rsid w:val="01A3107B"/>
    <w:rsid w:val="01BA7141"/>
    <w:rsid w:val="01CA79BB"/>
    <w:rsid w:val="01D628BE"/>
    <w:rsid w:val="01D64485"/>
    <w:rsid w:val="01E83A92"/>
    <w:rsid w:val="01EB3E74"/>
    <w:rsid w:val="022F534A"/>
    <w:rsid w:val="024039F2"/>
    <w:rsid w:val="033E43E6"/>
    <w:rsid w:val="03914CEF"/>
    <w:rsid w:val="03945CCD"/>
    <w:rsid w:val="03BA186D"/>
    <w:rsid w:val="040F3551"/>
    <w:rsid w:val="042072C2"/>
    <w:rsid w:val="043C361C"/>
    <w:rsid w:val="043F4C24"/>
    <w:rsid w:val="044B2AE6"/>
    <w:rsid w:val="045B0809"/>
    <w:rsid w:val="046C12B8"/>
    <w:rsid w:val="04A04F6C"/>
    <w:rsid w:val="04A05348"/>
    <w:rsid w:val="04A94D2F"/>
    <w:rsid w:val="0502501C"/>
    <w:rsid w:val="05233D9C"/>
    <w:rsid w:val="05465970"/>
    <w:rsid w:val="05590821"/>
    <w:rsid w:val="056C235C"/>
    <w:rsid w:val="062E413A"/>
    <w:rsid w:val="06A2019C"/>
    <w:rsid w:val="06B62CBE"/>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8278CB"/>
    <w:rsid w:val="0C9E05B3"/>
    <w:rsid w:val="0CEF662F"/>
    <w:rsid w:val="0D15182E"/>
    <w:rsid w:val="0D1B1ACD"/>
    <w:rsid w:val="0D1F7D7F"/>
    <w:rsid w:val="0D211BCC"/>
    <w:rsid w:val="0DA40415"/>
    <w:rsid w:val="0DC47C7E"/>
    <w:rsid w:val="0DF30354"/>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553B17"/>
    <w:rsid w:val="14D50328"/>
    <w:rsid w:val="14FF1C34"/>
    <w:rsid w:val="15016C82"/>
    <w:rsid w:val="15333760"/>
    <w:rsid w:val="15500F91"/>
    <w:rsid w:val="157F6F01"/>
    <w:rsid w:val="15891CCA"/>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25455A"/>
    <w:rsid w:val="1E3D7C87"/>
    <w:rsid w:val="1E707FD4"/>
    <w:rsid w:val="1E877297"/>
    <w:rsid w:val="1EB05D0A"/>
    <w:rsid w:val="1EF0431B"/>
    <w:rsid w:val="1EFE7B28"/>
    <w:rsid w:val="1F3565D5"/>
    <w:rsid w:val="1F9A468B"/>
    <w:rsid w:val="1FFA6A2F"/>
    <w:rsid w:val="20023401"/>
    <w:rsid w:val="20143409"/>
    <w:rsid w:val="20F902C6"/>
    <w:rsid w:val="21093CBF"/>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437A2D"/>
    <w:rsid w:val="2A6A7B31"/>
    <w:rsid w:val="2A915B6E"/>
    <w:rsid w:val="2AFE1AAC"/>
    <w:rsid w:val="2B1E2A5D"/>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7017A9"/>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4D6161"/>
    <w:rsid w:val="346D1487"/>
    <w:rsid w:val="347C3BC1"/>
    <w:rsid w:val="347D7659"/>
    <w:rsid w:val="34B75DE4"/>
    <w:rsid w:val="34EC234E"/>
    <w:rsid w:val="35070FE1"/>
    <w:rsid w:val="35413925"/>
    <w:rsid w:val="35B4718D"/>
    <w:rsid w:val="35BF4E3C"/>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8E80CF8"/>
    <w:rsid w:val="393E1416"/>
    <w:rsid w:val="39627EA4"/>
    <w:rsid w:val="397A4CE9"/>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B70DA6"/>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2151CC"/>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9E503D"/>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6614CB"/>
    <w:rsid w:val="4DA559B9"/>
    <w:rsid w:val="4DE352BC"/>
    <w:rsid w:val="4DE6145A"/>
    <w:rsid w:val="4E182958"/>
    <w:rsid w:val="4E6D7648"/>
    <w:rsid w:val="4E7B14D6"/>
    <w:rsid w:val="4EA34EA3"/>
    <w:rsid w:val="4F011EB4"/>
    <w:rsid w:val="4F270107"/>
    <w:rsid w:val="4F5E0589"/>
    <w:rsid w:val="4F82145C"/>
    <w:rsid w:val="4FB627BF"/>
    <w:rsid w:val="504B7277"/>
    <w:rsid w:val="50683D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313520"/>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EE72B8A"/>
    <w:rsid w:val="5F5C2EFA"/>
    <w:rsid w:val="5F7255C6"/>
    <w:rsid w:val="5F785834"/>
    <w:rsid w:val="5FB13C1C"/>
    <w:rsid w:val="5FC75282"/>
    <w:rsid w:val="5FE1567A"/>
    <w:rsid w:val="5FEC1BF5"/>
    <w:rsid w:val="60C2709E"/>
    <w:rsid w:val="6106329C"/>
    <w:rsid w:val="610E451F"/>
    <w:rsid w:val="618333EA"/>
    <w:rsid w:val="61885C5D"/>
    <w:rsid w:val="61A265C7"/>
    <w:rsid w:val="61BE18D9"/>
    <w:rsid w:val="61EE1389"/>
    <w:rsid w:val="61F91876"/>
    <w:rsid w:val="6229647D"/>
    <w:rsid w:val="62322474"/>
    <w:rsid w:val="626012F3"/>
    <w:rsid w:val="626E260B"/>
    <w:rsid w:val="62C84DC4"/>
    <w:rsid w:val="62D62068"/>
    <w:rsid w:val="630C0C9E"/>
    <w:rsid w:val="6341785E"/>
    <w:rsid w:val="63A96A13"/>
    <w:rsid w:val="640D4E41"/>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863D3"/>
    <w:rsid w:val="675A74FA"/>
    <w:rsid w:val="67DE101C"/>
    <w:rsid w:val="67DF08A2"/>
    <w:rsid w:val="67FC099D"/>
    <w:rsid w:val="683A42B9"/>
    <w:rsid w:val="68413617"/>
    <w:rsid w:val="68FA5E7F"/>
    <w:rsid w:val="69206FE6"/>
    <w:rsid w:val="69275944"/>
    <w:rsid w:val="69A56796"/>
    <w:rsid w:val="69A67CDD"/>
    <w:rsid w:val="69AA25B9"/>
    <w:rsid w:val="6A4B0640"/>
    <w:rsid w:val="6A5C2965"/>
    <w:rsid w:val="6ABE3F1A"/>
    <w:rsid w:val="6AEF5784"/>
    <w:rsid w:val="6AEF6426"/>
    <w:rsid w:val="6B256BBD"/>
    <w:rsid w:val="6C0C3C30"/>
    <w:rsid w:val="6C17358A"/>
    <w:rsid w:val="6C192DF4"/>
    <w:rsid w:val="6C2E3BAB"/>
    <w:rsid w:val="6CFD38B4"/>
    <w:rsid w:val="6D24124D"/>
    <w:rsid w:val="6D442365"/>
    <w:rsid w:val="6D7831C7"/>
    <w:rsid w:val="6DA43D14"/>
    <w:rsid w:val="6DE93268"/>
    <w:rsid w:val="6DFC0A08"/>
    <w:rsid w:val="6E03556E"/>
    <w:rsid w:val="6E4C1DDD"/>
    <w:rsid w:val="6E4F4E79"/>
    <w:rsid w:val="6EBA7CE7"/>
    <w:rsid w:val="6EC407F2"/>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2347DB"/>
    <w:rsid w:val="78361828"/>
    <w:rsid w:val="78557445"/>
    <w:rsid w:val="788E1D2B"/>
    <w:rsid w:val="78AC5FDC"/>
    <w:rsid w:val="79223282"/>
    <w:rsid w:val="79FC224E"/>
    <w:rsid w:val="7A01796E"/>
    <w:rsid w:val="7A056E77"/>
    <w:rsid w:val="7A5173A9"/>
    <w:rsid w:val="7A5A076F"/>
    <w:rsid w:val="7A8F6158"/>
    <w:rsid w:val="7B3C7DB9"/>
    <w:rsid w:val="7BC22FF4"/>
    <w:rsid w:val="7BFD4C52"/>
    <w:rsid w:val="7C622CA0"/>
    <w:rsid w:val="7C731091"/>
    <w:rsid w:val="7CA440B9"/>
    <w:rsid w:val="7E5768E9"/>
    <w:rsid w:val="7EAF3253"/>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Quote1"/>
    <w:basedOn w:val="1"/>
    <w:next w:val="1"/>
    <w:qFormat/>
    <w:uiPriority w:val="0"/>
    <w:rPr>
      <w:i/>
      <w:iCs/>
      <w:color w:val="000000"/>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3"/>
    <w:link w:val="4"/>
    <w:qFormat/>
    <w:uiPriority w:val="0"/>
    <w:rPr>
      <w:rFonts w:ascii="Arial" w:hAnsi="Arial" w:eastAsia="黑体" w:cs="Arial"/>
      <w:b/>
      <w:bCs/>
      <w:kern w:val="2"/>
      <w:sz w:val="30"/>
      <w:szCs w:val="30"/>
    </w:rPr>
  </w:style>
  <w:style w:type="character" w:customStyle="1" w:styleId="21">
    <w:name w:val="日期 Char"/>
    <w:basedOn w:val="13"/>
    <w:link w:val="9"/>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2064</Words>
  <Characters>2231</Characters>
  <Lines>1</Lines>
  <Paragraphs>1</Paragraphs>
  <TotalTime>14</TotalTime>
  <ScaleCrop>false</ScaleCrop>
  <LinksUpToDate>false</LinksUpToDate>
  <CharactersWithSpaces>2243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2025-05-12T06:13:59Z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C32FA6D304034427A13867351AC50D3A_13</vt:lpwstr>
  </property>
</Properties>
</file>