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5A4BC70">
      <w:pPr>
        <w:pStyle w:val="2"/>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峨边彝族自治县妇幼保健计划生育服务中心</w:t>
      </w: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峨边彝族自治县妇幼保健计划生育服务中心</w:t>
      </w:r>
    </w:p>
    <w:p w14:paraId="0D2EE820">
      <w:pPr>
        <w:ind w:left="0" w:leftChars="0" w:firstLine="0" w:firstLineChars="0"/>
        <w:jc w:val="both"/>
        <w:rPr>
          <w:rFonts w:hint="default"/>
          <w:b/>
          <w:bCs/>
          <w:sz w:val="32"/>
          <w:szCs w:val="32"/>
          <w:lang w:val="en-US" w:eastAsia="zh-CN"/>
        </w:rPr>
      </w:pPr>
    </w:p>
    <w:p w14:paraId="1C8675DF">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B4D4F9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spacing w:val="-17"/>
          <w:sz w:val="32"/>
          <w:szCs w:val="32"/>
          <w:lang w:val="en-US" w:eastAsia="zh-CN"/>
        </w:rPr>
        <w:t>峨边彝族自治县妇幼保健计划生育服务中心单位概况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34"/>
          <w:sz w:val="32"/>
          <w:szCs w:val="32"/>
          <w:lang w:val="en-US" w:eastAsia="zh-CN"/>
        </w:rPr>
        <w:t>峨边彝族自治县妇幼保健计划生育服务中心2026年单位预算表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40"/>
          <w:sz w:val="30"/>
          <w:szCs w:val="30"/>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40"/>
          <w:sz w:val="30"/>
          <w:szCs w:val="30"/>
          <w:lang w:val="en-US" w:eastAsia="zh-CN"/>
        </w:rPr>
        <w:t>峨边彝族自治县妇幼保健计划生育服务中心2026年单位预算情况说明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峨边彝族自治县妇幼保健计划生育服务中心单位概况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妇女儿童疾病控制中心，以公共卫生服务为主，综合提供预防、保健和基本医疗等服务。</w:t>
      </w:r>
    </w:p>
    <w:p w14:paraId="4F223850">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4A1DBC4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2026年，我院将重点推进以下工作：</w:t>
      </w:r>
    </w:p>
    <w:p w14:paraId="3762634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健全绩效考核体系。全面推行目标管理与绩效考核，制定科学完善的医院绩效考核方案，建立覆盖诊疗服务、公共卫生、行政管理等全领域的质量管理体系，以考核促提升、以激励强动力。</w:t>
      </w:r>
    </w:p>
    <w:p w14:paraId="502CCC5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规范预防接种门诊运营。优化AAAAA级数字化预防接种门诊服务流程，强化人员培训与设备维护，提升服务质量与安全管理水平，打造标准化、规范化示范门诊。</w:t>
      </w:r>
    </w:p>
    <w:p w14:paraId="2474E06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组建基本公共卫生服务科。明确科室职能定位，细化13项基本公共卫生服务项目任务分工，组织全员开展业务培训，制定标准化服务规范，提升公共卫生服务专业化水平。</w:t>
      </w:r>
    </w:p>
    <w:p w14:paraId="00355E8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推动儿童早期综合发展示范基地规范化运行。开展儿童规范化保健服务，开设家长健康课堂；依托社区推进母乳喂养指导，强化高危儿专案管理与心理行为评估干预；联合县人民医院完善孕妇学校课程体系（将我院师资纳入排课计划）；联动幼儿园开展儿童群体保健服务，全方位促进儿童健康发展。</w:t>
      </w:r>
    </w:p>
    <w:p w14:paraId="7B52943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拓展诊疗服务科目。加快推进儿保科、中医科、放射科等诊疗科目申报工作，完善科室设置，丰富服务内容，满足群众多元化健康需求。</w:t>
      </w:r>
    </w:p>
    <w:p w14:paraId="0C9DE3B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做好医院校验筹备。</w:t>
      </w:r>
      <w:r>
        <w:rPr>
          <w:rFonts w:hint="eastAsia" w:ascii="仿宋_GB2312" w:hAnsi="仿宋_GB2312" w:eastAsia="仿宋_GB2312" w:cs="仿宋_GB2312"/>
          <w:color w:val="auto"/>
          <w:sz w:val="32"/>
          <w:szCs w:val="32"/>
          <w:lang w:eastAsia="zh-CN"/>
        </w:rPr>
        <w:t>对标对表</w:t>
      </w:r>
      <w:r>
        <w:rPr>
          <w:rFonts w:hint="eastAsia" w:ascii="仿宋_GB2312" w:hAnsi="仿宋_GB2312" w:eastAsia="仿宋_GB2312" w:cs="仿宋_GB2312"/>
          <w:color w:val="auto"/>
          <w:sz w:val="32"/>
          <w:szCs w:val="32"/>
        </w:rPr>
        <w:t>标准，全面梳理各项工作，补齐短板弱项，确保顺利通过2026年医院校验，保障机构合法合规运营。</w:t>
      </w:r>
    </w:p>
    <w:p w14:paraId="7DDB17E5">
      <w:pPr>
        <w:bidi w:val="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优化人力资源配置。整合预防接种、儿童早期发展示范基地、门诊业务及公共卫生服务人员力量，科学调整岗位设置，提升人力资源使用效能；加大人才引进与培养力度，改善人才队伍结构</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0C657E7">
      <w:pPr>
        <w:bidi w:val="0"/>
        <w:rPr>
          <w:rFonts w:hint="eastAsia" w:ascii="仿宋" w:hAnsi="仿宋" w:eastAsia="仿宋"/>
          <w:sz w:val="32"/>
          <w:szCs w:val="32"/>
        </w:rPr>
      </w:pPr>
      <w:r>
        <w:rPr>
          <w:rFonts w:hint="eastAsia" w:ascii="仿宋" w:hAnsi="仿宋" w:eastAsia="仿宋"/>
          <w:sz w:val="32"/>
          <w:szCs w:val="32"/>
        </w:rPr>
        <w:t>峨边彝族自治县妇幼保健计划生育服务中心预算单位1个，其中：事业单位1个。</w:t>
      </w:r>
    </w:p>
    <w:p w14:paraId="4B60B764">
      <w:pPr>
        <w:bidi w:val="0"/>
        <w:rPr>
          <w:rFonts w:hint="eastAsia" w:ascii="仿宋" w:hAnsi="仿宋" w:eastAsia="仿宋"/>
          <w:sz w:val="32"/>
          <w:szCs w:val="32"/>
        </w:rPr>
      </w:pPr>
      <w:r>
        <w:rPr>
          <w:rFonts w:hint="eastAsia" w:ascii="仿宋" w:hAnsi="仿宋" w:eastAsia="仿宋"/>
          <w:sz w:val="32"/>
          <w:szCs w:val="32"/>
        </w:rPr>
        <w:t>峨边彝族自治县妇幼保健计划生育服务中心总编制29名，其中：事业编制29名。在职人员总数21名，其中：事业21名。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0C20D8F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峨边彝族自治县妇幼保健计划生育服务中心</w:t>
      </w: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spacing w:val="-17"/>
          <w:sz w:val="32"/>
          <w:szCs w:val="32"/>
          <w:lang w:val="en-US" w:eastAsia="zh-CN"/>
        </w:rPr>
        <w:t xml:space="preserve">峨边彝族自治县妇幼保健计划生育服务中心预算公开报表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7695" cy="1326515"/>
            <wp:effectExtent l="0" t="0" r="825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87695" cy="13265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629535"/>
            <wp:effectExtent l="0" t="0" r="5715" b="184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62953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4BE4B41E">
      <w:pPr>
        <w:spacing w:line="240" w:lineRule="auto"/>
        <w:ind w:left="0" w:leftChars="0" w:firstLine="0" w:firstLineChars="0"/>
        <w:rPr>
          <w:rFonts w:hint="eastAsia"/>
          <w:lang w:val="en-US" w:eastAsia="zh-CN"/>
        </w:rPr>
      </w:pP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2436495"/>
            <wp:effectExtent l="0" t="0" r="6985" b="19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8965" cy="2436495"/>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629535"/>
            <wp:effectExtent l="0" t="0" r="5715" b="184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629535"/>
                    </a:xfrm>
                    <a:prstGeom prst="rect">
                      <a:avLst/>
                    </a:prstGeom>
                    <a:noFill/>
                    <a:ln>
                      <a:noFill/>
                    </a:ln>
                  </pic:spPr>
                </pic:pic>
              </a:graphicData>
            </a:graphic>
          </wp:inline>
        </w:drawing>
      </w:r>
    </w:p>
    <w:p w14:paraId="63E3D053">
      <w:pPr>
        <w:spacing w:line="600" w:lineRule="exact"/>
        <w:ind w:left="0" w:leftChars="0" w:firstLine="0" w:firstLineChars="0"/>
        <w:rPr>
          <w:rFonts w:hint="eastAsia" w:ascii="仿宋_GB2312" w:hAnsi="仿宋_GB2312" w:eastAsia="仿宋_GB2312" w:cs="仿宋_GB2312"/>
          <w:sz w:val="32"/>
          <w:szCs w:val="32"/>
          <w:lang w:val="en-US" w:eastAsia="zh-CN"/>
        </w:rPr>
      </w:pPr>
    </w:p>
    <w:p w14:paraId="65C022CA">
      <w:pPr>
        <w:spacing w:line="600" w:lineRule="exact"/>
        <w:ind w:left="0" w:leftChars="0" w:firstLine="0" w:firstLineChars="0"/>
        <w:rPr>
          <w:rFonts w:hint="eastAsia" w:ascii="仿宋_GB2312" w:hAnsi="仿宋_GB2312" w:eastAsia="仿宋_GB2312" w:cs="仿宋_GB2312"/>
          <w:sz w:val="32"/>
          <w:szCs w:val="32"/>
          <w:lang w:val="en-US" w:eastAsia="zh-CN"/>
        </w:rPr>
      </w:pPr>
    </w:p>
    <w:p w14:paraId="7CFB2034">
      <w:pPr>
        <w:spacing w:line="600" w:lineRule="exact"/>
        <w:ind w:left="0" w:leftChars="0" w:firstLine="0" w:firstLineChars="0"/>
        <w:rPr>
          <w:rFonts w:hint="eastAsia" w:ascii="仿宋_GB2312" w:hAnsi="仿宋_GB2312" w:eastAsia="仿宋_GB2312" w:cs="仿宋_GB2312"/>
          <w:sz w:val="32"/>
          <w:szCs w:val="32"/>
          <w:lang w:val="en-US" w:eastAsia="zh-CN"/>
        </w:rPr>
      </w:pPr>
    </w:p>
    <w:p w14:paraId="20AE3BAE">
      <w:pPr>
        <w:spacing w:line="600" w:lineRule="exact"/>
        <w:ind w:left="0" w:leftChars="0" w:firstLine="0" w:firstLineChars="0"/>
        <w:rPr>
          <w:rFonts w:hint="eastAsia" w:ascii="仿宋_GB2312" w:hAnsi="仿宋_GB2312" w:eastAsia="仿宋_GB2312" w:cs="仿宋_GB2312"/>
          <w:sz w:val="32"/>
          <w:szCs w:val="32"/>
          <w:lang w:val="en-US" w:eastAsia="zh-CN"/>
        </w:rPr>
      </w:pP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526415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5264150"/>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854325"/>
            <wp:effectExtent l="0" t="0" r="3810" b="317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85432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59510"/>
            <wp:effectExtent l="0" t="0" r="5080" b="254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5951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5283835"/>
            <wp:effectExtent l="0" t="0" r="2540" b="1206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3410" cy="5283835"/>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2BD9FA95">
      <w:pPr>
        <w:numPr>
          <w:ilvl w:val="0"/>
          <w:numId w:val="0"/>
        </w:numPr>
        <w:ind w:leftChars="0"/>
        <w:jc w:val="both"/>
        <w:rPr>
          <w:rFonts w:hint="eastAsia"/>
          <w:b/>
          <w:bCs/>
          <w:sz w:val="52"/>
          <w:szCs w:val="52"/>
          <w:lang w:val="en-US" w:eastAsia="zh-CN"/>
        </w:rPr>
      </w:pPr>
    </w:p>
    <w:p w14:paraId="27453600">
      <w:pPr>
        <w:numPr>
          <w:ilvl w:val="0"/>
          <w:numId w:val="0"/>
        </w:numPr>
        <w:ind w:leftChars="0"/>
        <w:jc w:val="both"/>
        <w:rPr>
          <w:rFonts w:hint="eastAsia"/>
          <w:b/>
          <w:bCs/>
          <w:sz w:val="52"/>
          <w:szCs w:val="52"/>
          <w:lang w:val="en-US" w:eastAsia="zh-CN"/>
        </w:rPr>
      </w:pPr>
    </w:p>
    <w:p w14:paraId="0D9F5FC6">
      <w:pPr>
        <w:numPr>
          <w:ilvl w:val="0"/>
          <w:numId w:val="0"/>
        </w:numPr>
        <w:ind w:leftChars="0"/>
        <w:jc w:val="both"/>
        <w:rPr>
          <w:rFonts w:hint="eastAsia"/>
          <w:b/>
          <w:bCs/>
          <w:sz w:val="52"/>
          <w:szCs w:val="52"/>
          <w:lang w:val="en-US" w:eastAsia="zh-CN"/>
        </w:rPr>
      </w:pPr>
    </w:p>
    <w:p w14:paraId="42142D3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峨边彝族自治县妇幼保健计划生育服务中心</w:t>
      </w: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346AFDE5">
      <w:pPr>
        <w:numPr>
          <w:ilvl w:val="0"/>
          <w:numId w:val="0"/>
        </w:numPr>
        <w:jc w:val="both"/>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E3621D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按照综合预算的原则，峨边彝族自治县妇幼保健计划生育服务中心所有收入和支出均纳入部门预算管理。收入包括：一般公共预算拨款收入；支出包括：社会保障和就业支出、卫生健康支出、住房保障支出。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峨边彝族自治县妇幼保健计划生育服务中心2026年收支总预算383.85万元，比2025年收支预算总数增加18.57万元，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妇幼保健计划生育服务中心2026年收入预算383.85万元，其中：上年结转17.22万元，占4.49%；一般公共预算拨款收入366.63万元，占95.51%；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2026年支出预算383.85万元，其中：基本支出366.63万元，占95.51%；项目支出17.22万元，占4.49%。</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0714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峨边彝族自治县妇幼保健计划生育服务中心2026年财政拨款收支预算总数383.85万元，比2025年财政拨款收支预算总数365.28万元增加18.57万元，主要原因是2026年人员经费预算增加。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收入包括：本年一般公共预算拨款收入383.85万元、本年政府性基金预算拨款收入0万元；支出包括：社会保障和就业支出57.4万元、卫生健康支出289.51万元，住房保障支出36.94万元。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D8AED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峨边彝族自治县妇幼保健计划生育服务中心2026年一般公共预算当年拨款366.63万元，较上年预算数增加19.61万元。主要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是2026年人员经费预算增加。</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1943E0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社会保障和就业支出57.4万元，占15.6</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%；卫生健康支出272.29万元，占74.27%；住房保障支出36.94万元，占10.08%。</w:t>
      </w:r>
    </w:p>
    <w:p w14:paraId="5EC5AEF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934D1D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1.社会保障和就业（类）行政事业单位养老支出（款）机关事业单位基本养老保险缴费支出（项）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36.16</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68652C6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18.08</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27B9B4C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 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3.16</w:t>
      </w:r>
      <w:r>
        <w:rPr>
          <w:rFonts w:hint="eastAsia" w:ascii="Times New Roman" w:hAnsi="Times New Roman" w:eastAsia="仿宋_GB2312" w:cs="仿宋_GB2312"/>
          <w:color w:val="000000"/>
          <w:kern w:val="0"/>
          <w:sz w:val="32"/>
          <w:szCs w:val="32"/>
        </w:rPr>
        <w:t>万元，主要用于：其他社会保障和就业方面的支出。 </w:t>
      </w:r>
    </w:p>
    <w:p w14:paraId="210DE35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4.卫生健康支出（类）公共卫生（款）妇幼保健机构（项）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年预算数为2</w:t>
      </w:r>
      <w:r>
        <w:rPr>
          <w:rFonts w:hint="eastAsia" w:ascii="Times New Roman" w:hAnsi="Times New Roman" w:eastAsia="仿宋_GB2312" w:cs="仿宋_GB2312"/>
          <w:color w:val="000000"/>
          <w:kern w:val="0"/>
          <w:sz w:val="32"/>
          <w:szCs w:val="32"/>
          <w:lang w:val="en-US" w:eastAsia="zh-CN"/>
        </w:rPr>
        <w:t>61.59</w:t>
      </w:r>
      <w:r>
        <w:rPr>
          <w:rFonts w:hint="eastAsia" w:ascii="Times New Roman" w:hAnsi="Times New Roman" w:eastAsia="仿宋_GB2312" w:cs="仿宋_GB2312"/>
          <w:color w:val="000000"/>
          <w:kern w:val="0"/>
          <w:sz w:val="32"/>
          <w:szCs w:val="32"/>
        </w:rPr>
        <w:t>万元，主要用于：卫生健康部门所属卫生监督机构的支出。</w:t>
      </w:r>
    </w:p>
    <w:p w14:paraId="65E1085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0.70</w:t>
      </w:r>
      <w:r>
        <w:rPr>
          <w:rFonts w:hint="eastAsia" w:ascii="Times New Roman" w:hAnsi="Times New Roman" w:eastAsia="仿宋_GB2312" w:cs="仿宋_GB2312"/>
          <w:color w:val="000000"/>
          <w:kern w:val="0"/>
          <w:sz w:val="32"/>
          <w:szCs w:val="32"/>
        </w:rPr>
        <w:t>万元，主要用于：事业单位基本医疗保险缴费经费。 </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年预算数为3</w:t>
      </w:r>
      <w:r>
        <w:rPr>
          <w:rFonts w:hint="eastAsia" w:ascii="Times New Roman" w:hAnsi="Times New Roman" w:eastAsia="仿宋_GB2312" w:cs="仿宋_GB2312"/>
          <w:color w:val="000000"/>
          <w:kern w:val="0"/>
          <w:sz w:val="32"/>
          <w:szCs w:val="32"/>
          <w:lang w:val="en-US" w:eastAsia="zh-CN"/>
        </w:rPr>
        <w:t>6.94</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峨边彝族自治县妇幼保健计划生育服务中心2026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366.63</w:t>
      </w:r>
      <w:r>
        <w:rPr>
          <w:rFonts w:hint="eastAsia" w:ascii="Times New Roman" w:hAnsi="Times New Roman" w:eastAsia="仿宋_GB2312" w:cs="仿宋_GB2312"/>
          <w:color w:val="000000"/>
          <w:kern w:val="0"/>
          <w:sz w:val="32"/>
          <w:szCs w:val="32"/>
        </w:rPr>
        <w:t>万元，其中：</w:t>
      </w:r>
    </w:p>
    <w:p w14:paraId="4DCE412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人员经费3</w:t>
      </w:r>
      <w:r>
        <w:rPr>
          <w:rFonts w:hint="eastAsia" w:ascii="Times New Roman" w:hAnsi="Times New Roman" w:eastAsia="仿宋_GB2312" w:cs="仿宋_GB2312"/>
          <w:color w:val="000000"/>
          <w:kern w:val="0"/>
          <w:sz w:val="32"/>
          <w:szCs w:val="32"/>
          <w:lang w:val="en-US" w:eastAsia="zh-CN"/>
        </w:rPr>
        <w:t>21.67</w:t>
      </w:r>
      <w:r>
        <w:rPr>
          <w:rFonts w:hint="eastAsia" w:ascii="Times New Roman" w:hAnsi="Times New Roman" w:eastAsia="仿宋_GB2312" w:cs="仿宋_GB2312"/>
          <w:color w:val="000000"/>
          <w:kern w:val="0"/>
          <w:sz w:val="32"/>
          <w:szCs w:val="32"/>
        </w:rPr>
        <w:t>万元，主要包括：基本工资、津贴补贴、  绩效工资、机关事业单位基本养老保险缴费、职业年金缴费、职工基本医疗保险缴费、其他社会保障缴费、住房公积金</w:t>
      </w:r>
      <w:r>
        <w:rPr>
          <w:rFonts w:hint="eastAsia" w:ascii="Times New Roman" w:hAnsi="Times New Roman" w:eastAsia="仿宋_GB2312" w:cs="仿宋_GB2312"/>
          <w:color w:val="auto"/>
          <w:kern w:val="0"/>
          <w:sz w:val="32"/>
          <w:szCs w:val="32"/>
        </w:rPr>
        <w:t>。</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公用经费4</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96</w:t>
      </w:r>
      <w:bookmarkStart w:id="0" w:name="_GoBack"/>
      <w:bookmarkEnd w:id="0"/>
      <w:r>
        <w:rPr>
          <w:rFonts w:hint="eastAsia" w:ascii="Times New Roman" w:hAnsi="Times New Roman" w:eastAsia="仿宋_GB2312" w:cs="仿宋_GB2312"/>
          <w:color w:val="000000"/>
          <w:kern w:val="0"/>
          <w:sz w:val="32"/>
          <w:szCs w:val="32"/>
        </w:rPr>
        <w:t>万元，主要包括：办公费、电费、差旅费、工会经费、公务用车运行维护费</w:t>
      </w:r>
      <w:r>
        <w:rPr>
          <w:rFonts w:hint="eastAsia" w:ascii="Times New Roman" w:hAnsi="Times New Roman" w:eastAsia="仿宋_GB2312" w:cs="仿宋_GB2312"/>
          <w:color w:val="auto"/>
          <w:kern w:val="0"/>
          <w:sz w:val="32"/>
          <w:szCs w:val="32"/>
        </w:rPr>
        <w:t>。</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峨边彝族自治县妇幼保健计划生育服务中心2026年没有使用政府性基金预算拨款安排的支出。</w:t>
      </w:r>
    </w:p>
    <w:p w14:paraId="6E1F4AA7">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峨边彝族自治县妇幼保健计划生育服务中心2026年没有使用国有资本经营预算拨款安排的支出。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峨边彝族自治县妇幼保健计划生育服务中心2026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2026年公务接待费计划用于上级领导部门调研指导工作和其他区县卫健系统单位来我单位交流学习等</w:t>
      </w:r>
      <w:r>
        <w:rPr>
          <w:rFonts w:hint="eastAsia" w:ascii="Times New Roman" w:hAnsi="Times New Roman" w:eastAsia="仿宋_GB2312" w:cs="仿宋_GB2312"/>
          <w:color w:val="000000"/>
          <w:kern w:val="0"/>
          <w:sz w:val="32"/>
          <w:szCs w:val="32"/>
        </w:rPr>
        <w:t>。</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%。主要原因是按核定标准预算公车运维费用。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峨边彝族自治县妇幼保健计划生育服务中心运行经费财政拨款预算为0万元，比202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FC85A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峨边彝族自治县妇幼保健计划生育服务中心2026年无政府采购项目，未安排政府采购预算。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42446C0">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年底，峨边彝族自治县妇幼保健计划生育服务中心所属各预算单位共有车辆</w:t>
      </w:r>
      <w:r>
        <w:rPr>
          <w:rFonts w:hint="eastAsia" w:ascii="Times New Roman" w:hAnsi="Times New Roman" w:eastAsia="仿宋_GB2312" w:cs="仿宋_GB2312"/>
          <w:color w:val="000000"/>
          <w:kern w:val="0"/>
          <w:lang w:val="en-US" w:eastAsia="zh-CN"/>
        </w:rPr>
        <w:t>3</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lang w:val="en-US" w:eastAsia="zh-CN"/>
        </w:rPr>
        <w:t>特种专业技术用车3辆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r>
        <w:rPr>
          <w:rFonts w:hint="eastAsia" w:ascii="Times New Roman" w:hAnsi="Times New Roman" w:eastAsia="仿宋_GB2312" w:cs="仿宋_GB2312"/>
          <w:color w:val="000000"/>
          <w:kern w:val="0"/>
          <w:lang w:eastAsia="zh-CN"/>
        </w:rPr>
        <w:t>。</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2026年，峨边彝族自治县妇幼保健计划生育服务中心开展绩效目标管理的项目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366.63</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321.67</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44.96</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97A595">
      <w:pPr>
        <w:pStyle w:val="2"/>
        <w:numPr>
          <w:ilvl w:val="0"/>
          <w:numId w:val="0"/>
        </w:numPr>
        <w:bidi w:val="0"/>
        <w:jc w:val="both"/>
        <w:rPr>
          <w:rFonts w:hint="eastAsia"/>
          <w:lang w:val="en-US" w:eastAsia="zh-CN"/>
        </w:rPr>
      </w:pPr>
    </w:p>
    <w:p w14:paraId="2A9768E1">
      <w:pPr>
        <w:rPr>
          <w:rFonts w:hint="eastAsia"/>
          <w:lang w:val="en-US" w:eastAsia="zh-CN"/>
        </w:rPr>
      </w:pPr>
    </w:p>
    <w:p w14:paraId="76795E3C">
      <w:pPr>
        <w:rPr>
          <w:rFonts w:hint="eastAsia"/>
          <w:lang w:val="en-US" w:eastAsia="zh-CN"/>
        </w:rPr>
      </w:pP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4FFB9562">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5A8E1EF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w:t>
      </w:r>
      <w:r>
        <w:rPr>
          <w:rFonts w:hint="eastAsia" w:ascii="仿宋" w:hAnsi="仿宋" w:eastAsia="仿宋" w:cs="仿宋"/>
          <w:lang w:eastAsia="zh-CN"/>
        </w:rPr>
        <w:t>）卫生健康支出（类）</w:t>
      </w:r>
      <w:r>
        <w:rPr>
          <w:rFonts w:hint="eastAsia" w:ascii="仿宋" w:hAnsi="仿宋" w:cs="仿宋"/>
          <w:lang w:val="en-US" w:eastAsia="zh-CN"/>
        </w:rPr>
        <w:t>公共卫生</w:t>
      </w:r>
      <w:r>
        <w:rPr>
          <w:rFonts w:hint="eastAsia" w:ascii="仿宋" w:hAnsi="仿宋" w:eastAsia="仿宋" w:cs="仿宋"/>
          <w:lang w:eastAsia="zh-CN"/>
        </w:rPr>
        <w:t>（款）妇幼保健机构（项）：</w:t>
      </w:r>
      <w:r>
        <w:rPr>
          <w:rFonts w:hint="eastAsia" w:ascii="仿宋" w:hAnsi="仿宋" w:cs="仿宋"/>
          <w:lang w:val="en-US" w:eastAsia="zh-CN"/>
        </w:rPr>
        <w:t>指</w:t>
      </w:r>
      <w:r>
        <w:rPr>
          <w:rFonts w:hint="eastAsia" w:ascii="仿宋" w:hAnsi="仿宋" w:eastAsia="仿宋" w:cs="仿宋"/>
          <w:lang w:eastAsia="zh-CN"/>
        </w:rPr>
        <w:t>卫生健康部门所属妇幼保健机构的支出。</w:t>
      </w:r>
    </w:p>
    <w:p w14:paraId="7A2D1A4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十一</w:t>
      </w:r>
      <w:r>
        <w:rPr>
          <w:rFonts w:hint="eastAsia" w:ascii="仿宋" w:hAnsi="仿宋" w:eastAsia="仿宋" w:cs="仿宋"/>
          <w:lang w:eastAsia="zh-CN"/>
        </w:rPr>
        <w:t>）卫生健康支出（类）公共卫生（款）基本公共卫生服务（项）：</w:t>
      </w:r>
      <w:r>
        <w:rPr>
          <w:rFonts w:hint="eastAsia" w:ascii="仿宋" w:hAnsi="仿宋" w:cs="仿宋"/>
          <w:lang w:val="en-US" w:eastAsia="zh-CN"/>
        </w:rPr>
        <w:t>指</w:t>
      </w:r>
      <w:r>
        <w:rPr>
          <w:rFonts w:hint="eastAsia" w:ascii="仿宋" w:hAnsi="仿宋" w:eastAsia="仿宋" w:cs="仿宋"/>
          <w:lang w:eastAsia="zh-CN"/>
        </w:rPr>
        <w:t>基本公共卫生服务支出。</w:t>
      </w:r>
    </w:p>
    <w:p w14:paraId="50966D5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）卫生健康支出（类）公共卫生（款）重大公共卫生服务（项）：</w:t>
      </w:r>
      <w:r>
        <w:rPr>
          <w:rFonts w:hint="eastAsia" w:ascii="仿宋" w:hAnsi="仿宋" w:cs="仿宋"/>
          <w:lang w:val="en-US" w:eastAsia="zh-CN"/>
        </w:rPr>
        <w:t>指</w:t>
      </w:r>
      <w:r>
        <w:rPr>
          <w:rFonts w:hint="eastAsia" w:ascii="仿宋" w:hAnsi="仿宋" w:eastAsia="仿宋" w:cs="仿宋"/>
          <w:lang w:eastAsia="zh-CN"/>
        </w:rPr>
        <w:t>重大疾病、重大传染病预防控制等重大公共卫生服务项目支出。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十七</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6FFB72-C66B-44F8-B64F-43C50A6BED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1F70B70-6DDA-442F-9271-1D73E336545E}"/>
  </w:font>
  <w:font w:name="仿宋">
    <w:panose1 w:val="02010609060101010101"/>
    <w:charset w:val="86"/>
    <w:family w:val="auto"/>
    <w:pitch w:val="default"/>
    <w:sig w:usb0="800002BF" w:usb1="38CF7CFA" w:usb2="00000016" w:usb3="00000000" w:csb0="00040001" w:csb1="00000000"/>
    <w:embedRegular r:id="rId3" w:fontKey="{0D87168B-9ACA-4147-9DE7-71B7E58C0D2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84E248F-D30E-4F70-A4C2-129F862630A3}"/>
  </w:font>
  <w:font w:name="楷体">
    <w:panose1 w:val="02010609060101010101"/>
    <w:charset w:val="86"/>
    <w:family w:val="auto"/>
    <w:pitch w:val="default"/>
    <w:sig w:usb0="800002BF" w:usb1="38CF7CFA" w:usb2="00000016" w:usb3="00000000" w:csb0="00040001" w:csb1="00000000"/>
    <w:embedRegular r:id="rId5" w:fontKey="{E6F34C99-1556-4271-888B-BFDD0E7BBED8}"/>
  </w:font>
  <w:font w:name="楷体_GB2312">
    <w:panose1 w:val="02010609030101010101"/>
    <w:charset w:val="86"/>
    <w:family w:val="modern"/>
    <w:pitch w:val="default"/>
    <w:sig w:usb0="00000001" w:usb1="080E0000" w:usb2="00000000" w:usb3="00000000" w:csb0="00040000" w:csb1="00000000"/>
    <w:embedRegular r:id="rId6" w:fontKey="{D2A3DE19-63D8-4505-8D59-4CFC75CDDC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AF76439"/>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5788F"/>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953D0"/>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33F6F"/>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917F0"/>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790B6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2B2C23"/>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5904A8"/>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CA0FB5"/>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244C55"/>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201629"/>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373C8"/>
    <w:rsid w:val="5FC75282"/>
    <w:rsid w:val="5FE1567A"/>
    <w:rsid w:val="5FEC1BF5"/>
    <w:rsid w:val="60324287"/>
    <w:rsid w:val="60C2709E"/>
    <w:rsid w:val="6106329C"/>
    <w:rsid w:val="610E451F"/>
    <w:rsid w:val="61667CC3"/>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9065BF"/>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424E4B"/>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7EB5E22"/>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A90DB3"/>
    <w:rsid w:val="7CBD1538"/>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cc7543aa-711d-4d8a-88d6-0257f8e89779</errorID>
      <errorWord>(</errorWord>
      <group>L1_Format</group>
      <groupName>格式问题</groupName>
      <ability>L2_HalfPunc</ability>
      <abilityName>全半角检查</abilityName>
      <candidateList>
        <item>（</item>
      </candidateList>
      <explain>文本全半角错误。</explain>
      <paraID>4F270E4A</paraID>
      <start>2</start>
      <end>3</end>
      <status>modified</status>
      <modifiedWord>（</modifiedWord>
      <trackRevisions>false</trackRevisions>
    </reviewItem>
    <reviewItem>
      <errorID>272378e3-a864-4cdc-96dc-eff43d19d66d</errorID>
      <errorWord>)</errorWord>
      <group>L1_Format</group>
      <groupName>格式问题</groupName>
      <ability>L2_HalfPunc</ability>
      <abilityName>全半角检查</abilityName>
      <candidateList>
        <item>）</item>
      </candidateList>
      <explain>文本全半角错误。</explain>
      <paraID>4F270E4A</paraID>
      <start>5</start>
      <end>6</end>
      <status>modified</status>
      <modifiedWord>）</modifiedWord>
      <trackRevisions>false</trackRevisions>
    </reviewItem>
    <reviewItem>
      <errorID>9cf53ac9-217e-422c-a2c7-54acc8f524a4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3762634E</paraID>
      <start>0</start>
      <end>2</end>
      <status>modified</status>
      <modifiedWord>1.</modifiedWord>
      <trackRevisions>false</trackRevisions>
    </reviewItem>
    <reviewItem>
      <errorID>c06e0709-6d97-426e-92b8-9f5f43fa2067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502CCC5D</paraID>
      <start>0</start>
      <end>2</end>
      <status>modified</status>
      <modifiedWord>2.</modifiedWord>
      <trackRevisions>false</trackRevisions>
    </reviewItem>
    <reviewItem>
      <errorID>ceac8b5d-9592-4788-be6b-898f0f7bf3d9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2474E06E</paraID>
      <start>0</start>
      <end>2</end>
      <status>modified</status>
      <modifiedWord>3.</modifiedWord>
      <trackRevisions>false</trackRevisions>
    </reviewItem>
    <reviewItem>
      <errorID>50a45abc-2d30-4724-8105-b27e0d4852bf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355E89</paraID>
      <start>0</start>
      <end>2</end>
      <status>modified</status>
      <modifiedWord>4.</modifiedWord>
      <trackRevisions>false</trackRevisions>
    </reviewItem>
    <reviewItem>
      <errorID>cd610d3a-7074-4c0e-99d9-eef2982ddbda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7B52943C</paraID>
      <start>0</start>
      <end>2</end>
      <status>modified</status>
      <modifiedWord>5.</modifiedWord>
      <trackRevisions>false</trackRevisions>
    </reviewItem>
    <reviewItem>
      <errorID>ee1e3bb9-6487-4060-89d4-9d43105a9ea9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C9DE3BB</paraID>
      <start>0</start>
      <end>2</end>
      <status>modified</status>
      <modifiedWord>6.</modifiedWord>
      <trackRevisions>false</trackRevisions>
    </reviewItem>
    <reviewItem>
      <errorID>4364ac19-f34e-4fdb-bb73-fcbc26be4389</errorID>
      <errorWord>对标校验</errorWord>
      <group>L1_Political</group>
      <groupName>政治性问题</groupName>
      <ability>L2_Keyword</ability>
      <abilityName>固定表述</abilityName>
      <candidateList>
        <item>对标对表</item>
      </candidateList>
      <explain>词汇“对标对表”在特定场景下为固定表述形式，请确认此处的“对标校验”是否存在不当。</explain>
      <paraID> C9DE3BB</paraID>
      <start>11</start>
      <end>15</end>
      <status>modified</status>
      <modifiedWord>对标对表</modifiedWord>
      <trackRevisions>false</trackRevisions>
    </reviewItem>
    <reviewItem>
      <errorID>b8b23be8-b8d0-4b59-a88f-aee7e03f9243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7DDB17E5</paraID>
      <start>0</start>
      <end>2</end>
      <status>modified</status>
      <modifiedWord>7.</modifiedWord>
      <trackRevisions>false</trackRevisions>
    </reviewItem>
    <reviewItem>
      <errorID>79bf74d9-9b0e-4326-9141-f71d7c4636bc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4E3621DA</paraID>
      <start>51</start>
      <end>59</end>
      <status>ignored</status>
      <modifiedWord/>
      <trackRevisions>false</trackRevisions>
    </reviewItem>
    <reviewItem>
      <errorID>c4e7e40a-aa8f-4977-a5a8-ae6874f0378a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59</start>
      <end>67</end>
      <status>ignored</status>
      <modifiedWord/>
      <trackRevisions>false</trackRevisions>
    </reviewItem>
    <reviewItem>
      <errorID>c0c49a72-0221-4acf-81a4-b6334cd47818</errorID>
      <errorWord>,</errorWord>
      <group>L1_Format</group>
      <groupName>格式问题</groupName>
      <ability>L2_HalfPunc</ability>
      <abilityName>全半角检查</abilityName>
      <candidateList>
        <item>，</item>
      </candidateList>
      <explain>文本全半角错误。</explain>
      <paraID>40714F1E</paraID>
      <start>42</start>
      <end>43</end>
      <status>modified</status>
      <modifiedWord>，</modifiedWord>
      <trackRevisions>false</trackRevisions>
    </reviewItem>
    <reviewItem>
      <errorID>7d5ced74-95ff-49e8-86ef-fb4d095add14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dc119b75-3bc0-4d5e-aa5c-d0c597b654be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dda0be90-8a94-4d78-ac4b-fd72748f4afc</errorID>
      <errorWord>:</errorWord>
      <group>L1_Format</group>
      <groupName>格式问题</groupName>
      <ability>L2_HalfPunc</ability>
      <abilityName>全半角检查</abilityName>
      <candidateList>
        <item>：</item>
      </candidateList>
      <explain>文本全半角错误。</explain>
      <paraID> 934D1D8</paraID>
      <start>44</start>
      <end>45</end>
      <status>modified</status>
      <modifiedWord>：</modifiedWord>
      <trackRevisions>false</trackRevisions>
    </reviewItem>
    <reviewItem>
      <errorID>5957a1b4-cfba-44fe-9fe2-fad89ac14bae</errorID>
      <errorWord>:</errorWord>
      <group>L1_Format</group>
      <groupName>格式问题</groupName>
      <ability>L2_HalfPunc</ability>
      <abilityName>全半角检查</abilityName>
      <candidateList>
        <item>：</item>
      </candidateList>
      <explain>文本全半角错误。</explain>
      <paraID>68652C6E</paraID>
      <start>42</start>
      <end>43</end>
      <status>modified</status>
      <modifiedWord>：</modifiedWord>
      <trackRevisions>false</trackRevisions>
    </reviewItem>
    <reviewItem>
      <errorID>97a0914e-3684-469a-a08f-86449fe97000</errorID>
      <errorWord>:</errorWord>
      <group>L1_Format</group>
      <groupName>格式问题</groupName>
      <ability>L2_HalfPunc</ability>
      <abilityName>全半角检查</abilityName>
      <candidateList>
        <item>：</item>
      </candidateList>
      <explain>文本全半角错误。</explain>
      <paraID>27B9B4CE</paraID>
      <start>41</start>
      <end>42</end>
      <status>modified</status>
      <modifiedWord>：</modifiedWord>
      <trackRevisions>false</trackRevisions>
    </reviewItem>
    <reviewItem>
      <errorID>f10706e8-a43c-4f66-9521-92261707c0f9</errorID>
      <errorWord>:</errorWord>
      <group>L1_Format</group>
      <groupName>格式问题</groupName>
      <ability>L2_HalfPunc</ability>
      <abilityName>全半角检查</abilityName>
      <candidateList>
        <item>：</item>
      </candidateList>
      <explain>文本全半角错误。</explain>
      <paraID>210DE356</paraID>
      <start>27</start>
      <end>28</end>
      <status>modified</status>
      <modifiedWord>：</modifiedWord>
      <trackRevisions>false</trackRevisions>
    </reviewItem>
    <reviewItem>
      <errorID>35c58c0d-5d1b-400c-8a3b-bf6d1555422a</errorID>
      <errorWord>:</errorWord>
      <group>L1_Format</group>
      <groupName>格式问题</groupName>
      <ability>L2_HalfPunc</ability>
      <abilityName>全半角检查</abilityName>
      <candidateList>
        <item>：</item>
      </candidateList>
      <explain>文本全半角错误。</explain>
      <paraID>65E10851</paraID>
      <start>31</start>
      <end>32</end>
      <status>modified</status>
      <modifiedWord>：</modifiedWord>
      <trackRevisions>false</trackRevisions>
    </reviewItem>
    <reviewItem>
      <errorID>dad20cb6-46c4-41ba-95c6-a9603c107e38</errorID>
      <errorWord>:</errorWord>
      <group>L1_Format</group>
      <groupName>格式问题</groupName>
      <ability>L2_HalfPunc</ability>
      <abilityName>全半角检查</abilityName>
      <candidateList>
        <item>：</item>
      </candidateList>
      <explain>文本全半角错误。</explain>
      <paraID>6C934BA5</paraID>
      <start>26</start>
      <end>27</end>
      <status>modified</status>
      <modifiedWord>：</modifiedWord>
      <trackRevisions>false</trackRevisions>
    </reviewItem>
    <reviewItem>
      <errorID>398841fc-7b8e-43ac-bd7d-7e50df3e014a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
      <errorID>23250699-27b9-4974-b0b7-bc3e8c85493a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20C37CA2</paraID>
      <start>23</start>
      <end>25</end>
      <status>modified</status>
      <modifiedWord>”“</modifiedWord>
      <trackRevisions>false</trackRevisions>
    </reviewItem>
    <reviewItem>
      <errorID>c22cd6c9-89f3-4869-9be3-c2fbcc20d98d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20C37CA2</paraID>
      <start>29</start>
      <end>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97344-30f0-4942-8537-e47c5c228d2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89</Words>
  <Characters>96</Characters>
  <Lines>1</Lines>
  <Paragraphs>1</Paragraphs>
  <TotalTime>4</TotalTime>
  <ScaleCrop>false</ScaleCrop>
  <LinksUpToDate>false</LinksUpToDate>
  <CharactersWithSpaces>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2026-03-25T07:08:10Z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