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E4260">
      <w:pPr>
        <w:widowControl w:val="0"/>
        <w:kinsoku/>
        <w:autoSpaceDE/>
        <w:autoSpaceDN/>
        <w:adjustRightInd/>
        <w:snapToGrid/>
        <w:spacing w:line="580" w:lineRule="exact"/>
        <w:jc w:val="center"/>
        <w:textAlignment w:val="auto"/>
        <w:rPr>
          <w:rFonts w:hint="eastAsia" w:ascii="Times New Roman" w:hAnsi="Times New Roman" w:eastAsia="方正小标宋简体" w:cs="Times New Roman"/>
          <w:snapToGrid/>
          <w:color w:val="auto"/>
          <w:w w:val="95"/>
          <w:kern w:val="2"/>
          <w:sz w:val="44"/>
          <w:szCs w:val="44"/>
          <w:highlight w:val="none"/>
          <w:u w:val="none"/>
          <w:lang w:eastAsia="zh-CN"/>
        </w:rPr>
      </w:pPr>
      <w:r>
        <w:rPr>
          <w:rFonts w:hint="eastAsia" w:ascii="Times New Roman" w:hAnsi="Times New Roman" w:eastAsia="方正小标宋简体" w:cs="Times New Roman"/>
          <w:snapToGrid/>
          <w:color w:val="auto"/>
          <w:w w:val="95"/>
          <w:kern w:val="2"/>
          <w:sz w:val="44"/>
          <w:szCs w:val="44"/>
          <w:highlight w:val="none"/>
          <w:u w:val="none"/>
          <w:lang w:eastAsia="zh-CN"/>
        </w:rPr>
        <w:t>峨边彝族自治县</w:t>
      </w:r>
    </w:p>
    <w:p w14:paraId="6918BB7A">
      <w:pPr>
        <w:widowControl w:val="0"/>
        <w:kinsoku/>
        <w:autoSpaceDE/>
        <w:autoSpaceDN/>
        <w:adjustRightInd/>
        <w:snapToGrid/>
        <w:spacing w:line="580" w:lineRule="exact"/>
        <w:jc w:val="center"/>
        <w:textAlignment w:val="auto"/>
        <w:rPr>
          <w:rFonts w:hint="eastAsia" w:ascii="宋体" w:hAnsi="宋体" w:eastAsia="宋体" w:cs="宋体"/>
          <w:snapToGrid w:val="0"/>
          <w:color w:val="auto"/>
          <w:spacing w:val="2"/>
          <w:kern w:val="0"/>
          <w:sz w:val="32"/>
          <w:szCs w:val="32"/>
          <w:highlight w:val="none"/>
          <w:u w:val="none"/>
          <w:lang w:eastAsia="zh-CN"/>
        </w:rPr>
      </w:pPr>
      <w:bookmarkStart w:id="0" w:name="OLE_LINK29"/>
      <w:r>
        <w:rPr>
          <w:rFonts w:hint="eastAsia" w:ascii="Times New Roman" w:hAnsi="Times New Roman" w:eastAsia="方正小标宋简体" w:cs="Times New Roman"/>
          <w:snapToGrid/>
          <w:color w:val="auto"/>
          <w:w w:val="95"/>
          <w:kern w:val="2"/>
          <w:sz w:val="44"/>
          <w:szCs w:val="44"/>
          <w:highlight w:val="none"/>
          <w:u w:val="none"/>
          <w:lang w:eastAsia="zh-CN"/>
        </w:rPr>
        <w:t>集体土地征收补偿拆迁安置实施办法</w:t>
      </w:r>
      <w:bookmarkEnd w:id="0"/>
    </w:p>
    <w:p w14:paraId="0DA75513">
      <w:pPr>
        <w:keepNext w:val="0"/>
        <w:keepLines w:val="0"/>
        <w:pageBreakBefore w:val="0"/>
        <w:widowControl/>
        <w:kinsoku w:val="0"/>
        <w:wordWrap/>
        <w:overflowPunct/>
        <w:topLinePunct w:val="0"/>
        <w:autoSpaceDE w:val="0"/>
        <w:autoSpaceDN w:val="0"/>
        <w:bidi w:val="0"/>
        <w:adjustRightInd w:val="0"/>
        <w:snapToGrid w:val="0"/>
        <w:spacing w:line="700" w:lineRule="exact"/>
        <w:ind w:left="0"/>
        <w:jc w:val="center"/>
        <w:textAlignment w:val="baseline"/>
        <w:rPr>
          <w:rFonts w:hint="eastAsia" w:ascii="Times New Roman" w:hAnsi="Times New Roman" w:eastAsia="仿宋_GB2312" w:cs="Times New Roman"/>
          <w:snapToGrid/>
          <w:color w:val="auto"/>
          <w:kern w:val="2"/>
          <w:sz w:val="32"/>
          <w:szCs w:val="32"/>
          <w:highlight w:val="none"/>
          <w:u w:val="none"/>
          <w:lang w:eastAsia="zh-CN"/>
        </w:rPr>
      </w:pPr>
    </w:p>
    <w:p w14:paraId="7E4E9F2F">
      <w:pPr>
        <w:widowControl w:val="0"/>
        <w:numPr>
          <w:ilvl w:val="0"/>
          <w:numId w:val="1"/>
        </w:numPr>
        <w:kinsoku/>
        <w:autoSpaceDE/>
        <w:autoSpaceDN/>
        <w:adjustRightInd/>
        <w:snapToGrid/>
        <w:spacing w:after="240" w:afterLines="100" w:line="580" w:lineRule="exact"/>
        <w:jc w:val="center"/>
        <w:textAlignment w:val="auto"/>
        <w:rPr>
          <w:rFonts w:hint="eastAsia" w:ascii="Times New Roman" w:hAnsi="Times New Roman" w:eastAsia="黑体" w:cs="Times New Roman"/>
          <w:snapToGrid/>
          <w:color w:val="auto"/>
          <w:kern w:val="2"/>
          <w:sz w:val="32"/>
          <w:szCs w:val="32"/>
          <w:highlight w:val="none"/>
          <w:u w:val="none"/>
          <w:lang w:eastAsia="zh-CN"/>
        </w:rPr>
      </w:pPr>
      <w:r>
        <w:rPr>
          <w:rFonts w:hint="eastAsia" w:ascii="Times New Roman" w:hAnsi="Times New Roman" w:eastAsia="黑体" w:cs="Times New Roman"/>
          <w:snapToGrid/>
          <w:color w:val="auto"/>
          <w:kern w:val="2"/>
          <w:sz w:val="32"/>
          <w:szCs w:val="32"/>
          <w:highlight w:val="none"/>
          <w:u w:val="none"/>
          <w:lang w:eastAsia="zh-CN"/>
        </w:rPr>
        <w:t>总  则</w:t>
      </w:r>
    </w:p>
    <w:p w14:paraId="4CADE9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b w:val="0"/>
          <w:bCs w:val="0"/>
          <w:snapToGrid/>
          <w:color w:val="auto"/>
          <w:kern w:val="2"/>
          <w:sz w:val="32"/>
          <w:szCs w:val="32"/>
          <w:highlight w:val="none"/>
          <w:u w:val="none"/>
          <w:lang w:eastAsia="zh-CN"/>
        </w:rPr>
      </w:pPr>
      <w:r>
        <w:rPr>
          <w:rFonts w:hint="eastAsia" w:ascii="Times New Roman" w:hAnsi="Times New Roman" w:eastAsia="仿宋_GB2312" w:cs="Times New Roman"/>
          <w:b w:val="0"/>
          <w:bCs w:val="0"/>
          <w:snapToGrid/>
          <w:color w:val="auto"/>
          <w:kern w:val="2"/>
          <w:sz w:val="32"/>
          <w:szCs w:val="32"/>
          <w:highlight w:val="none"/>
          <w:u w:val="none"/>
          <w:lang w:eastAsia="zh-CN"/>
        </w:rPr>
        <w:t xml:space="preserve">第一条  </w:t>
      </w:r>
      <w:r>
        <w:rPr>
          <w:rFonts w:hint="eastAsia" w:ascii="Times New Roman" w:hAnsi="Times New Roman" w:eastAsia="仿宋_GB2312" w:cs="Times New Roman"/>
          <w:b w:val="0"/>
          <w:bCs w:val="0"/>
          <w:snapToGrid/>
          <w:color w:val="auto"/>
          <w:kern w:val="2"/>
          <w:sz w:val="32"/>
          <w:szCs w:val="32"/>
          <w:highlight w:val="none"/>
          <w:u w:val="none"/>
          <w:lang w:val="en-US" w:eastAsia="zh-CN" w:bidi="ar-SA"/>
        </w:rPr>
        <w:t>为规范农村集体土地征收工作，保障征收工作顺利进行，维护被征地农村集体经济组织和村民的合法权益，促进社会经济和谐发展，根据《中华人民共和国土地管理法》《中华人民共和国土地管理法实施条例》《中华人民共和国城乡规</w:t>
      </w:r>
      <w:r>
        <w:rPr>
          <w:rFonts w:hint="eastAsia" w:ascii="Times New Roman" w:hAnsi="Times New Roman" w:eastAsia="仿宋_GB2312" w:cs="Times New Roman"/>
          <w:b w:val="0"/>
          <w:bCs w:val="0"/>
          <w:snapToGrid/>
          <w:color w:val="auto"/>
          <w:kern w:val="2"/>
          <w:sz w:val="32"/>
          <w:szCs w:val="32"/>
          <w:highlight w:val="none"/>
          <w:u w:val="none"/>
          <w:lang w:eastAsia="zh-CN"/>
        </w:rPr>
        <w:t>划法》《四川省〈中华人民共和国土地管理法〉实施办法》《四川省被征地农民养老保障实施办法》《四川省人民政府办公厅关于进一</w:t>
      </w:r>
      <w:bookmarkStart w:id="28" w:name="_GoBack"/>
      <w:bookmarkEnd w:id="28"/>
      <w:r>
        <w:rPr>
          <w:rFonts w:hint="eastAsia" w:ascii="Times New Roman" w:hAnsi="Times New Roman" w:eastAsia="仿宋_GB2312" w:cs="Times New Roman"/>
          <w:b w:val="0"/>
          <w:bCs w:val="0"/>
          <w:snapToGrid/>
          <w:color w:val="auto"/>
          <w:kern w:val="2"/>
          <w:sz w:val="32"/>
          <w:szCs w:val="32"/>
          <w:highlight w:val="none"/>
          <w:u w:val="none"/>
          <w:lang w:eastAsia="zh-CN"/>
        </w:rPr>
        <w:t>步做好征地工作的通知》（川办发〔202</w:t>
      </w:r>
      <w:r>
        <w:rPr>
          <w:rFonts w:hint="eastAsia" w:ascii="Times New Roman" w:hAnsi="Times New Roman" w:eastAsia="仿宋_GB2312" w:cs="Times New Roman"/>
          <w:b w:val="0"/>
          <w:bCs w:val="0"/>
          <w:snapToGrid/>
          <w:color w:val="auto"/>
          <w:kern w:val="2"/>
          <w:sz w:val="32"/>
          <w:szCs w:val="32"/>
          <w:highlight w:val="none"/>
          <w:u w:val="none"/>
          <w:lang w:val="en-US" w:eastAsia="zh-CN"/>
        </w:rPr>
        <w:t>4</w:t>
      </w:r>
      <w:r>
        <w:rPr>
          <w:rFonts w:hint="eastAsia" w:ascii="Times New Roman" w:hAnsi="Times New Roman" w:eastAsia="仿宋_GB2312" w:cs="Times New Roman"/>
          <w:b w:val="0"/>
          <w:bCs w:val="0"/>
          <w:snapToGrid/>
          <w:color w:val="auto"/>
          <w:kern w:val="2"/>
          <w:sz w:val="32"/>
          <w:szCs w:val="32"/>
          <w:highlight w:val="none"/>
          <w:u w:val="none"/>
          <w:lang w:eastAsia="zh-CN"/>
        </w:rPr>
        <w:t>〕</w:t>
      </w:r>
      <w:r>
        <w:rPr>
          <w:rFonts w:hint="eastAsia" w:ascii="Times New Roman" w:hAnsi="Times New Roman" w:eastAsia="仿宋_GB2312" w:cs="Times New Roman"/>
          <w:b w:val="0"/>
          <w:bCs w:val="0"/>
          <w:snapToGrid/>
          <w:color w:val="auto"/>
          <w:kern w:val="2"/>
          <w:sz w:val="32"/>
          <w:szCs w:val="32"/>
          <w:highlight w:val="none"/>
          <w:u w:val="none"/>
          <w:lang w:val="en-US" w:eastAsia="zh-CN"/>
        </w:rPr>
        <w:t>18号）</w:t>
      </w:r>
      <w:r>
        <w:rPr>
          <w:rFonts w:hint="eastAsia" w:ascii="Times New Roman" w:hAnsi="Times New Roman" w:eastAsia="仿宋_GB2312" w:cs="Times New Roman"/>
          <w:b w:val="0"/>
          <w:bCs w:val="0"/>
          <w:snapToGrid/>
          <w:color w:val="auto"/>
          <w:kern w:val="2"/>
          <w:sz w:val="32"/>
          <w:szCs w:val="32"/>
          <w:highlight w:val="none"/>
          <w:u w:val="none"/>
          <w:lang w:eastAsia="zh-CN"/>
        </w:rPr>
        <w:t>《乐山市人民政府关于公布实施乐山市征地地上附着物和青苗补偿标准的通知》（乐府函〔</w:t>
      </w:r>
      <w:r>
        <w:rPr>
          <w:rFonts w:hint="eastAsia" w:ascii="Times New Roman" w:hAnsi="Times New Roman" w:eastAsia="仿宋_GB2312" w:cs="Times New Roman"/>
          <w:b w:val="0"/>
          <w:bCs w:val="0"/>
          <w:snapToGrid/>
          <w:color w:val="auto"/>
          <w:kern w:val="2"/>
          <w:sz w:val="32"/>
          <w:szCs w:val="32"/>
          <w:highlight w:val="none"/>
          <w:u w:val="none"/>
          <w:lang w:val="en-US" w:eastAsia="zh-CN"/>
        </w:rPr>
        <w:t>2024</w:t>
      </w:r>
      <w:r>
        <w:rPr>
          <w:rFonts w:hint="eastAsia" w:ascii="Times New Roman" w:hAnsi="Times New Roman" w:eastAsia="仿宋_GB2312" w:cs="Times New Roman"/>
          <w:b w:val="0"/>
          <w:bCs w:val="0"/>
          <w:snapToGrid/>
          <w:color w:val="auto"/>
          <w:kern w:val="2"/>
          <w:sz w:val="32"/>
          <w:szCs w:val="32"/>
          <w:highlight w:val="none"/>
          <w:u w:val="none"/>
          <w:lang w:eastAsia="zh-CN"/>
        </w:rPr>
        <w:t>〕</w:t>
      </w:r>
      <w:r>
        <w:rPr>
          <w:rFonts w:hint="eastAsia" w:ascii="Times New Roman" w:hAnsi="Times New Roman" w:eastAsia="仿宋_GB2312" w:cs="Times New Roman"/>
          <w:b w:val="0"/>
          <w:bCs w:val="0"/>
          <w:snapToGrid/>
          <w:color w:val="auto"/>
          <w:kern w:val="2"/>
          <w:sz w:val="32"/>
          <w:szCs w:val="32"/>
          <w:highlight w:val="none"/>
          <w:u w:val="none"/>
          <w:lang w:val="en-US" w:eastAsia="zh-CN"/>
        </w:rPr>
        <w:t>109</w:t>
      </w:r>
      <w:r>
        <w:rPr>
          <w:rFonts w:hint="eastAsia" w:ascii="Times New Roman" w:hAnsi="Times New Roman" w:eastAsia="仿宋_GB2312" w:cs="Times New Roman"/>
          <w:b w:val="0"/>
          <w:bCs w:val="0"/>
          <w:snapToGrid/>
          <w:color w:val="auto"/>
          <w:kern w:val="2"/>
          <w:sz w:val="32"/>
          <w:szCs w:val="32"/>
          <w:highlight w:val="none"/>
          <w:u w:val="none"/>
          <w:lang w:eastAsia="zh-CN"/>
        </w:rPr>
        <w:t>号）《峨边彝族自治县征收农用地区片综合地价标准的通知》（峨边府发〔2023〕9号）等法律法规和相关政策，结合我县实际，制定本实施办法。</w:t>
      </w:r>
    </w:p>
    <w:p w14:paraId="02C23260">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第二条  本县行政区域内农村集体土地的征收补偿和拆迁安置，适用本实施办法。</w:t>
      </w:r>
    </w:p>
    <w:p w14:paraId="628D08FA">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bookmarkStart w:id="1" w:name="OLE_LINK2"/>
      <w:r>
        <w:rPr>
          <w:rFonts w:hint="eastAsia" w:ascii="Times New Roman" w:hAnsi="Times New Roman" w:eastAsia="仿宋_GB2312" w:cs="Times New Roman"/>
          <w:snapToGrid/>
          <w:color w:val="auto"/>
          <w:kern w:val="2"/>
          <w:sz w:val="32"/>
          <w:szCs w:val="32"/>
          <w:highlight w:val="none"/>
          <w:u w:val="none"/>
          <w:lang w:eastAsia="zh-CN"/>
        </w:rPr>
        <w:t>大中型水利</w:t>
      </w:r>
      <w:bookmarkEnd w:id="1"/>
      <w:r>
        <w:rPr>
          <w:rFonts w:hint="eastAsia" w:ascii="Times New Roman" w:hAnsi="Times New Roman" w:eastAsia="仿宋_GB2312" w:cs="Times New Roman"/>
          <w:snapToGrid/>
          <w:color w:val="auto"/>
          <w:kern w:val="2"/>
          <w:sz w:val="32"/>
          <w:szCs w:val="32"/>
          <w:highlight w:val="none"/>
          <w:u w:val="none"/>
          <w:lang w:eastAsia="zh-CN"/>
        </w:rPr>
        <w:t>、水电工程以及公路、铁路等重大基础设施和重点建设项目，国务院和省市人民政府对其征地拆迁补偿安置另有规定的，从其规定。</w:t>
      </w:r>
    </w:p>
    <w:p w14:paraId="40F0843A">
      <w:pPr>
        <w:widowControl w:val="0"/>
        <w:numPr>
          <w:ilvl w:val="0"/>
          <w:numId w:val="2"/>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 xml:space="preserve"> 本实施办法所称征收补偿拆迁安置，是指因公共利益需要，县人民政府依照法律规定的权限和程序征收农村集体土地，对该土地上的建筑物、构筑物及附着物进行拆迁，并给予所有权人合理的补偿和安置。</w:t>
      </w:r>
    </w:p>
    <w:p w14:paraId="494F79CA">
      <w:pPr>
        <w:widowControl w:val="0"/>
        <w:numPr>
          <w:ilvl w:val="0"/>
          <w:numId w:val="0"/>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集体土地征收和补偿安置工作应当遵循合法合理、公开公正的原则，妥善安置被征地人员，确保其原有生活水平不降低、长远生计有保障。</w:t>
      </w:r>
    </w:p>
    <w:p w14:paraId="23577644">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第四条  县人民政府履行集体土地征收管理职责，县自然资源局组织实施征收集体土地。</w:t>
      </w:r>
    </w:p>
    <w:p w14:paraId="2AF50CE9">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各乡镇人民政府具体实施辖区内征地拆迁补偿安置工作。</w:t>
      </w:r>
    </w:p>
    <w:p w14:paraId="72CBE7BF">
      <w:pPr>
        <w:widowControl w:val="0"/>
        <w:numPr>
          <w:ilvl w:val="0"/>
          <w:numId w:val="0"/>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县农业农村局负责指导和督促农村集体经济组织成员资格认定等工作。</w:t>
      </w:r>
    </w:p>
    <w:p w14:paraId="12EDB37D">
      <w:pPr>
        <w:widowControl w:val="0"/>
        <w:numPr>
          <w:ilvl w:val="0"/>
          <w:numId w:val="0"/>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val="en-US" w:eastAsia="zh-CN"/>
        </w:rPr>
        <w:t>县</w:t>
      </w:r>
      <w:r>
        <w:rPr>
          <w:rFonts w:hint="eastAsia" w:ascii="Times New Roman" w:hAnsi="Times New Roman" w:eastAsia="仿宋_GB2312" w:cs="Times New Roman"/>
          <w:snapToGrid/>
          <w:color w:val="auto"/>
          <w:kern w:val="2"/>
          <w:sz w:val="32"/>
          <w:szCs w:val="32"/>
          <w:highlight w:val="none"/>
          <w:u w:val="none"/>
          <w:lang w:eastAsia="zh-CN"/>
        </w:rPr>
        <w:t>财政局负责保障集体土地征收和补偿安置所需资金。</w:t>
      </w:r>
    </w:p>
    <w:p w14:paraId="642C4750">
      <w:pPr>
        <w:widowControl w:val="0"/>
        <w:numPr>
          <w:ilvl w:val="0"/>
          <w:numId w:val="0"/>
        </w:numPr>
        <w:kinsoku/>
        <w:autoSpaceDE/>
        <w:autoSpaceDN/>
        <w:adjustRightInd/>
        <w:snapToGrid/>
        <w:spacing w:line="580" w:lineRule="exact"/>
        <w:ind w:firstLine="320" w:firstLineChars="1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val="en-US" w:eastAsia="zh-CN"/>
        </w:rPr>
        <w:t xml:space="preserve">  县</w:t>
      </w:r>
      <w:r>
        <w:rPr>
          <w:rFonts w:hint="eastAsia" w:ascii="Times New Roman" w:hAnsi="Times New Roman" w:eastAsia="仿宋_GB2312" w:cs="Times New Roman"/>
          <w:snapToGrid/>
          <w:color w:val="auto"/>
          <w:kern w:val="2"/>
          <w:sz w:val="32"/>
          <w:szCs w:val="32"/>
          <w:highlight w:val="none"/>
          <w:u w:val="none"/>
          <w:lang w:eastAsia="zh-CN"/>
        </w:rPr>
        <w:t>人社局、县医保局负责测算征地社会保障费用，配合做好被征地农民养老保障和医疗保障经办工作。</w:t>
      </w:r>
    </w:p>
    <w:p w14:paraId="4995E350">
      <w:pPr>
        <w:widowControl w:val="0"/>
        <w:numPr>
          <w:ilvl w:val="0"/>
          <w:numId w:val="0"/>
        </w:numPr>
        <w:kinsoku/>
        <w:autoSpaceDE/>
        <w:autoSpaceDN/>
        <w:adjustRightInd/>
        <w:snapToGrid/>
        <w:spacing w:line="580" w:lineRule="exact"/>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val="en-US" w:eastAsia="zh-CN"/>
        </w:rPr>
        <w:t xml:space="preserve">    县政府办、县应急局、县林业局、县</w:t>
      </w:r>
      <w:r>
        <w:rPr>
          <w:rFonts w:hint="eastAsia" w:ascii="Times New Roman" w:hAnsi="Times New Roman" w:eastAsia="仿宋_GB2312" w:cs="Times New Roman"/>
          <w:snapToGrid/>
          <w:color w:val="auto"/>
          <w:kern w:val="2"/>
          <w:sz w:val="32"/>
          <w:szCs w:val="32"/>
          <w:highlight w:val="none"/>
          <w:u w:val="none"/>
          <w:lang w:eastAsia="zh-CN"/>
        </w:rPr>
        <w:t>发改局、县经信局、县公安局、县民政局、县住建局、县审计局、县司法局等部门按照各自职责共同做好集体土地征收和补偿安置有关工作。</w:t>
      </w:r>
    </w:p>
    <w:p w14:paraId="4A27BF8C">
      <w:pPr>
        <w:widowControl w:val="0"/>
        <w:numPr>
          <w:ilvl w:val="0"/>
          <w:numId w:val="0"/>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val="en-US" w:eastAsia="zh-CN"/>
        </w:rPr>
        <w:t xml:space="preserve">第五条  </w:t>
      </w:r>
      <w:r>
        <w:rPr>
          <w:rFonts w:hint="eastAsia" w:ascii="Times New Roman" w:hAnsi="Times New Roman" w:eastAsia="仿宋_GB2312" w:cs="Times New Roman"/>
          <w:strike w:val="0"/>
          <w:dstrike w:val="0"/>
          <w:snapToGrid/>
          <w:color w:val="auto"/>
          <w:kern w:val="2"/>
          <w:sz w:val="32"/>
          <w:szCs w:val="32"/>
          <w:highlight w:val="none"/>
          <w:u w:val="none"/>
          <w:lang w:eastAsia="zh-CN"/>
        </w:rPr>
        <w:t>县人民政府建立</w:t>
      </w:r>
      <w:r>
        <w:rPr>
          <w:rFonts w:hint="eastAsia" w:ascii="Times New Roman" w:hAnsi="Times New Roman" w:eastAsia="仿宋_GB2312" w:cs="Times New Roman"/>
          <w:strike w:val="0"/>
          <w:snapToGrid/>
          <w:color w:val="auto"/>
          <w:kern w:val="2"/>
          <w:sz w:val="32"/>
          <w:szCs w:val="32"/>
          <w:highlight w:val="none"/>
          <w:u w:val="none"/>
          <w:lang w:eastAsia="zh-CN"/>
        </w:rPr>
        <w:t>县耕地保护和土地房屋征收管理</w:t>
      </w:r>
      <w:r>
        <w:rPr>
          <w:rFonts w:hint="eastAsia" w:ascii="Times New Roman" w:hAnsi="Times New Roman" w:eastAsia="仿宋_GB2312" w:cs="Times New Roman"/>
          <w:strike w:val="0"/>
          <w:dstrike w:val="0"/>
          <w:snapToGrid/>
          <w:color w:val="auto"/>
          <w:kern w:val="2"/>
          <w:sz w:val="32"/>
          <w:szCs w:val="32"/>
          <w:highlight w:val="none"/>
          <w:u w:val="none"/>
          <w:lang w:eastAsia="zh-CN"/>
        </w:rPr>
        <w:t>工作机制</w:t>
      </w:r>
      <w:r>
        <w:rPr>
          <w:rFonts w:hint="eastAsia" w:ascii="Times New Roman" w:hAnsi="Times New Roman" w:eastAsia="仿宋_GB2312" w:cs="Times New Roman"/>
          <w:strike w:val="0"/>
          <w:snapToGrid/>
          <w:color w:val="auto"/>
          <w:kern w:val="2"/>
          <w:sz w:val="32"/>
          <w:szCs w:val="32"/>
          <w:highlight w:val="none"/>
          <w:u w:val="none"/>
          <w:lang w:eastAsia="zh-CN"/>
        </w:rPr>
        <w:t>，统筹协调县内土地征收工作，研究解决土地征收和补偿安置工作中的具体问题</w:t>
      </w:r>
      <w:r>
        <w:rPr>
          <w:rFonts w:hint="eastAsia" w:ascii="Times New Roman" w:hAnsi="Times New Roman" w:eastAsia="仿宋_GB2312" w:cs="Times New Roman"/>
          <w:snapToGrid/>
          <w:color w:val="auto"/>
          <w:kern w:val="2"/>
          <w:sz w:val="32"/>
          <w:szCs w:val="32"/>
          <w:highlight w:val="none"/>
          <w:u w:val="none"/>
          <w:lang w:eastAsia="zh-CN"/>
        </w:rPr>
        <w:t>。</w:t>
      </w:r>
    </w:p>
    <w:p w14:paraId="3EF22203">
      <w:pPr>
        <w:keepNext w:val="0"/>
        <w:keepLines w:val="0"/>
        <w:pageBreakBefore w:val="0"/>
        <w:numPr>
          <w:ilvl w:val="0"/>
          <w:numId w:val="0"/>
        </w:numPr>
        <w:kinsoku/>
        <w:wordWrap/>
        <w:overflowPunct/>
        <w:topLinePunct w:val="0"/>
        <w:autoSpaceDE/>
        <w:autoSpaceDN/>
        <w:bidi w:val="0"/>
        <w:adjustRightInd/>
        <w:snapToGrid/>
        <w:spacing w:line="240" w:lineRule="auto"/>
        <w:ind w:leftChars="200"/>
        <w:textAlignment w:val="auto"/>
        <w:rPr>
          <w:rFonts w:hint="eastAsia" w:ascii="Times New Roman" w:hAnsi="Times New Roman" w:eastAsia="仿宋_GB2312" w:cs="Times New Roman"/>
          <w:snapToGrid/>
          <w:color w:val="auto"/>
          <w:kern w:val="2"/>
          <w:sz w:val="32"/>
          <w:szCs w:val="32"/>
          <w:highlight w:val="none"/>
          <w:u w:val="none"/>
          <w:lang w:eastAsia="zh-CN"/>
        </w:rPr>
      </w:pPr>
    </w:p>
    <w:p w14:paraId="15F1326A">
      <w:pPr>
        <w:widowControl w:val="0"/>
        <w:kinsoku/>
        <w:autoSpaceDE/>
        <w:autoSpaceDN/>
        <w:adjustRightInd/>
        <w:snapToGrid/>
        <w:spacing w:after="240" w:afterLines="100" w:line="580" w:lineRule="exact"/>
        <w:jc w:val="center"/>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黑体" w:cs="Times New Roman"/>
          <w:snapToGrid/>
          <w:color w:val="auto"/>
          <w:kern w:val="2"/>
          <w:sz w:val="32"/>
          <w:szCs w:val="32"/>
          <w:highlight w:val="none"/>
          <w:u w:val="none"/>
          <w:lang w:eastAsia="zh-CN"/>
        </w:rPr>
        <w:t>第二章  征地补偿安置</w:t>
      </w:r>
    </w:p>
    <w:p w14:paraId="1FA65B4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napToGrid/>
          <w:color w:val="auto"/>
          <w:kern w:val="2"/>
          <w:sz w:val="32"/>
          <w:szCs w:val="32"/>
          <w:highlight w:val="none"/>
          <w:u w:val="none"/>
          <w:lang w:eastAsia="zh-CN"/>
        </w:rPr>
      </w:pPr>
      <w:bookmarkStart w:id="2" w:name="OLE_LINK19"/>
      <w:r>
        <w:rPr>
          <w:rFonts w:hint="eastAsia" w:ascii="Times New Roman" w:hAnsi="Times New Roman" w:eastAsia="仿宋_GB2312" w:cs="Times New Roman"/>
          <w:snapToGrid/>
          <w:color w:val="auto"/>
          <w:kern w:val="2"/>
          <w:sz w:val="32"/>
          <w:szCs w:val="32"/>
          <w:highlight w:val="none"/>
          <w:u w:val="none"/>
          <w:lang w:eastAsia="zh-CN"/>
        </w:rPr>
        <w:t>第六条</w:t>
      </w:r>
      <w:bookmarkEnd w:id="2"/>
      <w:r>
        <w:rPr>
          <w:rFonts w:hint="eastAsia" w:ascii="Times New Roman" w:hAnsi="Times New Roman" w:eastAsia="仿宋_GB2312" w:cs="Times New Roman"/>
          <w:snapToGrid/>
          <w:color w:val="auto"/>
          <w:kern w:val="2"/>
          <w:sz w:val="32"/>
          <w:szCs w:val="32"/>
          <w:highlight w:val="none"/>
          <w:u w:val="none"/>
          <w:lang w:eastAsia="zh-CN"/>
        </w:rPr>
        <w:t xml:space="preserve">  为了公共利益的需要，确需征收农民集体所有土地的，拟征收土地范围确定后，由县人民政府发布征收土地预公告。征收土地预公告内容包括征收范围、征收目的、开展土地现状调查的安排等。征收土地预公告在县人民政府门户网站和拟征收土地所在的乡镇和村、村民小组范围内发布，预公告时间不少于十个工作日。自征收土地预公告发布之日起，任何单位和个人不得在拟征收范围内抢栽抢建；违反规定抢栽抢建的，对抢栽抢建部分不予补偿。</w:t>
      </w:r>
    </w:p>
    <w:p w14:paraId="591EB730">
      <w:pPr>
        <w:widowControl w:val="0"/>
        <w:numPr>
          <w:ilvl w:val="0"/>
          <w:numId w:val="0"/>
        </w:numPr>
        <w:kinsoku/>
        <w:autoSpaceDE/>
        <w:autoSpaceDN/>
        <w:adjustRightInd/>
        <w:snapToGrid/>
        <w:spacing w:line="580" w:lineRule="exact"/>
        <w:jc w:val="both"/>
        <w:textAlignment w:val="auto"/>
        <w:rPr>
          <w:rFonts w:hint="eastAsia" w:ascii="Times New Roman" w:hAnsi="Times New Roman" w:eastAsia="仿宋_GB2312" w:cs="Times New Roman"/>
          <w:snapToGrid/>
          <w:color w:val="auto"/>
          <w:kern w:val="2"/>
          <w:sz w:val="32"/>
          <w:szCs w:val="32"/>
          <w:highlight w:val="none"/>
          <w:u w:val="none"/>
          <w:lang w:eastAsia="zh-CN"/>
        </w:rPr>
      </w:pPr>
      <w:bookmarkStart w:id="3" w:name="OLE_LINK4"/>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第七条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县人民政府组织</w:t>
      </w:r>
      <w:bookmarkEnd w:id="3"/>
      <w:r>
        <w:rPr>
          <w:rFonts w:hint="eastAsia" w:ascii="Times New Roman" w:hAnsi="Times New Roman" w:eastAsia="仿宋_GB2312" w:cs="Times New Roman"/>
          <w:snapToGrid/>
          <w:color w:val="auto"/>
          <w:kern w:val="2"/>
          <w:sz w:val="32"/>
          <w:szCs w:val="32"/>
          <w:highlight w:val="none"/>
          <w:u w:val="none"/>
          <w:lang w:eastAsia="zh-CN"/>
        </w:rPr>
        <w:t>开展土地现状调查。土地现状调查应当查明拟征收土地的位置、权属、地类、面积，以及农村村民住宅、其他地上附着物和青苗等的权属、种类、数量等情况进行调查核实，调查结果应当由拟征收土地的所有权人、使用权人予以确认，拟征收土地所有权人、使用权人不能参加土地现状调查的，应当以书面等方式委托他人参加；不能参加又不委托他人，或者到场参加调查又不签字确认的，</w:t>
      </w:r>
      <w:bookmarkStart w:id="4" w:name="OLE_LINK18"/>
      <w:r>
        <w:rPr>
          <w:rFonts w:hint="eastAsia" w:ascii="Times New Roman" w:hAnsi="Times New Roman" w:eastAsia="仿宋_GB2312" w:cs="Times New Roman"/>
          <w:snapToGrid/>
          <w:color w:val="auto"/>
          <w:kern w:val="2"/>
          <w:sz w:val="32"/>
          <w:szCs w:val="32"/>
          <w:highlight w:val="none"/>
          <w:u w:val="none"/>
          <w:lang w:eastAsia="zh-CN"/>
        </w:rPr>
        <w:t>由县人民政府组织</w:t>
      </w:r>
      <w:bookmarkEnd w:id="4"/>
      <w:r>
        <w:rPr>
          <w:rFonts w:hint="eastAsia" w:ascii="Times New Roman" w:hAnsi="Times New Roman" w:eastAsia="仿宋_GB2312" w:cs="Times New Roman"/>
          <w:snapToGrid/>
          <w:color w:val="auto"/>
          <w:kern w:val="2"/>
          <w:sz w:val="32"/>
          <w:szCs w:val="32"/>
          <w:highlight w:val="none"/>
          <w:u w:val="none"/>
          <w:lang w:eastAsia="zh-CN"/>
        </w:rPr>
        <w:t>调查确定，县人民政府组织可以申请公证机构对调查行为以及调查有关资料进行</w:t>
      </w:r>
      <w:bookmarkStart w:id="5" w:name="OLE_LINK20"/>
      <w:r>
        <w:rPr>
          <w:rFonts w:hint="eastAsia" w:ascii="Times New Roman" w:hAnsi="Times New Roman" w:eastAsia="仿宋_GB2312" w:cs="Times New Roman"/>
          <w:snapToGrid/>
          <w:color w:val="auto"/>
          <w:kern w:val="2"/>
          <w:sz w:val="32"/>
          <w:szCs w:val="32"/>
          <w:highlight w:val="none"/>
          <w:u w:val="none"/>
          <w:lang w:eastAsia="zh-CN"/>
        </w:rPr>
        <w:t>证据保全</w:t>
      </w:r>
      <w:bookmarkEnd w:id="5"/>
      <w:r>
        <w:rPr>
          <w:rFonts w:hint="eastAsia" w:ascii="Times New Roman" w:hAnsi="Times New Roman" w:eastAsia="仿宋_GB2312" w:cs="Times New Roman"/>
          <w:snapToGrid/>
          <w:color w:val="auto"/>
          <w:kern w:val="2"/>
          <w:sz w:val="32"/>
          <w:szCs w:val="32"/>
          <w:highlight w:val="none"/>
          <w:u w:val="none"/>
          <w:lang w:eastAsia="zh-CN"/>
        </w:rPr>
        <w:t>。</w:t>
      </w:r>
    </w:p>
    <w:p w14:paraId="72A839E6">
      <w:pPr>
        <w:widowControl w:val="0"/>
        <w:numPr>
          <w:ilvl w:val="0"/>
          <w:numId w:val="0"/>
        </w:numPr>
        <w:kinsoku/>
        <w:autoSpaceDE/>
        <w:autoSpaceDN/>
        <w:adjustRightInd/>
        <w:snapToGrid/>
        <w:spacing w:line="580" w:lineRule="exact"/>
        <w:ind w:firstLine="640" w:firstLineChars="200"/>
        <w:jc w:val="both"/>
        <w:textAlignment w:val="auto"/>
        <w:rPr>
          <w:rFonts w:hint="eastAsia" w:ascii="宋体" w:hAnsi="宋体" w:eastAsia="宋体" w:cs="宋体"/>
          <w:i w:val="0"/>
          <w:iCs w:val="0"/>
          <w:caps w:val="0"/>
          <w:color w:val="auto"/>
          <w:spacing w:val="0"/>
          <w:sz w:val="24"/>
          <w:szCs w:val="24"/>
          <w:highlight w:val="none"/>
          <w:u w:val="none"/>
          <w:shd w:val="clear" w:color="auto" w:fill="FFFFFF"/>
        </w:rPr>
      </w:pPr>
      <w:r>
        <w:rPr>
          <w:rFonts w:hint="eastAsia" w:ascii="Times New Roman" w:hAnsi="Times New Roman" w:eastAsia="仿宋_GB2312" w:cs="Times New Roman"/>
          <w:snapToGrid/>
          <w:color w:val="auto"/>
          <w:kern w:val="2"/>
          <w:sz w:val="32"/>
          <w:szCs w:val="32"/>
          <w:highlight w:val="none"/>
          <w:u w:val="none"/>
          <w:lang w:eastAsia="zh-CN"/>
        </w:rPr>
        <w:t>第八条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 xml:space="preserve"> 县人民政府组织开展社会稳定风险评估，确定风险点，明确风险等级，提出风险防范措施和处置预案，形成评估报告。社会稳定风险评估应当有被征地的农村集体经济组织及其成员、村民委员会和其他利害关系人参加。</w:t>
      </w:r>
    </w:p>
    <w:p w14:paraId="676B0EA5">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 xml:space="preserve">第九条 </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val="en-US" w:eastAsia="zh-CN" w:bidi="ar-SA"/>
        </w:rPr>
        <w:t>县人民政府依据社会稳定风险评估结果，结合土地现状调查情况，组织自然资源、财政、农业农村、林业、人力资源和社会保障等有关部门拟定征地补偿安置方案。征地补偿安置方案应当包括征收范围、土地现状、征收目的、补偿方式和标准、安置对象、安置方式、社会保障等内容。征地补偿安置方案拟定后，县人民政府在政府门户网站和拟征收土地所在的乡镇、村和村民小组范围内公告，听取被征地的农村集体经济组织及其成员、村民委员会和其他利害关系人的意见，公告时间不少于三十日。公告应当载明办理补偿登记的方式、期限，异议反馈的渠道、期限等事项。</w:t>
      </w:r>
    </w:p>
    <w:p w14:paraId="50ADA879">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val="en-US" w:eastAsia="zh-CN" w:bidi="ar-SA"/>
        </w:rPr>
      </w:pPr>
      <w:r>
        <w:rPr>
          <w:rFonts w:hint="eastAsia" w:ascii="Times New Roman" w:hAnsi="Times New Roman" w:eastAsia="仿宋_GB2312" w:cs="Times New Roman"/>
          <w:snapToGrid/>
          <w:color w:val="auto"/>
          <w:kern w:val="2"/>
          <w:sz w:val="32"/>
          <w:szCs w:val="32"/>
          <w:highlight w:val="none"/>
          <w:u w:val="none"/>
          <w:lang w:val="en-US" w:eastAsia="zh-CN" w:bidi="ar-SA"/>
        </w:rPr>
        <w:t>征地补偿安置公告发布后，超过二分之一的被征地的农村集体经济组织成员认为征地补偿安置方案不符合法律法规规定，县人民政府应当组织召开听证会；征收范围内未超过二分之一的被征地的农村集体经济组织成员认为征地补偿安置方案不符合法律法规规定，县人民政府认为确有必要的，可以组织召开听证会。县人民政府应当根据法律法规的规定和听证会情况修改征地补偿安置方案。征地补偿安置方案修改后，县人民政府应当按照原途径予以公告，时间不少于十日。</w:t>
      </w:r>
    </w:p>
    <w:p w14:paraId="3032697D">
      <w:pPr>
        <w:widowControl w:val="0"/>
        <w:numPr>
          <w:ilvl w:val="0"/>
          <w:numId w:val="0"/>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val="en-US" w:eastAsia="zh-CN" w:bidi="ar-SA"/>
        </w:rPr>
      </w:pPr>
      <w:r>
        <w:rPr>
          <w:rFonts w:hint="eastAsia" w:ascii="Times New Roman" w:hAnsi="Times New Roman" w:eastAsia="仿宋_GB2312" w:cs="Times New Roman"/>
          <w:snapToGrid/>
          <w:color w:val="auto"/>
          <w:kern w:val="2"/>
          <w:sz w:val="32"/>
          <w:szCs w:val="32"/>
          <w:highlight w:val="none"/>
          <w:u w:val="none"/>
          <w:lang w:eastAsia="zh-CN"/>
        </w:rPr>
        <w:t xml:space="preserve">第十条 </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val="en-US" w:eastAsia="zh-CN" w:bidi="ar-SA"/>
        </w:rPr>
        <w:t>拟征收土地的所有权人、使用权人应当在征地补偿安置方案公告规定期限内，持不动产权属证书或者权利证明材料到指定的单位、地点办理补偿登记。拟征收土地的所有权人、使用权人未在规定期限内办理补偿登记的，相关信息按照土地现状调查确认结果确定。</w:t>
      </w:r>
    </w:p>
    <w:p w14:paraId="1D55B6BC">
      <w:pPr>
        <w:widowControl w:val="0"/>
        <w:numPr>
          <w:ilvl w:val="0"/>
          <w:numId w:val="0"/>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第十一条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征地补偿安置方案确定后，县人民政府组织有关部门或乡镇与拟征收土地的所有权人、使用权人签订征地补偿</w:t>
      </w:r>
      <w:bookmarkStart w:id="6" w:name="OLE_LINK21"/>
      <w:r>
        <w:rPr>
          <w:rFonts w:hint="eastAsia" w:ascii="Times New Roman" w:hAnsi="Times New Roman" w:eastAsia="仿宋_GB2312" w:cs="Times New Roman"/>
          <w:snapToGrid/>
          <w:color w:val="auto"/>
          <w:kern w:val="2"/>
          <w:sz w:val="32"/>
          <w:szCs w:val="32"/>
          <w:highlight w:val="none"/>
          <w:u w:val="none"/>
          <w:lang w:eastAsia="zh-CN"/>
        </w:rPr>
        <w:t>安置协议</w:t>
      </w:r>
      <w:bookmarkEnd w:id="6"/>
      <w:r>
        <w:rPr>
          <w:rFonts w:hint="eastAsia" w:ascii="Times New Roman" w:hAnsi="Times New Roman" w:eastAsia="仿宋_GB2312" w:cs="Times New Roman"/>
          <w:snapToGrid/>
          <w:color w:val="auto"/>
          <w:kern w:val="2"/>
          <w:sz w:val="32"/>
          <w:szCs w:val="32"/>
          <w:highlight w:val="none"/>
          <w:u w:val="none"/>
          <w:lang w:eastAsia="zh-CN"/>
        </w:rPr>
        <w:t>。</w:t>
      </w:r>
    </w:p>
    <w:p w14:paraId="5162400A">
      <w:pPr>
        <w:widowControl w:val="0"/>
        <w:numPr>
          <w:ilvl w:val="0"/>
          <w:numId w:val="0"/>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第十二条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征收农民集体土地应当支付土地补偿费、安置补助费、农村村民住宅、其他地上附着物和青苗等的补偿费用、社会保障费用。土地补偿费、安置补助费按照《峨边彝族自治县征收农用地区片综合地价标准的通知》（峨边府发〔2023〕9号）执行。耕地的两补费统筹用于失地农民养老保障安置。耕地以外其他集体土地的两补费拨付给被征地集体经济组织，由被征地集体经济组织通过“一事一议”讨论分配方案进行分配。</w:t>
      </w:r>
    </w:p>
    <w:p w14:paraId="7767A597">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农村村民住宅、其他地上附着物和青苗等补偿按照《乐山市人民政府关于公布实施乐山市征地地上附着物和青苗补偿标准的通知》（乐府函〔</w:t>
      </w:r>
      <w:r>
        <w:rPr>
          <w:rFonts w:hint="eastAsia" w:ascii="Times New Roman" w:hAnsi="Times New Roman" w:eastAsia="仿宋_GB2312" w:cs="Times New Roman"/>
          <w:snapToGrid/>
          <w:color w:val="auto"/>
          <w:kern w:val="2"/>
          <w:sz w:val="32"/>
          <w:szCs w:val="32"/>
          <w:highlight w:val="none"/>
          <w:u w:val="none"/>
          <w:lang w:val="en-US" w:eastAsia="zh-CN"/>
        </w:rPr>
        <w:t>2024</w:t>
      </w:r>
      <w:r>
        <w:rPr>
          <w:rFonts w:hint="eastAsia" w:ascii="Times New Roman" w:hAnsi="Times New Roman" w:eastAsia="仿宋_GB2312" w:cs="Times New Roman"/>
          <w:snapToGrid/>
          <w:color w:val="auto"/>
          <w:kern w:val="2"/>
          <w:sz w:val="32"/>
          <w:szCs w:val="32"/>
          <w:highlight w:val="none"/>
          <w:u w:val="none"/>
          <w:lang w:eastAsia="zh-CN"/>
        </w:rPr>
        <w:t>〕</w:t>
      </w:r>
      <w:r>
        <w:rPr>
          <w:rFonts w:hint="eastAsia" w:ascii="Times New Roman" w:hAnsi="Times New Roman" w:eastAsia="仿宋_GB2312" w:cs="Times New Roman"/>
          <w:snapToGrid/>
          <w:color w:val="auto"/>
          <w:kern w:val="2"/>
          <w:sz w:val="32"/>
          <w:szCs w:val="32"/>
          <w:highlight w:val="none"/>
          <w:u w:val="none"/>
          <w:lang w:val="en-US" w:eastAsia="zh-CN"/>
        </w:rPr>
        <w:t>109</w:t>
      </w:r>
      <w:r>
        <w:rPr>
          <w:rFonts w:hint="eastAsia" w:ascii="Times New Roman" w:hAnsi="Times New Roman" w:eastAsia="仿宋_GB2312" w:cs="Times New Roman"/>
          <w:snapToGrid/>
          <w:color w:val="auto"/>
          <w:kern w:val="2"/>
          <w:sz w:val="32"/>
          <w:szCs w:val="32"/>
          <w:highlight w:val="none"/>
          <w:u w:val="none"/>
          <w:lang w:eastAsia="zh-CN"/>
        </w:rPr>
        <w:t>号）执行（其中坟墓的补偿按附件1执行，房屋装修装饰补偿按附件2执行，</w:t>
      </w:r>
      <w:r>
        <w:rPr>
          <w:rFonts w:hint="eastAsia" w:ascii="Times New Roman" w:hAnsi="Times New Roman" w:eastAsia="仿宋_GB2312" w:cs="Times New Roman"/>
          <w:snapToGrid/>
          <w:color w:val="auto"/>
          <w:kern w:val="2"/>
          <w:sz w:val="32"/>
          <w:szCs w:val="32"/>
          <w:highlight w:val="none"/>
          <w:u w:val="none"/>
          <w:lang w:val="en-US" w:eastAsia="zh-CN"/>
        </w:rPr>
        <w:t>畜禽及养殖设施搬迁补偿按附件3执行</w:t>
      </w:r>
      <w:r>
        <w:rPr>
          <w:rFonts w:hint="eastAsia" w:ascii="Times New Roman" w:hAnsi="Times New Roman" w:eastAsia="仿宋_GB2312" w:cs="Times New Roman"/>
          <w:snapToGrid/>
          <w:color w:val="auto"/>
          <w:kern w:val="2"/>
          <w:sz w:val="32"/>
          <w:szCs w:val="32"/>
          <w:highlight w:val="none"/>
          <w:u w:val="none"/>
          <w:lang w:eastAsia="zh-CN"/>
        </w:rPr>
        <w:t>）。此外，在实际工作中，</w:t>
      </w:r>
      <w:r>
        <w:rPr>
          <w:rFonts w:ascii="仿宋_GB2312" w:hAnsi="仿宋_GB2312" w:eastAsia="仿宋_GB2312" w:cs="仿宋_GB2312"/>
          <w:b w:val="0"/>
          <w:bCs w:val="0"/>
          <w:color w:val="auto"/>
          <w:sz w:val="31"/>
          <w:szCs w:val="31"/>
          <w:highlight w:val="none"/>
          <w:u w:val="none"/>
        </w:rPr>
        <w:t>规定标准以外的补偿项目，参照规定标准中相近情况补偿，不能参照的，按市场价格给予合理补偿。</w:t>
      </w:r>
    </w:p>
    <w:p w14:paraId="25A956FE">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 xml:space="preserve">第十三条  </w:t>
      </w:r>
      <w:r>
        <w:rPr>
          <w:rFonts w:ascii="仿宋_GB2312" w:hAnsi="仿宋_GB2312" w:eastAsia="仿宋_GB2312" w:cs="仿宋_GB2312"/>
          <w:b w:val="0"/>
          <w:bCs w:val="0"/>
          <w:color w:val="auto"/>
          <w:sz w:val="31"/>
          <w:szCs w:val="31"/>
          <w:highlight w:val="none"/>
          <w:u w:val="none"/>
        </w:rPr>
        <w:t>被征地农民养老保障人数</w:t>
      </w:r>
      <w:r>
        <w:rPr>
          <w:rFonts w:hint="eastAsia" w:ascii="仿宋_GB2312" w:hAnsi="仿宋_GB2312" w:eastAsia="仿宋_GB2312" w:cs="仿宋_GB2312"/>
          <w:b w:val="0"/>
          <w:bCs w:val="0"/>
          <w:color w:val="auto"/>
          <w:sz w:val="31"/>
          <w:szCs w:val="31"/>
          <w:highlight w:val="none"/>
          <w:u w:val="none"/>
          <w:lang w:eastAsia="zh-CN"/>
        </w:rPr>
        <w:t>（</w:t>
      </w:r>
      <w:r>
        <w:rPr>
          <w:rFonts w:ascii="仿宋_GB2312" w:hAnsi="仿宋_GB2312" w:eastAsia="仿宋_GB2312" w:cs="仿宋_GB2312"/>
          <w:b w:val="0"/>
          <w:bCs w:val="0"/>
          <w:color w:val="auto"/>
          <w:sz w:val="31"/>
          <w:szCs w:val="31"/>
          <w:highlight w:val="none"/>
          <w:u w:val="none"/>
        </w:rPr>
        <w:t>参加养老保障或领取一次性生活补助</w:t>
      </w:r>
      <w:r>
        <w:rPr>
          <w:rFonts w:hint="eastAsia" w:ascii="仿宋_GB2312" w:hAnsi="仿宋_GB2312" w:eastAsia="仿宋_GB2312" w:cs="仿宋_GB2312"/>
          <w:b w:val="0"/>
          <w:bCs w:val="0"/>
          <w:color w:val="auto"/>
          <w:sz w:val="31"/>
          <w:szCs w:val="31"/>
          <w:highlight w:val="none"/>
          <w:u w:val="none"/>
          <w:lang w:eastAsia="zh-CN"/>
        </w:rPr>
        <w:t>）</w:t>
      </w:r>
      <w:r>
        <w:rPr>
          <w:rFonts w:ascii="仿宋_GB2312" w:hAnsi="仿宋_GB2312" w:eastAsia="仿宋_GB2312" w:cs="仿宋_GB2312"/>
          <w:b w:val="0"/>
          <w:bCs w:val="0"/>
          <w:color w:val="auto"/>
          <w:sz w:val="31"/>
          <w:szCs w:val="31"/>
          <w:highlight w:val="none"/>
          <w:u w:val="none"/>
        </w:rPr>
        <w:t>，按照被征收的耕</w:t>
      </w:r>
      <w:r>
        <w:rPr>
          <w:rFonts w:hint="eastAsia" w:ascii="仿宋_GB2312" w:hAnsi="仿宋_GB2312" w:eastAsia="仿宋_GB2312" w:cs="仿宋_GB2312"/>
          <w:b w:val="0"/>
          <w:bCs w:val="0"/>
          <w:color w:val="auto"/>
          <w:sz w:val="31"/>
          <w:szCs w:val="31"/>
          <w:highlight w:val="none"/>
          <w:u w:val="none"/>
          <w:lang w:eastAsia="zh-CN"/>
        </w:rPr>
        <w:t>（园）</w:t>
      </w:r>
      <w:r>
        <w:rPr>
          <w:rFonts w:ascii="仿宋_GB2312" w:hAnsi="仿宋_GB2312" w:eastAsia="仿宋_GB2312" w:cs="仿宋_GB2312"/>
          <w:b w:val="0"/>
          <w:bCs w:val="0"/>
          <w:color w:val="auto"/>
          <w:sz w:val="31"/>
          <w:szCs w:val="31"/>
          <w:highlight w:val="none"/>
          <w:u w:val="none"/>
        </w:rPr>
        <w:t>地面积除以征地前被征地集体经济组织人均耕</w:t>
      </w:r>
      <w:r>
        <w:rPr>
          <w:rFonts w:hint="eastAsia" w:ascii="仿宋_GB2312" w:hAnsi="仿宋_GB2312" w:eastAsia="仿宋_GB2312" w:cs="仿宋_GB2312"/>
          <w:b w:val="0"/>
          <w:bCs w:val="0"/>
          <w:color w:val="auto"/>
          <w:sz w:val="31"/>
          <w:szCs w:val="31"/>
          <w:highlight w:val="none"/>
          <w:u w:val="none"/>
          <w:lang w:eastAsia="zh-CN"/>
        </w:rPr>
        <w:t>（园）</w:t>
      </w:r>
      <w:r>
        <w:rPr>
          <w:rFonts w:ascii="仿宋_GB2312" w:hAnsi="仿宋_GB2312" w:eastAsia="仿宋_GB2312" w:cs="仿宋_GB2312"/>
          <w:b w:val="0"/>
          <w:bCs w:val="0"/>
          <w:color w:val="auto"/>
          <w:sz w:val="31"/>
          <w:szCs w:val="31"/>
          <w:highlight w:val="none"/>
          <w:u w:val="none"/>
        </w:rPr>
        <w:t>地计算。</w:t>
      </w:r>
      <w:r>
        <w:rPr>
          <w:rFonts w:hint="eastAsia" w:ascii="Times New Roman" w:hAnsi="Times New Roman" w:eastAsia="仿宋_GB2312" w:cs="Times New Roman"/>
          <w:snapToGrid/>
          <w:color w:val="auto"/>
          <w:kern w:val="2"/>
          <w:sz w:val="32"/>
          <w:szCs w:val="32"/>
          <w:highlight w:val="none"/>
          <w:u w:val="none"/>
          <w:lang w:eastAsia="zh-CN"/>
        </w:rPr>
        <w:t>人均耕（园）地以实测耕（园）地面积除以集体经济组织成员人数确定（已纳入征地社会保障人员除外）。</w:t>
      </w:r>
    </w:p>
    <w:p w14:paraId="095A20F1">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第十四条  被征地农民社会保障安置，按照《四川省被征地农民养老保障实施办法》（川人社发〔2018〕46号）《关于贯彻落实川人社发〔2018〕46号文件几个具体问题的通知》（乐人社发〔2019〕30号）《乐山市人民政府办公室关于印发乐山市基本医疗保险实施办法的通知》（乐府办发〔2016〕9号）等文件精神执行。</w:t>
      </w:r>
    </w:p>
    <w:p w14:paraId="1B960533">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（一）基本医疗保险</w:t>
      </w:r>
    </w:p>
    <w:p w14:paraId="4586FFA7">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纳入社保安置人员，医疗保险按《乐山市人民政府办公室关于印发乐山市基本医疗保险实施办法的通知》（乐府办发〔2016〕9号）执行，由征地单位逐年向医疗保险征缴机构缴纳基本医疗保险费，累计代缴金额不得超过1万元。</w:t>
      </w:r>
    </w:p>
    <w:p w14:paraId="1513AF22">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（二）失业保险补助金</w:t>
      </w:r>
    </w:p>
    <w:p w14:paraId="011B9E90">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按本办法参加了基本养老保险的劳动年龄段人员，由征收部门一次性支付失业保险补助金5000元/人。</w:t>
      </w:r>
    </w:p>
    <w:p w14:paraId="0F5E2952">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（三）其他事项</w:t>
      </w:r>
    </w:p>
    <w:p w14:paraId="5AE66E40">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1）因土地征收致整户失去全部耕地的未满16周岁人员，按照《乐山市征地农转非人员安置保障暂行办法》文件精神，给予一次性生活补贴。补贴标准参照我县本年度最低生活保障标准以及社保缴费年限和基数标准，由本人或法定监护人申请并签字（章）确认，经征收部门会同乡镇和人社等部门审核批准后，发放6万元的一次性货币补偿。</w:t>
      </w:r>
    </w:p>
    <w:p w14:paraId="435DBAA7">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（2）重大疾病认定以峨边彝族自治县人民医院、峨边彝族自治县中医院或其他三级甲等医院确诊结果为准，重大疾病包含类型（附件</w:t>
      </w:r>
      <w:r>
        <w:rPr>
          <w:rFonts w:hint="eastAsia" w:ascii="Times New Roman" w:hAnsi="Times New Roman" w:eastAsia="仿宋_GB2312" w:cs="Times New Roman"/>
          <w:snapToGrid/>
          <w:color w:val="auto"/>
          <w:kern w:val="2"/>
          <w:sz w:val="32"/>
          <w:szCs w:val="32"/>
          <w:highlight w:val="none"/>
          <w:u w:val="none"/>
          <w:lang w:val="en-US" w:eastAsia="zh-CN"/>
        </w:rPr>
        <w:t>4</w:t>
      </w:r>
      <w:r>
        <w:rPr>
          <w:rFonts w:hint="eastAsia" w:ascii="Times New Roman" w:hAnsi="Times New Roman" w:eastAsia="仿宋_GB2312" w:cs="Times New Roman"/>
          <w:snapToGrid/>
          <w:color w:val="auto"/>
          <w:kern w:val="2"/>
          <w:sz w:val="32"/>
          <w:szCs w:val="32"/>
          <w:highlight w:val="none"/>
          <w:u w:val="none"/>
          <w:lang w:eastAsia="zh-CN"/>
        </w:rPr>
        <w:t>）。</w:t>
      </w:r>
    </w:p>
    <w:p w14:paraId="5092FCDD">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b/>
          <w:bCs/>
          <w:snapToGrid/>
          <w:color w:val="auto"/>
          <w:kern w:val="2"/>
          <w:sz w:val="32"/>
          <w:szCs w:val="32"/>
          <w:highlight w:val="none"/>
          <w:u w:val="none"/>
          <w:lang w:eastAsia="zh-CN"/>
        </w:rPr>
      </w:pPr>
      <w:bookmarkStart w:id="7" w:name="OLE_LINK7"/>
      <w:r>
        <w:rPr>
          <w:rFonts w:hint="eastAsia" w:ascii="Times New Roman" w:hAnsi="Times New Roman" w:eastAsia="仿宋_GB2312" w:cs="Times New Roman"/>
          <w:snapToGrid/>
          <w:color w:val="auto"/>
          <w:kern w:val="2"/>
          <w:sz w:val="32"/>
          <w:szCs w:val="32"/>
          <w:highlight w:val="none"/>
          <w:u w:val="none"/>
          <w:lang w:eastAsia="zh-CN"/>
        </w:rPr>
        <w:t>第十五条</w:t>
      </w:r>
      <w:bookmarkEnd w:id="7"/>
      <w:r>
        <w:rPr>
          <w:rFonts w:hint="eastAsia" w:ascii="Times New Roman" w:hAnsi="Times New Roman" w:eastAsia="仿宋_GB2312" w:cs="Times New Roman"/>
          <w:snapToGrid/>
          <w:color w:val="auto"/>
          <w:kern w:val="2"/>
          <w:sz w:val="32"/>
          <w:szCs w:val="32"/>
          <w:highlight w:val="none"/>
          <w:u w:val="none"/>
          <w:lang w:eastAsia="zh-CN"/>
        </w:rPr>
        <w:t xml:space="preserve">  </w:t>
      </w:r>
      <w:r>
        <w:rPr>
          <w:rFonts w:hint="eastAsia" w:ascii="Times New Roman" w:hAnsi="Times New Roman" w:eastAsia="仿宋_GB2312" w:cs="Times New Roman"/>
          <w:snapToGrid/>
          <w:color w:val="auto"/>
          <w:kern w:val="2"/>
          <w:sz w:val="32"/>
          <w:szCs w:val="32"/>
          <w:highlight w:val="none"/>
          <w:u w:val="none"/>
          <w:lang w:val="en-US" w:eastAsia="zh-CN" w:bidi="ar-SA"/>
        </w:rPr>
        <w:t>征收农村集体土地，以征地补偿安置方案公告时间为节点确定需纳入养老保障等社会保障体系的安置对象。</w:t>
      </w:r>
    </w:p>
    <w:p w14:paraId="4880FE7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trike/>
          <w:dstrike w:val="0"/>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第十六条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被征地集体经济组织按“人地对应”原则，由被征地的</w:t>
      </w:r>
      <w:r>
        <w:rPr>
          <w:rFonts w:hint="eastAsia" w:ascii="Times New Roman" w:hAnsi="Times New Roman" w:eastAsia="仿宋_GB2312" w:cs="Times New Roman"/>
          <w:snapToGrid/>
          <w:color w:val="auto"/>
          <w:kern w:val="2"/>
          <w:sz w:val="32"/>
          <w:szCs w:val="32"/>
          <w:highlight w:val="none"/>
          <w:u w:val="none"/>
          <w:lang w:val="en-US" w:eastAsia="zh-CN"/>
        </w:rPr>
        <w:t>农村集体经济组织或者村民委员会依法提出纳入基本养老等社会保障体系的人员名单，报乡镇人民政府。乡镇人民政府对名单进行审核后报县自然资源局审核，无异议返回乡镇公示后再报县自然资源局，县自然资源局会同县人社局等单位核定，并报县人民政府审定。</w:t>
      </w:r>
    </w:p>
    <w:p w14:paraId="4CDF63A3">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第十七条  下列人员应认定为享有补偿安置权利的</w:t>
      </w:r>
      <w:bookmarkStart w:id="8" w:name="OLE_LINK26"/>
      <w:r>
        <w:rPr>
          <w:rFonts w:hint="eastAsia" w:ascii="Times New Roman" w:hAnsi="Times New Roman" w:eastAsia="仿宋_GB2312" w:cs="Times New Roman"/>
          <w:snapToGrid/>
          <w:color w:val="auto"/>
          <w:kern w:val="2"/>
          <w:sz w:val="32"/>
          <w:szCs w:val="32"/>
          <w:highlight w:val="none"/>
          <w:u w:val="none"/>
          <w:lang w:eastAsia="zh-CN"/>
        </w:rPr>
        <w:t>集体经济组织成员</w:t>
      </w:r>
      <w:bookmarkEnd w:id="8"/>
      <w:r>
        <w:rPr>
          <w:rFonts w:hint="eastAsia" w:ascii="Times New Roman" w:hAnsi="Times New Roman" w:eastAsia="仿宋_GB2312" w:cs="Times New Roman"/>
          <w:snapToGrid/>
          <w:color w:val="auto"/>
          <w:kern w:val="2"/>
          <w:sz w:val="32"/>
          <w:szCs w:val="32"/>
          <w:highlight w:val="none"/>
          <w:u w:val="none"/>
          <w:lang w:eastAsia="zh-CN"/>
        </w:rPr>
        <w:t>：</w:t>
      </w:r>
    </w:p>
    <w:p w14:paraId="1B541CE1">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（一）</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户口在本集体经济组织且有土地承包经营权的常住人员及其依法婚嫁、新生登记入户的人员；</w:t>
      </w:r>
    </w:p>
    <w:p w14:paraId="08027D30">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（二）</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原户口在本集体经济组织且有土地承包经营权的现役军士和</w:t>
      </w:r>
      <w:bookmarkStart w:id="9" w:name="OLE_LINK6"/>
      <w:r>
        <w:rPr>
          <w:rFonts w:hint="eastAsia" w:ascii="Times New Roman" w:hAnsi="Times New Roman" w:eastAsia="仿宋_GB2312" w:cs="Times New Roman"/>
          <w:snapToGrid/>
          <w:color w:val="auto"/>
          <w:kern w:val="2"/>
          <w:sz w:val="32"/>
          <w:szCs w:val="32"/>
          <w:highlight w:val="none"/>
          <w:u w:val="none"/>
          <w:lang w:eastAsia="zh-CN"/>
        </w:rPr>
        <w:t>义务兵</w:t>
      </w:r>
      <w:bookmarkEnd w:id="9"/>
      <w:r>
        <w:rPr>
          <w:rFonts w:hint="eastAsia" w:ascii="Times New Roman" w:hAnsi="Times New Roman" w:eastAsia="仿宋_GB2312" w:cs="Times New Roman"/>
          <w:snapToGrid/>
          <w:color w:val="auto"/>
          <w:kern w:val="2"/>
          <w:sz w:val="32"/>
          <w:szCs w:val="32"/>
          <w:highlight w:val="none"/>
          <w:u w:val="none"/>
          <w:lang w:eastAsia="zh-CN"/>
        </w:rPr>
        <w:t>、自主就业回原籍的军士和义务兵、大中专院校及以上在校学生和服刑人员（服刑人员不进入企业职工养老保险安置）；</w:t>
      </w:r>
    </w:p>
    <w:p w14:paraId="728D4281">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（三）</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原户口在本集体经济组织通过买户口、</w:t>
      </w:r>
      <w:bookmarkStart w:id="10" w:name="OLE_LINK27"/>
      <w:r>
        <w:rPr>
          <w:rFonts w:hint="eastAsia" w:ascii="Times New Roman" w:hAnsi="Times New Roman" w:eastAsia="仿宋_GB2312" w:cs="Times New Roman"/>
          <w:snapToGrid/>
          <w:color w:val="auto"/>
          <w:kern w:val="2"/>
          <w:sz w:val="32"/>
          <w:szCs w:val="32"/>
          <w:highlight w:val="none"/>
          <w:u w:val="none"/>
          <w:lang w:eastAsia="zh-CN"/>
        </w:rPr>
        <w:t>购房</w:t>
      </w:r>
      <w:bookmarkEnd w:id="10"/>
      <w:r>
        <w:rPr>
          <w:rFonts w:hint="eastAsia" w:ascii="Times New Roman" w:hAnsi="Times New Roman" w:eastAsia="仿宋_GB2312" w:cs="Times New Roman"/>
          <w:snapToGrid/>
          <w:color w:val="auto"/>
          <w:kern w:val="2"/>
          <w:sz w:val="32"/>
          <w:szCs w:val="32"/>
          <w:highlight w:val="none"/>
          <w:u w:val="none"/>
          <w:lang w:eastAsia="zh-CN"/>
        </w:rPr>
        <w:t>、购买养老保险和就读</w:t>
      </w:r>
      <w:bookmarkStart w:id="11" w:name="OLE_LINK28"/>
      <w:r>
        <w:rPr>
          <w:rFonts w:hint="eastAsia" w:ascii="Times New Roman" w:hAnsi="Times New Roman" w:eastAsia="仿宋_GB2312" w:cs="Times New Roman"/>
          <w:snapToGrid/>
          <w:color w:val="auto"/>
          <w:kern w:val="2"/>
          <w:sz w:val="32"/>
          <w:szCs w:val="32"/>
          <w:highlight w:val="none"/>
          <w:u w:val="none"/>
          <w:lang w:eastAsia="zh-CN"/>
        </w:rPr>
        <w:t>大中专</w:t>
      </w:r>
      <w:bookmarkEnd w:id="11"/>
      <w:r>
        <w:rPr>
          <w:rFonts w:hint="eastAsia" w:ascii="Times New Roman" w:hAnsi="Times New Roman" w:eastAsia="仿宋_GB2312" w:cs="Times New Roman"/>
          <w:snapToGrid/>
          <w:color w:val="auto"/>
          <w:kern w:val="2"/>
          <w:sz w:val="32"/>
          <w:szCs w:val="32"/>
          <w:highlight w:val="none"/>
          <w:u w:val="none"/>
          <w:lang w:eastAsia="zh-CN"/>
        </w:rPr>
        <w:t>以上院校已转为城镇居民户口的人员，在本集体经济组织仍有土地承包经营权并承担义务的人员。</w:t>
      </w:r>
    </w:p>
    <w:p w14:paraId="7012D95E">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（四）</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符合法律法规和政策规定应当列入的其他人员。</w:t>
      </w:r>
    </w:p>
    <w:p w14:paraId="2F4965BE">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第十八条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下列人员不得认定为享有补偿安置权利的集体经济组织成员：</w:t>
      </w:r>
    </w:p>
    <w:p w14:paraId="4CBF4523">
      <w:pPr>
        <w:widowControl w:val="0"/>
        <w:numPr>
          <w:ilvl w:val="0"/>
          <w:numId w:val="3"/>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享受过征地补偿安置的人员；</w:t>
      </w:r>
    </w:p>
    <w:p w14:paraId="51E2151B">
      <w:pPr>
        <w:widowControl w:val="0"/>
        <w:numPr>
          <w:ilvl w:val="0"/>
          <w:numId w:val="3"/>
        </w:numPr>
        <w:kinsoku/>
        <w:autoSpaceDE/>
        <w:autoSpaceDN/>
        <w:adjustRightInd/>
        <w:snapToGrid/>
        <w:spacing w:line="580" w:lineRule="exact"/>
        <w:ind w:left="0" w:lef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依法婚嫁及其他人员入户时，原户口不属农村集体经济组织成员；</w:t>
      </w:r>
    </w:p>
    <w:p w14:paraId="59BA82E3">
      <w:pPr>
        <w:widowControl w:val="0"/>
        <w:numPr>
          <w:ilvl w:val="0"/>
          <w:numId w:val="3"/>
        </w:numPr>
        <w:kinsoku/>
        <w:autoSpaceDE/>
        <w:autoSpaceDN/>
        <w:adjustRightInd/>
        <w:snapToGrid/>
        <w:spacing w:line="580" w:lineRule="exact"/>
        <w:ind w:left="0" w:lef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党政机关、事业单位、国有企业人员；转业、自主择业、退休军官，政府安排工作的军士和义务兵，退休军士；</w:t>
      </w:r>
    </w:p>
    <w:p w14:paraId="3B036CDA">
      <w:pPr>
        <w:widowControl w:val="0"/>
        <w:numPr>
          <w:ilvl w:val="0"/>
          <w:numId w:val="3"/>
        </w:numPr>
        <w:kinsoku/>
        <w:autoSpaceDE/>
        <w:autoSpaceDN/>
        <w:adjustRightInd/>
        <w:snapToGrid/>
        <w:spacing w:line="580" w:lineRule="exact"/>
        <w:ind w:left="0" w:lef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法律法规规定不能列入的其他人员。</w:t>
      </w:r>
    </w:p>
    <w:p w14:paraId="68FA49E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trike w:val="0"/>
          <w:dstrike w:val="0"/>
          <w:snapToGrid/>
          <w:color w:val="auto"/>
          <w:kern w:val="2"/>
          <w:sz w:val="32"/>
          <w:szCs w:val="32"/>
          <w:highlight w:val="none"/>
          <w:u w:val="none"/>
          <w:lang w:val="en-US" w:eastAsia="zh-CN"/>
        </w:rPr>
        <w:t xml:space="preserve">第十九条  </w:t>
      </w:r>
      <w:r>
        <w:rPr>
          <w:rFonts w:hint="eastAsia" w:ascii="Times New Roman" w:hAnsi="Times New Roman" w:eastAsia="仿宋_GB2312" w:cs="Times New Roman"/>
          <w:snapToGrid/>
          <w:color w:val="auto"/>
          <w:kern w:val="2"/>
          <w:sz w:val="32"/>
          <w:szCs w:val="32"/>
          <w:highlight w:val="none"/>
          <w:u w:val="none"/>
          <w:lang w:eastAsia="zh-CN"/>
        </w:rPr>
        <w:t>征收土地申请经依法批准后，县人民政府自收到批准文件之日起十五个工作日内在拟征收土地所在的乡（镇）、村、村民小组范围内发布征收土地公告，公布征收范围、补偿标准、安置方式以及征收时间等具体工作安排，公告时间不少于</w:t>
      </w:r>
      <w:r>
        <w:rPr>
          <w:rFonts w:hint="eastAsia" w:ascii="Times New Roman" w:hAnsi="Times New Roman" w:eastAsia="仿宋_GB2312" w:cs="Times New Roman"/>
          <w:snapToGrid/>
          <w:color w:val="auto"/>
          <w:kern w:val="2"/>
          <w:sz w:val="32"/>
          <w:szCs w:val="32"/>
          <w:highlight w:val="none"/>
          <w:u w:val="none"/>
          <w:lang w:val="en-US" w:eastAsia="zh-CN"/>
        </w:rPr>
        <w:t>三十</w:t>
      </w:r>
      <w:r>
        <w:rPr>
          <w:rFonts w:hint="eastAsia" w:ascii="Times New Roman" w:hAnsi="Times New Roman" w:eastAsia="仿宋_GB2312" w:cs="Times New Roman"/>
          <w:snapToGrid/>
          <w:color w:val="auto"/>
          <w:kern w:val="2"/>
          <w:sz w:val="32"/>
          <w:szCs w:val="32"/>
          <w:highlight w:val="none"/>
          <w:u w:val="none"/>
          <w:lang w:eastAsia="zh-CN"/>
        </w:rPr>
        <w:t>日。</w:t>
      </w:r>
    </w:p>
    <w:p w14:paraId="4D2A2A7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县人民政府自</w:t>
      </w:r>
      <w:bookmarkStart w:id="12" w:name="OLE_LINK22"/>
      <w:r>
        <w:rPr>
          <w:rFonts w:hint="eastAsia" w:ascii="Times New Roman" w:hAnsi="Times New Roman" w:eastAsia="仿宋_GB2312" w:cs="Times New Roman"/>
          <w:snapToGrid/>
          <w:color w:val="auto"/>
          <w:kern w:val="2"/>
          <w:sz w:val="32"/>
          <w:szCs w:val="32"/>
          <w:highlight w:val="none"/>
          <w:u w:val="none"/>
          <w:lang w:eastAsia="zh-CN"/>
        </w:rPr>
        <w:t>征</w:t>
      </w:r>
      <w:bookmarkStart w:id="13" w:name="OLE_LINK30"/>
      <w:r>
        <w:rPr>
          <w:rFonts w:hint="eastAsia" w:ascii="Times New Roman" w:hAnsi="Times New Roman" w:eastAsia="仿宋_GB2312" w:cs="Times New Roman"/>
          <w:snapToGrid/>
          <w:color w:val="auto"/>
          <w:kern w:val="2"/>
          <w:sz w:val="32"/>
          <w:szCs w:val="32"/>
          <w:highlight w:val="none"/>
          <w:u w:val="none"/>
          <w:lang w:eastAsia="zh-CN"/>
        </w:rPr>
        <w:t>收土地公告</w:t>
      </w:r>
      <w:bookmarkEnd w:id="12"/>
      <w:r>
        <w:rPr>
          <w:rFonts w:hint="eastAsia" w:ascii="Times New Roman" w:hAnsi="Times New Roman" w:eastAsia="仿宋_GB2312" w:cs="Times New Roman"/>
          <w:snapToGrid/>
          <w:color w:val="auto"/>
          <w:kern w:val="2"/>
          <w:sz w:val="32"/>
          <w:szCs w:val="32"/>
          <w:highlight w:val="none"/>
          <w:u w:val="none"/>
          <w:lang w:eastAsia="zh-CN"/>
        </w:rPr>
        <w:t>发布之日起</w:t>
      </w:r>
      <w:bookmarkEnd w:id="13"/>
      <w:r>
        <w:rPr>
          <w:rFonts w:hint="eastAsia" w:ascii="Times New Roman" w:hAnsi="Times New Roman" w:eastAsia="仿宋_GB2312" w:cs="Times New Roman"/>
          <w:snapToGrid/>
          <w:color w:val="auto"/>
          <w:kern w:val="2"/>
          <w:sz w:val="32"/>
          <w:szCs w:val="32"/>
          <w:highlight w:val="none"/>
          <w:u w:val="none"/>
          <w:lang w:val="en-US" w:eastAsia="zh-CN"/>
        </w:rPr>
        <w:t>九十</w:t>
      </w:r>
      <w:r>
        <w:rPr>
          <w:rFonts w:hint="eastAsia" w:ascii="Times New Roman" w:hAnsi="Times New Roman" w:eastAsia="仿宋_GB2312" w:cs="Times New Roman"/>
          <w:snapToGrid/>
          <w:color w:val="auto"/>
          <w:kern w:val="2"/>
          <w:sz w:val="32"/>
          <w:szCs w:val="32"/>
          <w:highlight w:val="none"/>
          <w:u w:val="none"/>
          <w:lang w:eastAsia="zh-CN"/>
        </w:rPr>
        <w:t>日内，全额支付征收土地的各项补偿、补助费用，并依法组织实施征地补偿、人员安置与住房安置等工作。</w:t>
      </w:r>
    </w:p>
    <w:p w14:paraId="4D4B98A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个别确实难以达成征地补偿安置协议的被征收土地的所有权人、使用权人，县人民政府作出征地</w:t>
      </w:r>
      <w:bookmarkStart w:id="14" w:name="OLE_LINK14"/>
      <w:r>
        <w:rPr>
          <w:rFonts w:hint="eastAsia" w:ascii="Times New Roman" w:hAnsi="Times New Roman" w:eastAsia="仿宋_GB2312" w:cs="Times New Roman"/>
          <w:snapToGrid/>
          <w:color w:val="auto"/>
          <w:kern w:val="2"/>
          <w:sz w:val="32"/>
          <w:szCs w:val="32"/>
          <w:highlight w:val="none"/>
          <w:u w:val="none"/>
          <w:lang w:eastAsia="zh-CN"/>
        </w:rPr>
        <w:t>补偿安置决定</w:t>
      </w:r>
      <w:bookmarkEnd w:id="14"/>
      <w:r>
        <w:rPr>
          <w:rFonts w:hint="eastAsia" w:ascii="Times New Roman" w:hAnsi="Times New Roman" w:eastAsia="仿宋_GB2312" w:cs="Times New Roman"/>
          <w:snapToGrid/>
          <w:color w:val="auto"/>
          <w:kern w:val="2"/>
          <w:sz w:val="32"/>
          <w:szCs w:val="32"/>
          <w:highlight w:val="none"/>
          <w:u w:val="none"/>
          <w:lang w:eastAsia="zh-CN"/>
        </w:rPr>
        <w:t>，并</w:t>
      </w:r>
      <w:bookmarkStart w:id="15" w:name="OLE_LINK15"/>
      <w:r>
        <w:rPr>
          <w:rFonts w:hint="eastAsia" w:ascii="Times New Roman" w:hAnsi="Times New Roman" w:eastAsia="仿宋_GB2312" w:cs="Times New Roman"/>
          <w:snapToGrid/>
          <w:color w:val="auto"/>
          <w:kern w:val="2"/>
          <w:sz w:val="32"/>
          <w:szCs w:val="32"/>
          <w:highlight w:val="none"/>
          <w:u w:val="none"/>
          <w:lang w:eastAsia="zh-CN"/>
        </w:rPr>
        <w:t>依法送达</w:t>
      </w:r>
      <w:bookmarkEnd w:id="15"/>
      <w:r>
        <w:rPr>
          <w:rFonts w:hint="eastAsia" w:ascii="Times New Roman" w:hAnsi="Times New Roman" w:eastAsia="仿宋_GB2312" w:cs="Times New Roman"/>
          <w:snapToGrid/>
          <w:color w:val="auto"/>
          <w:kern w:val="2"/>
          <w:sz w:val="32"/>
          <w:szCs w:val="32"/>
          <w:highlight w:val="none"/>
          <w:u w:val="none"/>
          <w:lang w:eastAsia="zh-CN"/>
        </w:rPr>
        <w:t>。</w:t>
      </w:r>
    </w:p>
    <w:p w14:paraId="4EAA2D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bookmarkStart w:id="16" w:name="OLE_LINK31"/>
      <w:r>
        <w:rPr>
          <w:rFonts w:hint="eastAsia" w:ascii="Times New Roman" w:hAnsi="Times New Roman" w:eastAsia="仿宋_GB2312" w:cs="Times New Roman"/>
          <w:snapToGrid/>
          <w:color w:val="auto"/>
          <w:kern w:val="2"/>
          <w:sz w:val="32"/>
          <w:szCs w:val="32"/>
          <w:highlight w:val="none"/>
          <w:u w:val="none"/>
          <w:lang w:eastAsia="zh-CN"/>
        </w:rPr>
        <w:t>征地补偿安置决定</w:t>
      </w:r>
      <w:bookmarkEnd w:id="16"/>
      <w:r>
        <w:rPr>
          <w:rFonts w:hint="eastAsia" w:ascii="Times New Roman" w:hAnsi="Times New Roman" w:eastAsia="仿宋_GB2312" w:cs="Times New Roman"/>
          <w:snapToGrid/>
          <w:color w:val="auto"/>
          <w:kern w:val="2"/>
          <w:sz w:val="32"/>
          <w:szCs w:val="32"/>
          <w:highlight w:val="none"/>
          <w:u w:val="none"/>
          <w:lang w:eastAsia="zh-CN"/>
        </w:rPr>
        <w:t>包括集体土地征收基本情况、应当执行的补偿安置政策和标准、相关权利人的调查登记情况、争议的主要事实和理由、具体的补偿安置方案、腾退土地和房屋期限、救济途径等内容。</w:t>
      </w:r>
    </w:p>
    <w:p w14:paraId="3343C5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u w:val="none"/>
          <w:lang w:val="en-US" w:eastAsia="zh-CN"/>
        </w:rPr>
      </w:pPr>
      <w:r>
        <w:rPr>
          <w:rFonts w:hint="eastAsia" w:ascii="Times New Roman" w:hAnsi="Times New Roman" w:eastAsia="仿宋_GB2312" w:cs="Times New Roman"/>
          <w:snapToGrid/>
          <w:color w:val="auto"/>
          <w:kern w:val="2"/>
          <w:sz w:val="32"/>
          <w:szCs w:val="32"/>
          <w:highlight w:val="none"/>
          <w:u w:val="none"/>
          <w:lang w:val="en-US" w:eastAsia="zh-CN"/>
        </w:rPr>
        <w:t>土地征收经依法批准，并实施补偿、安置后，已签订征地补偿安置协议的被征收土地所有权人、使用权人未按照协议约定履行腾退土地和房屋的义务，经催告后仍不履行的，县人民政府可以作出要求履行协议的书面决定。土地所有权人、使用权人在该书面决定规定的期限内</w:t>
      </w:r>
      <w:bookmarkStart w:id="17" w:name="OLE_LINK32"/>
      <w:r>
        <w:rPr>
          <w:rFonts w:hint="eastAsia" w:ascii="Times New Roman" w:hAnsi="Times New Roman" w:eastAsia="仿宋_GB2312" w:cs="Times New Roman"/>
          <w:snapToGrid/>
          <w:color w:val="auto"/>
          <w:kern w:val="2"/>
          <w:sz w:val="32"/>
          <w:szCs w:val="32"/>
          <w:highlight w:val="none"/>
          <w:u w:val="none"/>
          <w:lang w:val="en-US" w:eastAsia="zh-CN"/>
        </w:rPr>
        <w:t>不腾退土地和房屋</w:t>
      </w:r>
      <w:bookmarkEnd w:id="17"/>
      <w:r>
        <w:rPr>
          <w:rFonts w:hint="eastAsia" w:ascii="Times New Roman" w:hAnsi="Times New Roman" w:eastAsia="仿宋_GB2312" w:cs="Times New Roman"/>
          <w:snapToGrid/>
          <w:color w:val="auto"/>
          <w:kern w:val="2"/>
          <w:sz w:val="32"/>
          <w:szCs w:val="32"/>
          <w:highlight w:val="none"/>
          <w:u w:val="none"/>
          <w:lang w:val="en-US" w:eastAsia="zh-CN"/>
        </w:rPr>
        <w:t>，也不在法定期限内申请行政复议或者提起行政诉讼的，县人民政府依法申请人民法院强制执行。未达成征地补偿安置协议的被征收土地所有权人、使用权人在征地补偿安置决定规定的期限内不腾退土地和房屋，也不在法定期限内申请行政复议或者提起行政诉讼，经催告后仍未履行的，由县人民政府依法申请人民法院强制执行。</w:t>
      </w:r>
    </w:p>
    <w:p w14:paraId="4C9F1122">
      <w:pPr>
        <w:widowControl w:val="0"/>
        <w:kinsoku/>
        <w:autoSpaceDE/>
        <w:autoSpaceDN/>
        <w:adjustRightInd/>
        <w:snapToGrid/>
        <w:spacing w:after="240" w:afterLines="100" w:line="580" w:lineRule="exact"/>
        <w:jc w:val="center"/>
        <w:textAlignment w:val="auto"/>
        <w:rPr>
          <w:rFonts w:hint="eastAsia" w:ascii="Times New Roman" w:hAnsi="Times New Roman" w:eastAsia="黑体" w:cs="Times New Roman"/>
          <w:snapToGrid/>
          <w:color w:val="auto"/>
          <w:kern w:val="2"/>
          <w:sz w:val="32"/>
          <w:szCs w:val="32"/>
          <w:highlight w:val="none"/>
          <w:u w:val="none"/>
          <w:lang w:eastAsia="zh-CN"/>
        </w:rPr>
      </w:pPr>
    </w:p>
    <w:p w14:paraId="00351F01">
      <w:pPr>
        <w:widowControl w:val="0"/>
        <w:kinsoku/>
        <w:autoSpaceDE/>
        <w:autoSpaceDN/>
        <w:adjustRightInd/>
        <w:snapToGrid/>
        <w:spacing w:after="240" w:afterLines="100" w:line="580" w:lineRule="exact"/>
        <w:jc w:val="center"/>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黑体" w:cs="Times New Roman"/>
          <w:snapToGrid/>
          <w:color w:val="auto"/>
          <w:kern w:val="2"/>
          <w:sz w:val="32"/>
          <w:szCs w:val="32"/>
          <w:highlight w:val="none"/>
          <w:u w:val="none"/>
          <w:lang w:eastAsia="zh-CN"/>
        </w:rPr>
        <w:t>第三章 拆迁补偿安置</w:t>
      </w:r>
    </w:p>
    <w:p w14:paraId="2CAC5098">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第二十条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自土地预征收公告发布之日起，在拟征地范围内</w:t>
      </w:r>
      <w:bookmarkStart w:id="18" w:name="OLE_LINK8"/>
      <w:r>
        <w:rPr>
          <w:rFonts w:hint="eastAsia" w:ascii="Times New Roman" w:hAnsi="Times New Roman" w:eastAsia="仿宋_GB2312" w:cs="Times New Roman"/>
          <w:snapToGrid/>
          <w:color w:val="auto"/>
          <w:kern w:val="2"/>
          <w:sz w:val="32"/>
          <w:szCs w:val="32"/>
          <w:highlight w:val="none"/>
          <w:u w:val="none"/>
          <w:lang w:eastAsia="zh-CN"/>
        </w:rPr>
        <w:t>暂停办理</w:t>
      </w:r>
      <w:bookmarkEnd w:id="18"/>
      <w:r>
        <w:rPr>
          <w:rFonts w:hint="eastAsia" w:ascii="Times New Roman" w:hAnsi="Times New Roman" w:eastAsia="仿宋_GB2312" w:cs="Times New Roman"/>
          <w:snapToGrid/>
          <w:color w:val="auto"/>
          <w:kern w:val="2"/>
          <w:sz w:val="32"/>
          <w:szCs w:val="32"/>
          <w:highlight w:val="none"/>
          <w:u w:val="none"/>
          <w:lang w:eastAsia="zh-CN"/>
        </w:rPr>
        <w:t>下列事项：</w:t>
      </w:r>
    </w:p>
    <w:p w14:paraId="766E8BC8">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（一）</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审批宅基地和其他建设用地；</w:t>
      </w:r>
    </w:p>
    <w:p w14:paraId="197A3921">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（二）</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新建、改建、扩建及装饰装修房屋；</w:t>
      </w:r>
    </w:p>
    <w:p w14:paraId="4376D6FA">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（三）</w:t>
      </w:r>
      <w:r>
        <w:rPr>
          <w:rFonts w:hint="eastAsia" w:ascii="Times New Roman" w:hAnsi="Times New Roman" w:eastAsia="仿宋_GB2312" w:cs="Times New Roman"/>
          <w:snapToGrid/>
          <w:color w:val="auto"/>
          <w:kern w:val="2"/>
          <w:sz w:val="32"/>
          <w:szCs w:val="32"/>
          <w:highlight w:val="none"/>
          <w:u w:val="none"/>
          <w:lang w:val="en-US" w:eastAsia="zh-CN"/>
        </w:rPr>
        <w:t xml:space="preserve"> </w:t>
      </w:r>
      <w:bookmarkStart w:id="19" w:name="OLE_LINK33"/>
      <w:r>
        <w:rPr>
          <w:rFonts w:hint="eastAsia" w:ascii="Times New Roman" w:hAnsi="Times New Roman" w:eastAsia="仿宋_GB2312"/>
          <w:color w:val="auto"/>
          <w:sz w:val="32"/>
          <w:szCs w:val="32"/>
          <w:highlight w:val="none"/>
          <w:u w:val="none"/>
        </w:rPr>
        <w:t>办理入户和分户，但因出生、刑满释放、军人退役等按国家户籍管理规定必须入户、分户的除外；</w:t>
      </w:r>
      <w:bookmarkEnd w:id="19"/>
    </w:p>
    <w:p w14:paraId="215017A3">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（四）</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以拟被拆迁房屋为住址办理工商注册登记手续，核发工商营业执照；</w:t>
      </w:r>
    </w:p>
    <w:p w14:paraId="1BC457E8">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（五）</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土地流转备案；</w:t>
      </w:r>
    </w:p>
    <w:p w14:paraId="52821836">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（六）</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转让、互换、租赁房屋；</w:t>
      </w:r>
    </w:p>
    <w:p w14:paraId="4B4424FD">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（七）</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改变房屋和土地用途；</w:t>
      </w:r>
    </w:p>
    <w:p w14:paraId="2DA3840A">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（八）</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按照法律法规、规章和政策规定应当暂停办理的其他事项。</w:t>
      </w:r>
    </w:p>
    <w:p w14:paraId="2F4DFDD2">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擅自办理前款所列事项，拆迁补偿安置时一律不予认可。</w:t>
      </w:r>
    </w:p>
    <w:p w14:paraId="2ED1C937">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第二十一条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被拆迁人应当在规定的期限内，到拆迁人指定的地点办理拆迁</w:t>
      </w:r>
      <w:bookmarkStart w:id="20" w:name="OLE_LINK3"/>
      <w:r>
        <w:rPr>
          <w:rFonts w:hint="eastAsia" w:ascii="Times New Roman" w:hAnsi="Times New Roman" w:eastAsia="仿宋_GB2312" w:cs="Times New Roman"/>
          <w:snapToGrid/>
          <w:color w:val="auto"/>
          <w:kern w:val="2"/>
          <w:sz w:val="32"/>
          <w:szCs w:val="32"/>
          <w:highlight w:val="none"/>
          <w:u w:val="none"/>
          <w:lang w:eastAsia="zh-CN"/>
        </w:rPr>
        <w:t>补偿安置</w:t>
      </w:r>
      <w:bookmarkStart w:id="21" w:name="OLE_LINK13"/>
      <w:r>
        <w:rPr>
          <w:rFonts w:hint="eastAsia" w:ascii="Times New Roman" w:hAnsi="Times New Roman" w:eastAsia="仿宋_GB2312" w:cs="Times New Roman"/>
          <w:snapToGrid/>
          <w:color w:val="auto"/>
          <w:kern w:val="2"/>
          <w:sz w:val="32"/>
          <w:szCs w:val="32"/>
          <w:highlight w:val="none"/>
          <w:u w:val="none"/>
          <w:lang w:eastAsia="zh-CN"/>
        </w:rPr>
        <w:t>登记</w:t>
      </w:r>
      <w:bookmarkEnd w:id="21"/>
      <w:r>
        <w:rPr>
          <w:rFonts w:hint="eastAsia" w:ascii="Times New Roman" w:hAnsi="Times New Roman" w:eastAsia="仿宋_GB2312" w:cs="Times New Roman"/>
          <w:snapToGrid/>
          <w:color w:val="auto"/>
          <w:kern w:val="2"/>
          <w:sz w:val="32"/>
          <w:szCs w:val="32"/>
          <w:highlight w:val="none"/>
          <w:u w:val="none"/>
          <w:lang w:eastAsia="zh-CN"/>
        </w:rPr>
        <w:t>手续</w:t>
      </w:r>
      <w:bookmarkEnd w:id="20"/>
      <w:r>
        <w:rPr>
          <w:rFonts w:hint="eastAsia" w:ascii="Times New Roman" w:hAnsi="Times New Roman" w:eastAsia="仿宋_GB2312" w:cs="Times New Roman"/>
          <w:snapToGrid/>
          <w:color w:val="auto"/>
          <w:kern w:val="2"/>
          <w:sz w:val="32"/>
          <w:szCs w:val="32"/>
          <w:highlight w:val="none"/>
          <w:u w:val="none"/>
          <w:lang w:eastAsia="zh-CN"/>
        </w:rPr>
        <w:t>。</w:t>
      </w:r>
    </w:p>
    <w:p w14:paraId="1044C28F">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被拆迁人未按期办理拆迁补偿安置登记手续的，以拆迁人的</w:t>
      </w:r>
      <w:bookmarkStart w:id="22" w:name="OLE_LINK34"/>
      <w:r>
        <w:rPr>
          <w:rFonts w:hint="eastAsia" w:ascii="Times New Roman" w:hAnsi="Times New Roman" w:eastAsia="仿宋_GB2312" w:cs="Times New Roman"/>
          <w:snapToGrid/>
          <w:color w:val="auto"/>
          <w:kern w:val="2"/>
          <w:sz w:val="32"/>
          <w:szCs w:val="32"/>
          <w:highlight w:val="none"/>
          <w:u w:val="none"/>
          <w:lang w:eastAsia="zh-CN"/>
        </w:rPr>
        <w:t>调查结果为准</w:t>
      </w:r>
      <w:bookmarkEnd w:id="22"/>
      <w:r>
        <w:rPr>
          <w:rFonts w:hint="eastAsia" w:ascii="Times New Roman" w:hAnsi="Times New Roman" w:eastAsia="仿宋_GB2312" w:cs="Times New Roman"/>
          <w:snapToGrid/>
          <w:color w:val="auto"/>
          <w:kern w:val="2"/>
          <w:sz w:val="32"/>
          <w:szCs w:val="32"/>
          <w:highlight w:val="none"/>
          <w:u w:val="none"/>
          <w:lang w:eastAsia="zh-CN"/>
        </w:rPr>
        <w:t>进行拆迁补偿安置。</w:t>
      </w:r>
    </w:p>
    <w:p w14:paraId="7FFA054B">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被拆迁人是指在征地范围内被拆迁房屋的所有权人，拆迁人是指实施征地拆迁的单位。</w:t>
      </w:r>
    </w:p>
    <w:p w14:paraId="70D44154">
      <w:pPr>
        <w:widowControl w:val="0"/>
        <w:kinsoku/>
        <w:autoSpaceDE/>
        <w:autoSpaceDN/>
        <w:adjustRightInd/>
        <w:snapToGrid/>
        <w:spacing w:line="580" w:lineRule="exact"/>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第二十二条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被拆迁人应当与拆迁人在规定期限内签订拆迁补偿安置协议，并按期拆房、清场。超过规定期限未清场的建（构）筑物残值由拆迁人处理。</w:t>
      </w:r>
    </w:p>
    <w:p w14:paraId="218CAD02">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拆迁房屋有</w:t>
      </w:r>
      <w:bookmarkStart w:id="23" w:name="OLE_LINK35"/>
      <w:r>
        <w:rPr>
          <w:rFonts w:hint="eastAsia" w:ascii="Times New Roman" w:hAnsi="Times New Roman" w:eastAsia="仿宋_GB2312" w:cs="Times New Roman"/>
          <w:snapToGrid/>
          <w:color w:val="auto"/>
          <w:kern w:val="2"/>
          <w:sz w:val="32"/>
          <w:szCs w:val="32"/>
          <w:highlight w:val="none"/>
          <w:u w:val="none"/>
          <w:lang w:eastAsia="zh-CN"/>
        </w:rPr>
        <w:t>产权争议</w:t>
      </w:r>
      <w:bookmarkEnd w:id="23"/>
      <w:r>
        <w:rPr>
          <w:rFonts w:hint="eastAsia" w:ascii="Times New Roman" w:hAnsi="Times New Roman" w:eastAsia="仿宋_GB2312" w:cs="Times New Roman"/>
          <w:snapToGrid/>
          <w:color w:val="auto"/>
          <w:kern w:val="2"/>
          <w:sz w:val="32"/>
          <w:szCs w:val="32"/>
          <w:highlight w:val="none"/>
          <w:u w:val="none"/>
          <w:lang w:eastAsia="zh-CN"/>
        </w:rPr>
        <w:t>的，实行证据保全拆迁。</w:t>
      </w:r>
    </w:p>
    <w:p w14:paraId="4697DE98">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第二十三条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被拆迁人将房屋出租的，由租赁双方在拆迁期限内协商处理好租赁事宜，拆迁人只对被拆迁人实施补偿。</w:t>
      </w:r>
    </w:p>
    <w:p w14:paraId="3E325A0C">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第二十四条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征地拆迁补偿的建（构）筑物必须具有合法手续。所有违法违章的建（构）筑物和废弃的设施、住宅周围的自然道路、坎沟、天然石坎（坝）一律不予补偿。</w:t>
      </w:r>
    </w:p>
    <w:p w14:paraId="439DE92B">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集体土地上住房按一户一处宅基地的原则，只能有一处主体住房，主体住房以外的房屋为附属房屋。主体住房是指四面有稳固的围护结构、顶上有盖、层高在2.2米以上、有统一的主体结构、具备基本生活居住设施且用于居住和生活的房屋。楼房顶部的加层（含砖混、板房等各类型结构）、加棚，以及依附主体住房四周搭建的各类房屋，一律不得认定为主体住房。</w:t>
      </w:r>
    </w:p>
    <w:p w14:paraId="6CA01CA3">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第二十五条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被拆迁房屋的面积和类型由征地拆迁单位委托的有资质的房产测绘机构测绘确认。</w:t>
      </w:r>
    </w:p>
    <w:p w14:paraId="1A70A1C7">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第二十六条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拆迁农村村民合法房屋，拆迁人按照本办法第十二条之规定对被拆迁人予以补偿。</w:t>
      </w:r>
    </w:p>
    <w:p w14:paraId="5F2716E0">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第二十七条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bookmarkStart w:id="24" w:name="OLE_LINK17"/>
      <w:bookmarkStart w:id="25" w:name="OLE_LINK9"/>
      <w:r>
        <w:rPr>
          <w:rFonts w:hint="eastAsia" w:ascii="Times New Roman" w:hAnsi="Times New Roman" w:eastAsia="仿宋_GB2312" w:cs="Times New Roman"/>
          <w:snapToGrid/>
          <w:color w:val="auto"/>
          <w:kern w:val="2"/>
          <w:sz w:val="32"/>
          <w:szCs w:val="32"/>
          <w:highlight w:val="none"/>
          <w:u w:val="none"/>
          <w:lang w:eastAsia="zh-CN"/>
        </w:rPr>
        <w:t>拆迁安置对象</w:t>
      </w:r>
      <w:bookmarkEnd w:id="24"/>
      <w:r>
        <w:rPr>
          <w:rFonts w:hint="eastAsia" w:ascii="Times New Roman" w:hAnsi="Times New Roman" w:eastAsia="仿宋_GB2312" w:cs="Times New Roman"/>
          <w:snapToGrid/>
          <w:color w:val="auto"/>
          <w:kern w:val="2"/>
          <w:sz w:val="32"/>
          <w:szCs w:val="32"/>
          <w:highlight w:val="none"/>
          <w:u w:val="none"/>
          <w:lang w:eastAsia="zh-CN"/>
        </w:rPr>
        <w:t>是指，</w:t>
      </w:r>
      <w:bookmarkEnd w:id="25"/>
      <w:r>
        <w:rPr>
          <w:rFonts w:hint="eastAsia" w:ascii="Times New Roman" w:hAnsi="Times New Roman" w:eastAsia="仿宋_GB2312" w:cs="Times New Roman"/>
          <w:snapToGrid/>
          <w:color w:val="auto"/>
          <w:kern w:val="2"/>
          <w:sz w:val="32"/>
          <w:szCs w:val="32"/>
          <w:highlight w:val="none"/>
          <w:u w:val="none"/>
          <w:lang w:eastAsia="zh-CN"/>
        </w:rPr>
        <w:t>征收土地范围内在宅基地上有合法修建的房屋，且主体住房被拆除的农村集体经济组织成员。拆迁安置对象享受房屋拆迁安置政策，由县自然资源局会同乡镇人民政府、村组、辖区派出所负责拆迁安置对象的审核认定，并在被拆迁房屋所在地村组张榜公示，接受社会监督。</w:t>
      </w:r>
    </w:p>
    <w:p w14:paraId="589FCB9B">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第二十八条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住房在征地拆迁范围内被拆迁的，有下列情形之一的，可计入</w:t>
      </w:r>
      <w:bookmarkStart w:id="26" w:name="OLE_LINK16"/>
      <w:r>
        <w:rPr>
          <w:rFonts w:hint="eastAsia" w:ascii="Times New Roman" w:hAnsi="Times New Roman" w:eastAsia="仿宋_GB2312" w:cs="Times New Roman"/>
          <w:snapToGrid/>
          <w:color w:val="auto"/>
          <w:kern w:val="2"/>
          <w:sz w:val="32"/>
          <w:szCs w:val="32"/>
          <w:highlight w:val="none"/>
          <w:u w:val="none"/>
          <w:lang w:eastAsia="zh-CN"/>
        </w:rPr>
        <w:t>拆迁安置对象</w:t>
      </w:r>
      <w:bookmarkEnd w:id="26"/>
      <w:r>
        <w:rPr>
          <w:rFonts w:hint="eastAsia" w:ascii="Times New Roman" w:hAnsi="Times New Roman" w:eastAsia="仿宋_GB2312" w:cs="Times New Roman"/>
          <w:snapToGrid/>
          <w:color w:val="auto"/>
          <w:kern w:val="2"/>
          <w:sz w:val="32"/>
          <w:szCs w:val="32"/>
          <w:highlight w:val="none"/>
          <w:u w:val="none"/>
          <w:lang w:eastAsia="zh-CN"/>
        </w:rPr>
        <w:t>：</w:t>
      </w:r>
    </w:p>
    <w:p w14:paraId="65EF9D16">
      <w:pPr>
        <w:widowControl w:val="0"/>
        <w:numPr>
          <w:ilvl w:val="0"/>
          <w:numId w:val="4"/>
        </w:numPr>
        <w:kinsoku/>
        <w:autoSpaceDE/>
        <w:autoSpaceDN/>
        <w:adjustRightInd/>
        <w:snapToGrid/>
        <w:spacing w:line="580" w:lineRule="exact"/>
        <w:ind w:left="-10" w:leftChars="0" w:firstLine="640" w:firstLineChars="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常住户口在征地拆迁范围内，主体住房被拆迁的集体经济组织成员及其因依法婚嫁、生育而登记入户的人员</w:t>
      </w:r>
      <w:r>
        <w:rPr>
          <w:rFonts w:hint="eastAsia" w:ascii="Times New Roman" w:hAnsi="Times New Roman" w:eastAsia="仿宋_GB2312" w:cs="Times New Roman"/>
          <w:snapToGrid/>
          <w:color w:val="auto"/>
          <w:kern w:val="2"/>
          <w:sz w:val="32"/>
          <w:szCs w:val="32"/>
          <w:highlight w:val="none"/>
          <w:u w:val="none"/>
          <w:lang w:val="en-US" w:eastAsia="zh-CN"/>
        </w:rPr>
        <w:t>；</w:t>
      </w:r>
    </w:p>
    <w:p w14:paraId="71D0BE90">
      <w:pPr>
        <w:widowControl w:val="0"/>
        <w:numPr>
          <w:ilvl w:val="0"/>
          <w:numId w:val="4"/>
        </w:numPr>
        <w:kinsoku/>
        <w:autoSpaceDE/>
        <w:autoSpaceDN/>
        <w:adjustRightInd/>
        <w:snapToGrid/>
        <w:spacing w:line="580" w:lineRule="exact"/>
        <w:ind w:left="-10" w:leftChars="0" w:firstLine="640" w:firstLineChars="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原常住户口在拆迁地且有土地承包经营权的现役军士和义务兵；自主就业回原籍的军士和义务兵；</w:t>
      </w:r>
    </w:p>
    <w:p w14:paraId="04DD8C23">
      <w:pPr>
        <w:widowControl w:val="0"/>
        <w:numPr>
          <w:ilvl w:val="0"/>
          <w:numId w:val="4"/>
        </w:numPr>
        <w:kinsoku/>
        <w:autoSpaceDE/>
        <w:autoSpaceDN/>
        <w:adjustRightInd/>
        <w:snapToGrid/>
        <w:spacing w:line="580" w:lineRule="exact"/>
        <w:ind w:left="-10" w:leftChars="0" w:firstLine="640" w:firstLineChars="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原常住户口在拆迁地的大中专在校学生；</w:t>
      </w:r>
    </w:p>
    <w:p w14:paraId="306E17D8">
      <w:pPr>
        <w:widowControl w:val="0"/>
        <w:numPr>
          <w:ilvl w:val="0"/>
          <w:numId w:val="4"/>
        </w:numPr>
        <w:kinsoku/>
        <w:autoSpaceDE/>
        <w:autoSpaceDN/>
        <w:adjustRightInd/>
        <w:snapToGrid/>
        <w:spacing w:line="580" w:lineRule="exact"/>
        <w:ind w:left="-10" w:leftChars="0" w:firstLine="640" w:firstLineChars="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原常住户口在拆迁地的服刑人员；</w:t>
      </w:r>
    </w:p>
    <w:p w14:paraId="051EE525">
      <w:pPr>
        <w:widowControl w:val="0"/>
        <w:numPr>
          <w:ilvl w:val="0"/>
          <w:numId w:val="4"/>
        </w:numPr>
        <w:kinsoku/>
        <w:autoSpaceDE/>
        <w:autoSpaceDN/>
        <w:adjustRightInd/>
        <w:snapToGrid/>
        <w:spacing w:line="580" w:lineRule="exact"/>
        <w:ind w:left="-10" w:leftChars="0" w:firstLine="640" w:firstLineChars="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通过读书、购房、购买养老保险等，已转为城镇居民户口，但在本集体经济组织仍有承包土地的人员；</w:t>
      </w:r>
    </w:p>
    <w:p w14:paraId="4435E2E3">
      <w:pPr>
        <w:widowControl w:val="0"/>
        <w:numPr>
          <w:ilvl w:val="0"/>
          <w:numId w:val="4"/>
        </w:numPr>
        <w:kinsoku/>
        <w:autoSpaceDE/>
        <w:autoSpaceDN/>
        <w:adjustRightInd/>
        <w:snapToGrid/>
        <w:spacing w:line="580" w:lineRule="exact"/>
        <w:ind w:left="-10" w:leftChars="0" w:firstLine="640" w:firstLineChars="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未成年的继子女随父（母）迁入拆迁地的；</w:t>
      </w:r>
    </w:p>
    <w:p w14:paraId="048ECDAE">
      <w:pPr>
        <w:widowControl w:val="0"/>
        <w:numPr>
          <w:ilvl w:val="0"/>
          <w:numId w:val="4"/>
        </w:numPr>
        <w:kinsoku/>
        <w:autoSpaceDE/>
        <w:autoSpaceDN/>
        <w:adjustRightInd/>
        <w:snapToGrid/>
        <w:spacing w:line="580" w:lineRule="exact"/>
        <w:ind w:left="-10" w:leftChars="0" w:firstLine="640" w:firstLineChars="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因企业破产转制，回乡落户的下岗职工，在原单位未享受福利房、房改房、住房公积金，他处无住房，被拆迁房屋是其唯一住房的人员。</w:t>
      </w:r>
    </w:p>
    <w:p w14:paraId="15170744">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有下列情形之一的，不得计入安置对象：</w:t>
      </w:r>
    </w:p>
    <w:p w14:paraId="133A2270">
      <w:pPr>
        <w:widowControl w:val="0"/>
        <w:numPr>
          <w:ilvl w:val="0"/>
          <w:numId w:val="5"/>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没有承包地，不参与被征地集体经济组织分配的空挂人员；</w:t>
      </w:r>
    </w:p>
    <w:p w14:paraId="5BE353EE">
      <w:pPr>
        <w:widowControl w:val="0"/>
        <w:numPr>
          <w:ilvl w:val="0"/>
          <w:numId w:val="5"/>
        </w:numPr>
        <w:kinsoku/>
        <w:autoSpaceDE/>
        <w:autoSpaceDN/>
        <w:adjustRightInd/>
        <w:snapToGrid/>
        <w:spacing w:line="580" w:lineRule="exact"/>
        <w:ind w:left="0" w:lef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虽有常住户口，但系寄居、寄养、寄读的人员；</w:t>
      </w:r>
    </w:p>
    <w:p w14:paraId="433520A7">
      <w:pPr>
        <w:widowControl w:val="0"/>
        <w:numPr>
          <w:ilvl w:val="0"/>
          <w:numId w:val="5"/>
        </w:numPr>
        <w:kinsoku/>
        <w:autoSpaceDE/>
        <w:autoSpaceDN/>
        <w:adjustRightInd/>
        <w:snapToGrid/>
        <w:spacing w:line="580" w:lineRule="exact"/>
        <w:ind w:left="0" w:lef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因赡养关系，户口迁入被征地村组的岳父母（公婆）；</w:t>
      </w:r>
    </w:p>
    <w:p w14:paraId="15A0CA84">
      <w:pPr>
        <w:widowControl w:val="0"/>
        <w:numPr>
          <w:ilvl w:val="0"/>
          <w:numId w:val="6"/>
        </w:numPr>
        <w:kinsoku/>
        <w:autoSpaceDE/>
        <w:autoSpaceDN/>
        <w:adjustRightInd/>
        <w:snapToGrid/>
        <w:spacing w:line="580" w:lineRule="exact"/>
        <w:ind w:left="420" w:leftChars="0" w:firstLineChars="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已实施征地住房安置的人员；</w:t>
      </w:r>
    </w:p>
    <w:p w14:paraId="1B5F50C9">
      <w:pPr>
        <w:widowControl w:val="0"/>
        <w:numPr>
          <w:ilvl w:val="0"/>
          <w:numId w:val="6"/>
        </w:numPr>
        <w:kinsoku/>
        <w:autoSpaceDE/>
        <w:autoSpaceDN/>
        <w:adjustRightInd/>
        <w:snapToGrid/>
        <w:spacing w:line="580" w:lineRule="exact"/>
        <w:ind w:left="420" w:leftChars="0" w:firstLineChars="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党政机关、事业单位、国有企业人员；</w:t>
      </w:r>
    </w:p>
    <w:p w14:paraId="39FD7E4B">
      <w:pPr>
        <w:widowControl w:val="0"/>
        <w:numPr>
          <w:ilvl w:val="0"/>
          <w:numId w:val="0"/>
        </w:numPr>
        <w:kinsoku/>
        <w:autoSpaceDE/>
        <w:autoSpaceDN/>
        <w:adjustRightInd/>
        <w:snapToGrid/>
        <w:spacing w:line="580" w:lineRule="exact"/>
        <w:ind w:left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（六）法律法规规定不能列入的其他人员。</w:t>
      </w:r>
    </w:p>
    <w:p w14:paraId="056C23E4">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第二十九条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征收土地涉及农村村民住宅，应当按照先补偿后征收、户有所居、居住条件有改善的原则，尊重村民意愿，采取重</w:t>
      </w:r>
      <w:bookmarkStart w:id="27" w:name="OLE_LINK37"/>
      <w:r>
        <w:rPr>
          <w:rFonts w:hint="eastAsia" w:ascii="Times New Roman" w:hAnsi="Times New Roman" w:eastAsia="仿宋_GB2312" w:cs="Times New Roman"/>
          <w:snapToGrid/>
          <w:color w:val="auto"/>
          <w:kern w:val="2"/>
          <w:sz w:val="32"/>
          <w:szCs w:val="32"/>
          <w:highlight w:val="none"/>
          <w:u w:val="none"/>
          <w:lang w:eastAsia="zh-CN"/>
        </w:rPr>
        <w:t>新安排宅基地建房</w:t>
      </w:r>
      <w:bookmarkEnd w:id="27"/>
      <w:r>
        <w:rPr>
          <w:rFonts w:hint="eastAsia" w:ascii="Times New Roman" w:hAnsi="Times New Roman" w:eastAsia="仿宋_GB2312" w:cs="Times New Roman"/>
          <w:snapToGrid/>
          <w:color w:val="auto"/>
          <w:kern w:val="2"/>
          <w:sz w:val="32"/>
          <w:szCs w:val="32"/>
          <w:highlight w:val="none"/>
          <w:u w:val="none"/>
          <w:lang w:eastAsia="zh-CN"/>
        </w:rPr>
        <w:t>、实物安置或者货币补偿等方式给予公平、合理的补偿，并对因征收造成的搬家费、临时安置费等费用予以补偿，保障村民居住的权利和合法的住房财产权益，确保被征收后有一套人均不低于30m²住房。</w:t>
      </w:r>
    </w:p>
    <w:p w14:paraId="1A1B1D11">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（一）被征收人选择重新安排宅基地建房的，按照以下规定办理：</w:t>
      </w:r>
    </w:p>
    <w:p w14:paraId="2F498235">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trike w:val="0"/>
          <w:snapToGrid/>
          <w:color w:val="auto"/>
          <w:kern w:val="2"/>
          <w:sz w:val="32"/>
          <w:szCs w:val="32"/>
          <w:highlight w:val="none"/>
          <w:u w:val="none"/>
          <w:lang w:eastAsia="zh-CN"/>
        </w:rPr>
        <w:t>拟建住房必须符合国土空间规划，按照统规自建、统规统建以及</w:t>
      </w:r>
      <w:r>
        <w:rPr>
          <w:rFonts w:hint="eastAsia" w:ascii="Times New Roman" w:hAnsi="Times New Roman" w:eastAsia="仿宋_GB2312" w:cs="Times New Roman"/>
          <w:snapToGrid/>
          <w:color w:val="auto"/>
          <w:kern w:val="2"/>
          <w:sz w:val="32"/>
          <w:szCs w:val="32"/>
          <w:highlight w:val="none"/>
          <w:u w:val="none"/>
          <w:lang w:eastAsia="zh-CN"/>
        </w:rPr>
        <w:t>《四川省人民政府关于规范农村宅基地范围及面积标准的通告》（川府规〔2023〕4号）《乐山市农业农村局</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乐山市自然资源局 乐山市住房和城乡建设局关于建立健全农村村民建住房审批管理制度的指导意见》（乐农函〔2022〕1号）《峨边彝族自治县人民政府关于划定全县农村村民宅基地所属地域类型及确定民族自治地方宅基地面积标准的通告》（峨边府规〔202</w:t>
      </w:r>
      <w:r>
        <w:rPr>
          <w:rFonts w:hint="eastAsia" w:ascii="Times New Roman" w:hAnsi="Times New Roman" w:eastAsia="仿宋_GB2312" w:cs="Times New Roman"/>
          <w:snapToGrid/>
          <w:color w:val="auto"/>
          <w:kern w:val="2"/>
          <w:sz w:val="32"/>
          <w:szCs w:val="32"/>
          <w:highlight w:val="none"/>
          <w:u w:val="none"/>
          <w:lang w:val="en-US" w:eastAsia="zh-CN"/>
        </w:rPr>
        <w:t>4</w:t>
      </w:r>
      <w:r>
        <w:rPr>
          <w:rFonts w:hint="eastAsia" w:ascii="Times New Roman" w:hAnsi="Times New Roman" w:eastAsia="仿宋_GB2312" w:cs="Times New Roman"/>
          <w:snapToGrid/>
          <w:color w:val="auto"/>
          <w:kern w:val="2"/>
          <w:sz w:val="32"/>
          <w:szCs w:val="32"/>
          <w:highlight w:val="none"/>
          <w:u w:val="none"/>
          <w:lang w:eastAsia="zh-CN"/>
        </w:rPr>
        <w:t>〕</w:t>
      </w:r>
      <w:r>
        <w:rPr>
          <w:rFonts w:hint="eastAsia" w:ascii="Times New Roman" w:hAnsi="Times New Roman" w:eastAsia="仿宋_GB2312" w:cs="Times New Roman"/>
          <w:snapToGrid/>
          <w:color w:val="auto"/>
          <w:kern w:val="2"/>
          <w:sz w:val="32"/>
          <w:szCs w:val="32"/>
          <w:highlight w:val="none"/>
          <w:u w:val="none"/>
          <w:lang w:val="en-US" w:eastAsia="zh-CN"/>
        </w:rPr>
        <w:t>2</w:t>
      </w:r>
      <w:r>
        <w:rPr>
          <w:rFonts w:hint="eastAsia" w:ascii="Times New Roman" w:hAnsi="Times New Roman" w:eastAsia="仿宋_GB2312" w:cs="Times New Roman"/>
          <w:snapToGrid/>
          <w:color w:val="auto"/>
          <w:kern w:val="2"/>
          <w:sz w:val="32"/>
          <w:szCs w:val="32"/>
          <w:highlight w:val="none"/>
          <w:u w:val="none"/>
          <w:lang w:eastAsia="zh-CN"/>
        </w:rPr>
        <w:t>号）等有关规定执行。</w:t>
      </w:r>
    </w:p>
    <w:p w14:paraId="28651C22">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补偿费及支付方式：签订协议后，一次性支付人员搬迁补助费80元/人、物资设备运输费150元/人、物资设备损失补偿费50元/人、搬迁途中医疗补助费100元/人、搬迁误工费150元/人、搬迁保险费100元/人；房屋开工建设后，一次性支付被征收人建房补助费19500元/人；房屋建成并经实施单位验收合格后，一次性支付宅基地重置费10000元/人。原主体住房按房屋重置标准予以补偿。</w:t>
      </w:r>
    </w:p>
    <w:p w14:paraId="2C5006B0">
      <w:pPr>
        <w:widowControl w:val="0"/>
        <w:numPr>
          <w:ilvl w:val="0"/>
          <w:numId w:val="0"/>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val="en-US" w:eastAsia="zh-CN"/>
        </w:rPr>
        <w:t>（二）</w:t>
      </w:r>
      <w:r>
        <w:rPr>
          <w:rFonts w:hint="eastAsia" w:ascii="Times New Roman" w:hAnsi="Times New Roman" w:eastAsia="仿宋_GB2312" w:cs="Times New Roman"/>
          <w:snapToGrid/>
          <w:color w:val="auto"/>
          <w:kern w:val="2"/>
          <w:sz w:val="32"/>
          <w:szCs w:val="32"/>
          <w:highlight w:val="none"/>
          <w:u w:val="none"/>
          <w:lang w:eastAsia="zh-CN"/>
        </w:rPr>
        <w:t>被征收人选择实物安置的，按照以下规定办理：</w:t>
      </w:r>
    </w:p>
    <w:p w14:paraId="77241963">
      <w:pPr>
        <w:widowControl w:val="0"/>
        <w:numPr>
          <w:ilvl w:val="0"/>
          <w:numId w:val="0"/>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trike w:val="0"/>
          <w:snapToGrid/>
          <w:color w:val="auto"/>
          <w:kern w:val="2"/>
          <w:sz w:val="32"/>
          <w:szCs w:val="32"/>
          <w:highlight w:val="none"/>
          <w:u w:val="none"/>
          <w:lang w:eastAsia="zh-CN"/>
        </w:rPr>
        <w:t>实物安置房实行县域统筹、统一规划、就地就近、先到先得的原则，</w:t>
      </w:r>
      <w:r>
        <w:rPr>
          <w:rFonts w:hint="eastAsia" w:ascii="Times New Roman" w:hAnsi="Times New Roman" w:eastAsia="仿宋_GB2312" w:cs="Times New Roman"/>
          <w:snapToGrid/>
          <w:color w:val="auto"/>
          <w:kern w:val="2"/>
          <w:sz w:val="32"/>
          <w:szCs w:val="32"/>
          <w:highlight w:val="none"/>
          <w:u w:val="none"/>
          <w:lang w:eastAsia="zh-CN"/>
        </w:rPr>
        <w:t>由征收部门根据安置房源情况统一提供，被征收人根据签约情况按序选择。</w:t>
      </w:r>
    </w:p>
    <w:p w14:paraId="20C16979">
      <w:pPr>
        <w:widowControl w:val="0"/>
        <w:numPr>
          <w:ilvl w:val="0"/>
          <w:numId w:val="0"/>
        </w:numPr>
        <w:kinsoku/>
        <w:autoSpaceDE/>
        <w:autoSpaceDN/>
        <w:adjustRightInd/>
        <w:snapToGrid/>
        <w:spacing w:line="580" w:lineRule="exact"/>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以户为单位按每个安置人口30m²还房给被征收人，被征收人人均</w:t>
      </w:r>
      <w:r>
        <w:rPr>
          <w:rFonts w:hint="eastAsia" w:ascii="Times New Roman" w:hAnsi="Times New Roman" w:eastAsia="仿宋_GB2312" w:cs="Times New Roman"/>
          <w:snapToGrid/>
          <w:color w:val="auto"/>
          <w:kern w:val="2"/>
          <w:sz w:val="32"/>
          <w:szCs w:val="32"/>
          <w:highlight w:val="none"/>
          <w:u w:val="none"/>
          <w:lang w:val="en-US" w:eastAsia="zh-CN"/>
        </w:rPr>
        <w:t>30m²内不支付安置房购买费用，也不享受原房屋重置价补偿</w:t>
      </w:r>
      <w:r>
        <w:rPr>
          <w:rFonts w:hint="eastAsia" w:ascii="Times New Roman" w:hAnsi="Times New Roman" w:eastAsia="仿宋_GB2312" w:cs="Times New Roman"/>
          <w:snapToGrid/>
          <w:color w:val="auto"/>
          <w:kern w:val="2"/>
          <w:sz w:val="32"/>
          <w:szCs w:val="32"/>
          <w:highlight w:val="none"/>
          <w:u w:val="none"/>
          <w:lang w:eastAsia="zh-CN"/>
        </w:rPr>
        <w:t>。面积不足或超面积的部分按县住建部门核定的当期同区域、同地段市场价格，由征收部门和被征收人相互补差。</w:t>
      </w:r>
    </w:p>
    <w:p w14:paraId="238B9F2D">
      <w:pPr>
        <w:widowControl w:val="0"/>
        <w:numPr>
          <w:ilvl w:val="0"/>
          <w:numId w:val="0"/>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val="en-US" w:eastAsia="zh-CN"/>
        </w:rPr>
        <w:t>（三）</w:t>
      </w:r>
      <w:r>
        <w:rPr>
          <w:rFonts w:hint="eastAsia" w:ascii="Times New Roman" w:hAnsi="Times New Roman" w:eastAsia="仿宋_GB2312" w:cs="Times New Roman"/>
          <w:snapToGrid/>
          <w:color w:val="auto"/>
          <w:kern w:val="2"/>
          <w:sz w:val="32"/>
          <w:szCs w:val="32"/>
          <w:highlight w:val="none"/>
          <w:u w:val="none"/>
          <w:lang w:eastAsia="zh-CN"/>
        </w:rPr>
        <w:t>被征收人选择货币安置的，按照以下规定办理：</w:t>
      </w:r>
    </w:p>
    <w:p w14:paraId="6F44250F">
      <w:pPr>
        <w:widowControl w:val="0"/>
        <w:numPr>
          <w:ilvl w:val="0"/>
          <w:numId w:val="0"/>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对符合征收安置人员按照每个安置人口30m²，每m²3500元标准，一次性支付给被征收人。原主体房已补偿人均30m²的部分不再享受重置补偿，人均30m²以外部分按重置价格补偿。</w:t>
      </w:r>
    </w:p>
    <w:p w14:paraId="026BF766">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被征收人可以在自愿放弃集体经济组织成员、自愿放弃包括集体土地承包经营权等全部生产资料、自愿放弃全部社保安置的基础上，并经征收部门同意后，参照《</w:t>
      </w:r>
      <w:r>
        <w:rPr>
          <w:rFonts w:hint="eastAsia" w:ascii="Times New Roman" w:hAnsi="Times New Roman" w:eastAsia="仿宋_GB2312"/>
          <w:color w:val="auto"/>
          <w:sz w:val="32"/>
          <w:szCs w:val="32"/>
          <w:highlight w:val="none"/>
          <w:u w:val="none"/>
        </w:rPr>
        <w:t>峨边彝族自治县老城区棚户区（城中村）改造项目三期房屋征收补偿安置方案</w:t>
      </w:r>
      <w:r>
        <w:rPr>
          <w:rFonts w:hint="eastAsia" w:ascii="Times New Roman" w:hAnsi="Times New Roman" w:eastAsia="仿宋_GB2312" w:cs="Times New Roman"/>
          <w:snapToGrid/>
          <w:color w:val="auto"/>
          <w:kern w:val="2"/>
          <w:sz w:val="32"/>
          <w:szCs w:val="32"/>
          <w:highlight w:val="none"/>
          <w:u w:val="none"/>
          <w:lang w:eastAsia="zh-CN"/>
        </w:rPr>
        <w:t>》（峨边府常定〔</w:t>
      </w:r>
      <w:r>
        <w:rPr>
          <w:rFonts w:hint="eastAsia" w:ascii="Times New Roman" w:hAnsi="Times New Roman" w:eastAsia="仿宋_GB2312" w:cs="Times New Roman"/>
          <w:snapToGrid/>
          <w:color w:val="auto"/>
          <w:kern w:val="2"/>
          <w:sz w:val="32"/>
          <w:szCs w:val="32"/>
          <w:highlight w:val="none"/>
          <w:u w:val="none"/>
          <w:lang w:val="en-US" w:eastAsia="zh-CN"/>
        </w:rPr>
        <w:t>2022</w:t>
      </w:r>
      <w:r>
        <w:rPr>
          <w:rFonts w:hint="eastAsia" w:ascii="Times New Roman" w:hAnsi="Times New Roman" w:eastAsia="仿宋_GB2312" w:cs="Times New Roman"/>
          <w:snapToGrid/>
          <w:color w:val="auto"/>
          <w:kern w:val="2"/>
          <w:sz w:val="32"/>
          <w:szCs w:val="32"/>
          <w:highlight w:val="none"/>
          <w:u w:val="none"/>
          <w:lang w:eastAsia="zh-CN"/>
        </w:rPr>
        <w:t>〕</w:t>
      </w:r>
      <w:r>
        <w:rPr>
          <w:rFonts w:hint="eastAsia" w:ascii="Times New Roman" w:hAnsi="Times New Roman" w:eastAsia="仿宋_GB2312" w:cs="Times New Roman"/>
          <w:snapToGrid/>
          <w:color w:val="auto"/>
          <w:kern w:val="2"/>
          <w:sz w:val="32"/>
          <w:szCs w:val="32"/>
          <w:highlight w:val="none"/>
          <w:u w:val="none"/>
          <w:lang w:val="en-US" w:eastAsia="zh-CN"/>
        </w:rPr>
        <w:t>140</w:t>
      </w:r>
      <w:r>
        <w:rPr>
          <w:rFonts w:hint="eastAsia" w:ascii="Times New Roman" w:hAnsi="Times New Roman" w:eastAsia="仿宋_GB2312" w:cs="Times New Roman"/>
          <w:snapToGrid/>
          <w:color w:val="auto"/>
          <w:kern w:val="2"/>
          <w:sz w:val="32"/>
          <w:szCs w:val="32"/>
          <w:highlight w:val="none"/>
          <w:u w:val="none"/>
          <w:lang w:eastAsia="zh-CN"/>
        </w:rPr>
        <w:t>号）的政策执行。其中，主体房屋在3层及以上、人均建筑面积超过60m²或总建筑面积超过300m²，跨度6米以上的，须有合法的审批手续。不能提供合法手续的，主体住房在3层及以上、人均建筑面积超过60 m²或总建筑面积超过300m²的部分按照重置标准核算补偿价值。最终核算出来的补偿价值采取房票方式兑现。</w:t>
      </w:r>
    </w:p>
    <w:p w14:paraId="32E7D7AE">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第三十条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其他征收补偿：</w:t>
      </w:r>
    </w:p>
    <w:p w14:paraId="0EDE7E99">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val="en-US" w:eastAsia="zh-CN"/>
        </w:rPr>
      </w:pPr>
      <w:r>
        <w:rPr>
          <w:rFonts w:hint="eastAsia" w:ascii="Times New Roman" w:hAnsi="Times New Roman" w:eastAsia="仿宋_GB2312" w:cs="Times New Roman"/>
          <w:snapToGrid/>
          <w:color w:val="auto"/>
          <w:kern w:val="2"/>
          <w:sz w:val="32"/>
          <w:szCs w:val="32"/>
          <w:highlight w:val="none"/>
          <w:u w:val="none"/>
          <w:lang w:eastAsia="zh-CN"/>
        </w:rPr>
        <w:t>搬家费：按主体房建筑面积20元/m²的标准计发搬家费。主体住房面积</w:t>
      </w:r>
      <w:r>
        <w:rPr>
          <w:rFonts w:hint="eastAsia" w:ascii="Times New Roman" w:hAnsi="Times New Roman" w:eastAsia="仿宋_GB2312" w:cs="Times New Roman"/>
          <w:snapToGrid/>
          <w:color w:val="auto"/>
          <w:kern w:val="2"/>
          <w:sz w:val="32"/>
          <w:szCs w:val="32"/>
          <w:highlight w:val="none"/>
          <w:u w:val="none"/>
          <w:lang w:val="en-US" w:eastAsia="zh-CN"/>
        </w:rPr>
        <w:t>50</w:t>
      </w:r>
      <w:r>
        <w:rPr>
          <w:rFonts w:hint="eastAsia" w:ascii="Times New Roman" w:hAnsi="Times New Roman" w:eastAsia="仿宋_GB2312" w:cs="Times New Roman"/>
          <w:snapToGrid/>
          <w:color w:val="auto"/>
          <w:kern w:val="2"/>
          <w:sz w:val="32"/>
          <w:szCs w:val="32"/>
          <w:highlight w:val="none"/>
          <w:u w:val="none"/>
          <w:lang w:eastAsia="zh-CN"/>
        </w:rPr>
        <w:t>m²以上的，按20元/m²/次的标准计发，每户单次最高不超过3000元；主体住房面积低于</w:t>
      </w:r>
      <w:r>
        <w:rPr>
          <w:rFonts w:hint="eastAsia" w:ascii="Times New Roman" w:hAnsi="Times New Roman" w:eastAsia="仿宋_GB2312" w:cs="Times New Roman"/>
          <w:snapToGrid/>
          <w:color w:val="auto"/>
          <w:kern w:val="2"/>
          <w:sz w:val="32"/>
          <w:szCs w:val="32"/>
          <w:highlight w:val="none"/>
          <w:u w:val="none"/>
          <w:lang w:val="en-US" w:eastAsia="zh-CN"/>
        </w:rPr>
        <w:t>50</w:t>
      </w:r>
      <w:r>
        <w:rPr>
          <w:rFonts w:hint="eastAsia" w:ascii="Times New Roman" w:hAnsi="Times New Roman" w:eastAsia="仿宋_GB2312" w:cs="Times New Roman"/>
          <w:snapToGrid/>
          <w:color w:val="auto"/>
          <w:kern w:val="2"/>
          <w:sz w:val="32"/>
          <w:szCs w:val="32"/>
          <w:highlight w:val="none"/>
          <w:u w:val="none"/>
          <w:lang w:eastAsia="zh-CN"/>
        </w:rPr>
        <w:t>m²的按</w:t>
      </w:r>
      <w:r>
        <w:rPr>
          <w:rFonts w:hint="eastAsia" w:ascii="Times New Roman" w:hAnsi="Times New Roman" w:eastAsia="仿宋_GB2312" w:cs="Times New Roman"/>
          <w:snapToGrid/>
          <w:color w:val="auto"/>
          <w:kern w:val="2"/>
          <w:sz w:val="32"/>
          <w:szCs w:val="32"/>
          <w:highlight w:val="none"/>
          <w:u w:val="none"/>
          <w:lang w:val="en-US" w:eastAsia="zh-CN"/>
        </w:rPr>
        <w:t>50</w:t>
      </w:r>
      <w:r>
        <w:rPr>
          <w:rFonts w:hint="eastAsia" w:ascii="Times New Roman" w:hAnsi="Times New Roman" w:eastAsia="仿宋_GB2312" w:cs="Times New Roman"/>
          <w:snapToGrid/>
          <w:color w:val="auto"/>
          <w:kern w:val="2"/>
          <w:sz w:val="32"/>
          <w:szCs w:val="32"/>
          <w:highlight w:val="none"/>
          <w:u w:val="none"/>
          <w:lang w:eastAsia="zh-CN"/>
        </w:rPr>
        <w:t>m²计算，每户单次不超过</w:t>
      </w:r>
      <w:r>
        <w:rPr>
          <w:rFonts w:hint="eastAsia" w:ascii="Times New Roman" w:hAnsi="Times New Roman" w:eastAsia="仿宋_GB2312" w:cs="Times New Roman"/>
          <w:snapToGrid/>
          <w:color w:val="auto"/>
          <w:kern w:val="2"/>
          <w:sz w:val="32"/>
          <w:szCs w:val="32"/>
          <w:highlight w:val="none"/>
          <w:u w:val="none"/>
          <w:lang w:val="en-US" w:eastAsia="zh-CN"/>
        </w:rPr>
        <w:t>1000</w:t>
      </w:r>
      <w:r>
        <w:rPr>
          <w:rFonts w:hint="eastAsia" w:ascii="Times New Roman" w:hAnsi="Times New Roman" w:eastAsia="仿宋_GB2312" w:cs="Times New Roman"/>
          <w:snapToGrid/>
          <w:color w:val="auto"/>
          <w:kern w:val="2"/>
          <w:sz w:val="32"/>
          <w:szCs w:val="32"/>
          <w:highlight w:val="none"/>
          <w:u w:val="none"/>
          <w:lang w:eastAsia="zh-CN"/>
        </w:rPr>
        <w:t>元。选择自建安置、实物安置的计发2次，选择货币安置的计发1次。</w:t>
      </w:r>
    </w:p>
    <w:p w14:paraId="72F8BEC5">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临时安置费：被搬迁房屋为主体住房的以建筑面积8元/m²/月计算，由征收部门对被征收人发放临时安置费（过渡费），最高不超过1500元/月/户。选择自建安置、货币安置均按十二个月计发，选择实物安置的以交房公告日为截止日计发至次月，未逾三十六个月的按标准计发；超过三十六个月的，从第三十七个月起按每月每平方米再增加5元标准计发。附属房不计算过渡费，征收部门不提供临时安置房屋。</w:t>
      </w:r>
    </w:p>
    <w:p w14:paraId="5111850F">
      <w:pPr>
        <w:widowControl w:val="0"/>
        <w:numPr>
          <w:ilvl w:val="0"/>
          <w:numId w:val="7"/>
        </w:numPr>
        <w:kinsoku/>
        <w:autoSpaceDE/>
        <w:autoSpaceDN/>
        <w:adjustRightInd/>
        <w:snapToGrid/>
        <w:spacing w:line="580" w:lineRule="exact"/>
        <w:ind w:left="0" w:lef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停产停业损失补助：具有合法经营手续且经营年限在一年以上的，按生产经营性用房面积给予</w:t>
      </w:r>
      <w:r>
        <w:rPr>
          <w:rFonts w:hint="eastAsia" w:ascii="Times New Roman" w:hAnsi="Times New Roman" w:eastAsia="仿宋_GB2312" w:cs="Times New Roman"/>
          <w:strike w:val="0"/>
          <w:snapToGrid/>
          <w:color w:val="auto"/>
          <w:kern w:val="2"/>
          <w:sz w:val="32"/>
          <w:szCs w:val="32"/>
          <w:highlight w:val="none"/>
          <w:u w:val="none"/>
          <w:lang w:val="en-US" w:eastAsia="zh-CN"/>
        </w:rPr>
        <w:t>500</w:t>
      </w:r>
      <w:r>
        <w:rPr>
          <w:rFonts w:hint="eastAsia" w:ascii="Times New Roman" w:hAnsi="Times New Roman" w:eastAsia="仿宋_GB2312" w:cs="Times New Roman"/>
          <w:snapToGrid/>
          <w:color w:val="auto"/>
          <w:kern w:val="2"/>
          <w:sz w:val="32"/>
          <w:szCs w:val="32"/>
          <w:highlight w:val="none"/>
          <w:u w:val="none"/>
          <w:lang w:eastAsia="zh-CN"/>
        </w:rPr>
        <w:t>元/m²发放一次性停产停业损失补助。</w:t>
      </w:r>
    </w:p>
    <w:p w14:paraId="18B83231">
      <w:pPr>
        <w:widowControl w:val="0"/>
        <w:numPr>
          <w:ilvl w:val="0"/>
          <w:numId w:val="0"/>
        </w:numPr>
        <w:kinsoku/>
        <w:autoSpaceDE/>
        <w:autoSpaceDN/>
        <w:adjustRightInd/>
        <w:snapToGrid/>
        <w:spacing w:line="580" w:lineRule="exact"/>
        <w:jc w:val="both"/>
        <w:textAlignment w:val="auto"/>
        <w:rPr>
          <w:rFonts w:hint="eastAsia" w:ascii="Times New Roman" w:hAnsi="Times New Roman" w:eastAsia="仿宋_GB2312" w:cs="Times New Roman"/>
          <w:snapToGrid/>
          <w:color w:val="auto"/>
          <w:kern w:val="2"/>
          <w:sz w:val="32"/>
          <w:szCs w:val="32"/>
          <w:highlight w:val="none"/>
          <w:u w:val="none"/>
          <w:lang w:eastAsia="zh-CN"/>
        </w:rPr>
      </w:pPr>
    </w:p>
    <w:p w14:paraId="55DBFBED">
      <w:pPr>
        <w:widowControl w:val="0"/>
        <w:numPr>
          <w:ilvl w:val="0"/>
          <w:numId w:val="0"/>
        </w:numPr>
        <w:kinsoku/>
        <w:autoSpaceDE/>
        <w:autoSpaceDN/>
        <w:adjustRightInd/>
        <w:snapToGrid/>
        <w:spacing w:line="580" w:lineRule="exact"/>
        <w:jc w:val="both"/>
        <w:textAlignment w:val="auto"/>
        <w:rPr>
          <w:rFonts w:hint="eastAsia" w:ascii="Times New Roman" w:hAnsi="Times New Roman" w:eastAsia="仿宋_GB2312" w:cs="Times New Roman"/>
          <w:snapToGrid/>
          <w:color w:val="auto"/>
          <w:kern w:val="2"/>
          <w:sz w:val="32"/>
          <w:szCs w:val="32"/>
          <w:highlight w:val="none"/>
          <w:u w:val="none"/>
          <w:lang w:eastAsia="zh-CN"/>
        </w:rPr>
      </w:pPr>
    </w:p>
    <w:p w14:paraId="749D0E35">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（四）签约腾退奖励</w:t>
      </w:r>
    </w:p>
    <w:p w14:paraId="63CF7C20">
      <w:pPr>
        <w:widowControl w:val="0"/>
        <w:kinsoku/>
        <w:autoSpaceDE/>
        <w:autoSpaceDN/>
        <w:adjustRightInd/>
        <w:snapToGrid/>
        <w:spacing w:line="580" w:lineRule="exact"/>
        <w:ind w:firstLine="640"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1.实物和货币安置。在征收部门发布的签约公告规定的签约期限10日内签约的，按安置人口数×基本住房安置面积×200元/m²进行奖励，超出10日签约的不予奖励。奖励资金在完成房屋腾退后兑现。</w:t>
      </w:r>
    </w:p>
    <w:p w14:paraId="1FE0E383">
      <w:pPr>
        <w:widowControl w:val="0"/>
        <w:kinsoku/>
        <w:autoSpaceDE/>
        <w:autoSpaceDN/>
        <w:adjustRightInd/>
        <w:snapToGrid/>
        <w:spacing w:line="580" w:lineRule="exact"/>
        <w:ind w:firstLine="640" w:firstLineChars="200"/>
        <w:jc w:val="both"/>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仿宋_GB2312" w:hAnsi="仿宋_GB2312" w:eastAsia="仿宋_GB2312" w:cs="仿宋_GB2312"/>
          <w:color w:val="auto"/>
          <w:spacing w:val="0"/>
          <w:kern w:val="2"/>
          <w:sz w:val="32"/>
          <w:szCs w:val="32"/>
          <w:highlight w:val="none"/>
          <w:u w:val="none"/>
          <w:lang w:val="en-US" w:eastAsia="zh-CN" w:bidi="ar-SA"/>
        </w:rPr>
        <w:t>2.重新安排宅基地建房安置。选择此种方式安置的，在征收部门发布的签约公告规定的签约期限10日内签约的按20000元/人奖励，超出10日签约的不予奖励。奖励资金在完成房屋腾退后，拨付建房补助费时一并兑现。</w:t>
      </w:r>
    </w:p>
    <w:p w14:paraId="42B31931">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（五）房票奖励</w:t>
      </w:r>
    </w:p>
    <w:p w14:paraId="04BC4A00">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按照国务院“房住不炒”的基本原则，选择货币安置、实物安置或其他安置方式均可转换为房票，享受房票奖励政策（</w:t>
      </w:r>
      <w:r>
        <w:rPr>
          <w:rFonts w:hint="eastAsia" w:ascii="Times New Roman" w:hAnsi="Times New Roman" w:eastAsia="仿宋_GB2312" w:cs="Times New Roman"/>
          <w:strike w:val="0"/>
          <w:dstrike w:val="0"/>
          <w:snapToGrid/>
          <w:color w:val="auto"/>
          <w:kern w:val="2"/>
          <w:sz w:val="32"/>
          <w:szCs w:val="32"/>
          <w:highlight w:val="none"/>
          <w:u w:val="none"/>
          <w:lang w:eastAsia="zh-CN"/>
        </w:rPr>
        <w:t>按县政府出台相关奖励政策执行</w:t>
      </w:r>
      <w:r>
        <w:rPr>
          <w:rFonts w:hint="eastAsia" w:ascii="Times New Roman" w:hAnsi="Times New Roman" w:eastAsia="仿宋_GB2312" w:cs="Times New Roman"/>
          <w:snapToGrid/>
          <w:color w:val="auto"/>
          <w:kern w:val="2"/>
          <w:sz w:val="32"/>
          <w:szCs w:val="32"/>
          <w:highlight w:val="none"/>
          <w:u w:val="none"/>
          <w:lang w:eastAsia="zh-CN"/>
        </w:rPr>
        <w:t>）。</w:t>
      </w:r>
    </w:p>
    <w:p w14:paraId="31DCFC5F">
      <w:pPr>
        <w:widowControl w:val="0"/>
        <w:kinsoku/>
        <w:autoSpaceDE/>
        <w:autoSpaceDN/>
        <w:adjustRightInd/>
        <w:snapToGrid/>
        <w:spacing w:after="240" w:afterLines="100" w:line="580" w:lineRule="exact"/>
        <w:jc w:val="center"/>
        <w:textAlignment w:val="auto"/>
        <w:rPr>
          <w:rFonts w:hint="eastAsia" w:ascii="Times New Roman" w:hAnsi="Times New Roman" w:eastAsia="黑体" w:cs="Times New Roman"/>
          <w:snapToGrid/>
          <w:color w:val="auto"/>
          <w:kern w:val="2"/>
          <w:sz w:val="32"/>
          <w:szCs w:val="32"/>
          <w:highlight w:val="none"/>
          <w:u w:val="none"/>
          <w:lang w:eastAsia="zh-CN"/>
        </w:rPr>
      </w:pPr>
    </w:p>
    <w:p w14:paraId="46C26EF7">
      <w:pPr>
        <w:widowControl w:val="0"/>
        <w:kinsoku/>
        <w:autoSpaceDE/>
        <w:autoSpaceDN/>
        <w:adjustRightInd/>
        <w:snapToGrid/>
        <w:spacing w:after="240" w:afterLines="100" w:line="580" w:lineRule="exact"/>
        <w:jc w:val="center"/>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黑体" w:cs="Times New Roman"/>
          <w:snapToGrid/>
          <w:color w:val="auto"/>
          <w:kern w:val="2"/>
          <w:sz w:val="32"/>
          <w:szCs w:val="32"/>
          <w:highlight w:val="none"/>
          <w:u w:val="none"/>
          <w:lang w:eastAsia="zh-CN"/>
        </w:rPr>
        <w:t>第四章 法律责任</w:t>
      </w:r>
    </w:p>
    <w:p w14:paraId="34F33559">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第三十一条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有下列行为之一，造成损失的，依法承担赔偿责任；构成违反治安管理行为的，依法给予治安管理处罚；构成犯罪的，依法追究刑事责任：</w:t>
      </w:r>
    </w:p>
    <w:p w14:paraId="2DEAEBD6">
      <w:pPr>
        <w:widowControl w:val="0"/>
        <w:numPr>
          <w:ilvl w:val="0"/>
          <w:numId w:val="8"/>
        </w:numPr>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伪造、涂改有关权属证明文件或者谎报瞒报有关数 据，骗取征地补偿安置的；</w:t>
      </w:r>
    </w:p>
    <w:p w14:paraId="1A66887A">
      <w:pPr>
        <w:widowControl w:val="0"/>
        <w:numPr>
          <w:ilvl w:val="0"/>
          <w:numId w:val="8"/>
        </w:numPr>
        <w:kinsoku/>
        <w:autoSpaceDE/>
        <w:autoSpaceDN/>
        <w:adjustRightInd/>
        <w:snapToGrid/>
        <w:spacing w:line="580" w:lineRule="exact"/>
        <w:ind w:left="0" w:lef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阻碍征地拆迁工作，妨碍依法执行公务的；</w:t>
      </w:r>
    </w:p>
    <w:p w14:paraId="60B64DC7">
      <w:pPr>
        <w:widowControl w:val="0"/>
        <w:numPr>
          <w:ilvl w:val="0"/>
          <w:numId w:val="8"/>
        </w:numPr>
        <w:kinsoku/>
        <w:autoSpaceDE/>
        <w:autoSpaceDN/>
        <w:adjustRightInd/>
        <w:snapToGrid/>
        <w:spacing w:line="580" w:lineRule="exact"/>
        <w:ind w:left="0" w:lef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煽动、组织或参与非法集会，影响社会稳定的；</w:t>
      </w:r>
    </w:p>
    <w:p w14:paraId="69F52E45">
      <w:pPr>
        <w:widowControl w:val="0"/>
        <w:numPr>
          <w:ilvl w:val="0"/>
          <w:numId w:val="8"/>
        </w:numPr>
        <w:kinsoku/>
        <w:autoSpaceDE/>
        <w:autoSpaceDN/>
        <w:adjustRightInd/>
        <w:snapToGrid/>
        <w:spacing w:line="580" w:lineRule="exact"/>
        <w:ind w:left="0" w:lef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阻挠工程建设的；</w:t>
      </w:r>
    </w:p>
    <w:p w14:paraId="4B45DA7A">
      <w:pPr>
        <w:widowControl w:val="0"/>
        <w:numPr>
          <w:ilvl w:val="0"/>
          <w:numId w:val="8"/>
        </w:numPr>
        <w:kinsoku/>
        <w:autoSpaceDE/>
        <w:autoSpaceDN/>
        <w:adjustRightInd/>
        <w:snapToGrid/>
        <w:spacing w:line="580" w:lineRule="exact"/>
        <w:ind w:left="0" w:lef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敲诈勒索财物的；</w:t>
      </w:r>
    </w:p>
    <w:p w14:paraId="44FD9186">
      <w:pPr>
        <w:widowControl w:val="0"/>
        <w:numPr>
          <w:ilvl w:val="0"/>
          <w:numId w:val="8"/>
        </w:numPr>
        <w:kinsoku/>
        <w:autoSpaceDE/>
        <w:autoSpaceDN/>
        <w:adjustRightInd/>
        <w:snapToGrid/>
        <w:spacing w:line="580" w:lineRule="exact"/>
        <w:ind w:left="0" w:lef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其他违法违规行为。</w:t>
      </w:r>
    </w:p>
    <w:p w14:paraId="59EE3B1D">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第三十二条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实施土地征收工作的单位和个人，虚报安置人数、克扣补偿费用、超标准超范围补偿的，对直接负责的主管人员及其他直接责任人员依法给予行政处分；构成犯罪的，依法追究刑事责任。</w:t>
      </w:r>
    </w:p>
    <w:p w14:paraId="3E304D75">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侵占、挪用征地补偿费用和其他有关费用的，责令改正，追回有关款项；尚不构成犯罪的，依法依规给予纪律、政务处分；构成犯罪的，依法追究刑事责任。</w:t>
      </w:r>
    </w:p>
    <w:p w14:paraId="57776FFF">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第三十三条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党政机关、事业单位以及基层组织工作人员滥用职权、玩忽职守、徇私舞弊以及参与、支持、唆使相关人员阻挠土地征收工作的，责令改正，通报批评；造成损失的，依法承担赔偿责任；尚不构成犯罪的，依法给予纪律、政务处分；构成犯罪的，依法追究刑事责任。</w:t>
      </w:r>
    </w:p>
    <w:p w14:paraId="7CF01B86">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p>
    <w:p w14:paraId="5118DB9C">
      <w:pPr>
        <w:widowControl w:val="0"/>
        <w:kinsoku/>
        <w:autoSpaceDE/>
        <w:autoSpaceDN/>
        <w:adjustRightInd/>
        <w:snapToGrid/>
        <w:spacing w:after="240" w:afterLines="100" w:line="580" w:lineRule="exact"/>
        <w:jc w:val="center"/>
        <w:textAlignment w:val="auto"/>
        <w:rPr>
          <w:rFonts w:hint="eastAsia" w:ascii="Times New Roman" w:hAnsi="Times New Roman" w:eastAsia="黑体" w:cs="Times New Roman"/>
          <w:snapToGrid/>
          <w:color w:val="auto"/>
          <w:kern w:val="2"/>
          <w:sz w:val="32"/>
          <w:szCs w:val="32"/>
          <w:highlight w:val="none"/>
          <w:u w:val="none"/>
          <w:lang w:eastAsia="zh-CN"/>
        </w:rPr>
      </w:pPr>
      <w:r>
        <w:rPr>
          <w:rFonts w:hint="eastAsia" w:ascii="Times New Roman" w:hAnsi="Times New Roman" w:eastAsia="黑体" w:cs="Times New Roman"/>
          <w:snapToGrid/>
          <w:color w:val="auto"/>
          <w:kern w:val="2"/>
          <w:sz w:val="32"/>
          <w:szCs w:val="32"/>
          <w:highlight w:val="none"/>
          <w:u w:val="none"/>
          <w:lang w:eastAsia="zh-CN"/>
        </w:rPr>
        <w:t>第五章</w:t>
      </w:r>
      <w:r>
        <w:rPr>
          <w:rFonts w:hint="eastAsia" w:ascii="Times New Roman" w:hAnsi="Times New Roman" w:eastAsia="黑体" w:cs="Times New Roman"/>
          <w:snapToGrid/>
          <w:color w:val="auto"/>
          <w:kern w:val="2"/>
          <w:sz w:val="32"/>
          <w:szCs w:val="32"/>
          <w:highlight w:val="none"/>
          <w:u w:val="none"/>
          <w:lang w:val="en-US" w:eastAsia="zh-CN"/>
        </w:rPr>
        <w:t xml:space="preserve">  </w:t>
      </w:r>
      <w:r>
        <w:rPr>
          <w:rFonts w:hint="eastAsia" w:ascii="Times New Roman" w:hAnsi="Times New Roman" w:eastAsia="黑体" w:cs="Times New Roman"/>
          <w:snapToGrid/>
          <w:color w:val="auto"/>
          <w:kern w:val="2"/>
          <w:sz w:val="32"/>
          <w:szCs w:val="32"/>
          <w:highlight w:val="none"/>
          <w:u w:val="none"/>
          <w:lang w:eastAsia="zh-CN"/>
        </w:rPr>
        <w:t>附  则</w:t>
      </w:r>
    </w:p>
    <w:p w14:paraId="57E813E5">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第三十四条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本办法由县自然资源局负责解释</w:t>
      </w:r>
      <w:r>
        <w:rPr>
          <w:rFonts w:hint="eastAsia" w:ascii="Times New Roman" w:hAnsi="Times New Roman" w:eastAsia="仿宋_GB2312" w:cs="Times New Roman"/>
          <w:strike w:val="0"/>
          <w:snapToGrid/>
          <w:color w:val="auto"/>
          <w:kern w:val="2"/>
          <w:sz w:val="32"/>
          <w:szCs w:val="32"/>
          <w:highlight w:val="none"/>
          <w:u w:val="none"/>
          <w:lang w:eastAsia="zh-CN"/>
        </w:rPr>
        <w:t>，其中社保政策由人社局负责解释</w:t>
      </w:r>
      <w:r>
        <w:rPr>
          <w:rFonts w:hint="eastAsia" w:ascii="Times New Roman" w:hAnsi="Times New Roman" w:eastAsia="仿宋_GB2312" w:cs="Times New Roman"/>
          <w:snapToGrid/>
          <w:color w:val="auto"/>
          <w:kern w:val="2"/>
          <w:sz w:val="32"/>
          <w:szCs w:val="32"/>
          <w:highlight w:val="none"/>
          <w:u w:val="none"/>
          <w:lang w:eastAsia="zh-CN"/>
        </w:rPr>
        <w:t>。新出台的法律法规、规章和政策有新规定的，从其规定。</w:t>
      </w:r>
    </w:p>
    <w:p w14:paraId="6D7C81E3">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第三十五条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本实施办法有效期为</w:t>
      </w:r>
      <w:r>
        <w:rPr>
          <w:rFonts w:hint="eastAsia" w:ascii="Times New Roman" w:hAnsi="Times New Roman" w:eastAsia="仿宋_GB2312" w:cs="Times New Roman"/>
          <w:snapToGrid/>
          <w:color w:val="auto"/>
          <w:kern w:val="2"/>
          <w:sz w:val="32"/>
          <w:szCs w:val="32"/>
          <w:highlight w:val="none"/>
          <w:u w:val="none"/>
          <w:lang w:val="en-US" w:eastAsia="zh-CN"/>
        </w:rPr>
        <w:t>三</w:t>
      </w:r>
      <w:r>
        <w:rPr>
          <w:rFonts w:hint="eastAsia" w:ascii="Times New Roman" w:hAnsi="Times New Roman" w:eastAsia="仿宋_GB2312" w:cs="Times New Roman"/>
          <w:snapToGrid/>
          <w:color w:val="auto"/>
          <w:kern w:val="2"/>
          <w:sz w:val="32"/>
          <w:szCs w:val="32"/>
          <w:highlight w:val="none"/>
          <w:u w:val="none"/>
          <w:lang w:eastAsia="zh-CN"/>
        </w:rPr>
        <w:t>年，自印发之日起施行。</w:t>
      </w:r>
    </w:p>
    <w:p w14:paraId="45E9A424">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第三十六条</w:t>
      </w:r>
      <w:r>
        <w:rPr>
          <w:rFonts w:hint="eastAsia" w:ascii="Times New Roman" w:hAnsi="Times New Roman" w:eastAsia="仿宋_GB2312" w:cs="Times New Roman"/>
          <w:snapToGrid/>
          <w:color w:val="auto"/>
          <w:kern w:val="2"/>
          <w:sz w:val="32"/>
          <w:szCs w:val="32"/>
          <w:highlight w:val="none"/>
          <w:u w:val="none"/>
          <w:lang w:val="en-US" w:eastAsia="zh-CN"/>
        </w:rPr>
        <w:t xml:space="preserve">  </w:t>
      </w:r>
      <w:r>
        <w:rPr>
          <w:rFonts w:hint="eastAsia" w:ascii="Times New Roman" w:hAnsi="Times New Roman" w:eastAsia="仿宋_GB2312" w:cs="Times New Roman"/>
          <w:snapToGrid/>
          <w:color w:val="auto"/>
          <w:kern w:val="2"/>
          <w:sz w:val="32"/>
          <w:szCs w:val="32"/>
          <w:highlight w:val="none"/>
          <w:u w:val="none"/>
          <w:lang w:eastAsia="zh-CN"/>
        </w:rPr>
        <w:t>本办法施行前已发布征地拆迁公告并已实施拆迁补偿、但尚未完成拆迁补偿安置的项目，仍按县人民政府已批准的拆迁补偿安置方案执行，不适用本办法。本办法未明确或者未覆盖的征拆个案，由自治县人民政府研究决定。</w:t>
      </w:r>
    </w:p>
    <w:p w14:paraId="3131324E">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p>
    <w:p w14:paraId="0555BA7A">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附件：1.坟墓搬迁补偿标准</w:t>
      </w:r>
    </w:p>
    <w:p w14:paraId="27F53B77">
      <w:pPr>
        <w:widowControl w:val="0"/>
        <w:kinsoku/>
        <w:autoSpaceDE/>
        <w:autoSpaceDN/>
        <w:adjustRightInd/>
        <w:snapToGrid/>
        <w:spacing w:line="580" w:lineRule="exact"/>
        <w:ind w:firstLine="1600" w:firstLineChars="5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val="en-US" w:eastAsia="zh-CN"/>
        </w:rPr>
        <w:t>2.</w:t>
      </w:r>
      <w:r>
        <w:rPr>
          <w:rFonts w:hint="eastAsia" w:ascii="Times New Roman" w:hAnsi="Times New Roman" w:eastAsia="仿宋_GB2312" w:cs="Times New Roman"/>
          <w:snapToGrid/>
          <w:color w:val="auto"/>
          <w:kern w:val="2"/>
          <w:sz w:val="32"/>
          <w:szCs w:val="32"/>
          <w:highlight w:val="none"/>
          <w:u w:val="none"/>
          <w:lang w:eastAsia="zh-CN"/>
        </w:rPr>
        <w:t>房屋装修补偿标准</w:t>
      </w:r>
    </w:p>
    <w:p w14:paraId="14EF8E5B">
      <w:pPr>
        <w:widowControl w:val="0"/>
        <w:kinsoku/>
        <w:autoSpaceDE/>
        <w:autoSpaceDN/>
        <w:adjustRightInd/>
        <w:snapToGrid/>
        <w:spacing w:line="580" w:lineRule="exact"/>
        <w:ind w:firstLine="1600" w:firstLineChars="5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val="en-US" w:eastAsia="zh-CN"/>
        </w:rPr>
        <w:t>3.畜禽及养殖设施搬迁补偿标准</w:t>
      </w:r>
    </w:p>
    <w:p w14:paraId="5AFEF6C4">
      <w:pPr>
        <w:spacing w:line="580" w:lineRule="exact"/>
        <w:ind w:firstLine="1600" w:firstLineChars="500"/>
        <w:jc w:val="both"/>
        <w:rPr>
          <w:rFonts w:hint="default" w:ascii="Times New Roman" w:hAnsi="Times New Roman" w:eastAsia="仿宋_GB2312"/>
          <w:b w:val="0"/>
          <w:bCs w:val="0"/>
          <w:color w:val="auto"/>
          <w:sz w:val="32"/>
          <w:szCs w:val="32"/>
          <w:highlight w:val="none"/>
          <w:u w:val="none"/>
        </w:rPr>
      </w:pPr>
      <w:r>
        <w:rPr>
          <w:rFonts w:hint="eastAsia" w:ascii="Times New Roman" w:hAnsi="Times New Roman" w:eastAsia="仿宋_GB2312" w:cs="Times New Roman"/>
          <w:snapToGrid/>
          <w:color w:val="auto"/>
          <w:kern w:val="2"/>
          <w:sz w:val="32"/>
          <w:szCs w:val="32"/>
          <w:highlight w:val="none"/>
          <w:u w:val="none"/>
          <w:lang w:val="en-US" w:eastAsia="zh-CN"/>
        </w:rPr>
        <w:t>4.</w:t>
      </w:r>
      <w:r>
        <w:rPr>
          <w:rFonts w:hint="eastAsia" w:ascii="Times New Roman" w:hAnsi="Times New Roman" w:eastAsia="仿宋_GB2312" w:cs="Times New Roman"/>
          <w:snapToGrid/>
          <w:color w:val="auto"/>
          <w:w w:val="100"/>
          <w:kern w:val="2"/>
          <w:sz w:val="32"/>
          <w:szCs w:val="32"/>
          <w:highlight w:val="none"/>
          <w:u w:val="none"/>
          <w:lang w:eastAsia="zh-CN"/>
        </w:rPr>
        <w:t>2022年健康扶贫后评估中病种（25）</w:t>
      </w:r>
    </w:p>
    <w:p w14:paraId="4261402E">
      <w:pPr>
        <w:widowControl w:val="0"/>
        <w:numPr>
          <w:ilvl w:val="0"/>
          <w:numId w:val="0"/>
        </w:numPr>
        <w:kinsoku/>
        <w:autoSpaceDE/>
        <w:autoSpaceDN/>
        <w:adjustRightInd/>
        <w:snapToGrid/>
        <w:spacing w:line="580" w:lineRule="exact"/>
        <w:ind w:firstLine="1600" w:firstLineChars="500"/>
        <w:jc w:val="both"/>
        <w:textAlignment w:val="auto"/>
        <w:rPr>
          <w:rFonts w:hint="default" w:ascii="Times New Roman" w:hAnsi="Times New Roman" w:eastAsia="仿宋_GB2312" w:cs="Times New Roman"/>
          <w:snapToGrid/>
          <w:color w:val="auto"/>
          <w:kern w:val="2"/>
          <w:sz w:val="32"/>
          <w:szCs w:val="32"/>
          <w:highlight w:val="none"/>
          <w:u w:val="none"/>
          <w:lang w:val="en-US" w:eastAsia="zh-CN"/>
        </w:rPr>
      </w:pPr>
    </w:p>
    <w:p w14:paraId="23042AE5">
      <w:pPr>
        <w:widowControl w:val="0"/>
        <w:numPr>
          <w:ilvl w:val="0"/>
          <w:numId w:val="0"/>
        </w:numPr>
        <w:kinsoku/>
        <w:autoSpaceDE/>
        <w:autoSpaceDN/>
        <w:adjustRightInd/>
        <w:snapToGrid/>
        <w:spacing w:line="580" w:lineRule="exact"/>
        <w:ind w:firstLine="0" w:firstLineChars="0"/>
        <w:jc w:val="both"/>
        <w:textAlignment w:val="auto"/>
        <w:rPr>
          <w:rFonts w:hint="eastAsia" w:ascii="Times New Roman" w:hAnsi="Times New Roman" w:eastAsia="仿宋_GB2312" w:cs="Times New Roman"/>
          <w:snapToGrid/>
          <w:color w:val="auto"/>
          <w:kern w:val="2"/>
          <w:sz w:val="32"/>
          <w:szCs w:val="32"/>
          <w:highlight w:val="none"/>
          <w:u w:val="none"/>
          <w:lang w:eastAsia="zh-CN"/>
        </w:rPr>
      </w:pPr>
    </w:p>
    <w:p w14:paraId="0C522B6A">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p>
    <w:p w14:paraId="0328A77B">
      <w:pPr>
        <w:pStyle w:val="4"/>
        <w:bidi w:val="0"/>
        <w:jc w:val="left"/>
        <w:rPr>
          <w:rFonts w:hint="eastAsia" w:ascii="黑体" w:hAnsi="黑体" w:eastAsia="黑体" w:cs="黑体"/>
          <w:color w:val="auto"/>
          <w:sz w:val="32"/>
          <w:szCs w:val="32"/>
          <w:highlight w:val="none"/>
          <w:u w:val="none"/>
          <w:lang w:eastAsia="zh-CN"/>
        </w:rPr>
        <w:sectPr>
          <w:footerReference r:id="rId3" w:type="default"/>
          <w:pgSz w:w="11910" w:h="16840"/>
          <w:pgMar w:top="2098" w:right="1474" w:bottom="1218" w:left="1587" w:header="0" w:footer="909" w:gutter="0"/>
          <w:pgNumType w:fmt="numberInDash"/>
          <w:cols w:space="720" w:num="1"/>
        </w:sectPr>
      </w:pPr>
    </w:p>
    <w:p w14:paraId="1AB01192">
      <w:pPr>
        <w:jc w:val="left"/>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附件1</w:t>
      </w:r>
    </w:p>
    <w:p w14:paraId="6C4F254A">
      <w:pPr>
        <w:pStyle w:val="4"/>
        <w:spacing w:line="268" w:lineRule="auto"/>
        <w:rPr>
          <w:color w:val="auto"/>
          <w:highlight w:val="none"/>
          <w:u w:val="none"/>
        </w:rPr>
      </w:pPr>
    </w:p>
    <w:p w14:paraId="07D4112A">
      <w:pPr>
        <w:jc w:val="center"/>
        <w:rPr>
          <w:rFonts w:hint="eastAsia" w:ascii="Times New Roman" w:hAnsi="Times New Roman" w:eastAsia="方正小标宋简体" w:cs="Times New Roman"/>
          <w:snapToGrid/>
          <w:color w:val="auto"/>
          <w:w w:val="95"/>
          <w:kern w:val="2"/>
          <w:sz w:val="44"/>
          <w:szCs w:val="44"/>
          <w:highlight w:val="none"/>
          <w:u w:val="none"/>
          <w:lang w:eastAsia="zh-CN"/>
        </w:rPr>
      </w:pPr>
      <w:r>
        <w:rPr>
          <w:rFonts w:hint="eastAsia" w:ascii="Times New Roman" w:hAnsi="Times New Roman" w:eastAsia="方正小标宋简体" w:cs="Times New Roman"/>
          <w:snapToGrid/>
          <w:color w:val="auto"/>
          <w:w w:val="95"/>
          <w:kern w:val="2"/>
          <w:sz w:val="44"/>
          <w:szCs w:val="44"/>
          <w:highlight w:val="none"/>
          <w:u w:val="none"/>
          <w:lang w:eastAsia="zh-CN"/>
        </w:rPr>
        <w:t>坟墓搬迁补偿标准</w:t>
      </w:r>
    </w:p>
    <w:p w14:paraId="0EC96844">
      <w:pPr>
        <w:spacing w:before="26"/>
        <w:rPr>
          <w:color w:val="auto"/>
          <w:highlight w:val="none"/>
          <w:u w:val="none"/>
        </w:rPr>
      </w:pPr>
    </w:p>
    <w:p w14:paraId="47C1234C">
      <w:pPr>
        <w:spacing w:before="26"/>
        <w:rPr>
          <w:color w:val="auto"/>
          <w:highlight w:val="none"/>
          <w:u w:val="none"/>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3016"/>
        <w:gridCol w:w="1258"/>
        <w:gridCol w:w="2113"/>
      </w:tblGrid>
      <w:tr w14:paraId="449F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2262" w:type="dxa"/>
            <w:vMerge w:val="restart"/>
            <w:tcBorders>
              <w:bottom w:val="nil"/>
            </w:tcBorders>
            <w:noWrap w:val="0"/>
            <w:vAlign w:val="center"/>
          </w:tcPr>
          <w:p w14:paraId="45816116">
            <w:pPr>
              <w:spacing w:before="104" w:line="220" w:lineRule="auto"/>
              <w:jc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7"/>
                <w:sz w:val="32"/>
                <w:szCs w:val="32"/>
                <w:highlight w:val="none"/>
                <w:u w:val="none"/>
              </w:rPr>
              <w:t>坟墓</w:t>
            </w:r>
            <w:r>
              <w:rPr>
                <w:rFonts w:hint="eastAsia" w:ascii="仿宋_GB2312" w:hAnsi="仿宋_GB2312" w:eastAsia="仿宋_GB2312" w:cs="仿宋_GB2312"/>
                <w:color w:val="auto"/>
                <w:spacing w:val="7"/>
                <w:sz w:val="32"/>
                <w:szCs w:val="32"/>
                <w:highlight w:val="none"/>
                <w:u w:val="none"/>
                <w:lang w:eastAsia="zh-CN"/>
              </w:rPr>
              <w:t>（</w:t>
            </w:r>
            <w:r>
              <w:rPr>
                <w:rFonts w:hint="eastAsia" w:ascii="仿宋_GB2312" w:hAnsi="仿宋_GB2312" w:eastAsia="仿宋_GB2312" w:cs="仿宋_GB2312"/>
                <w:color w:val="auto"/>
                <w:spacing w:val="7"/>
                <w:sz w:val="32"/>
                <w:szCs w:val="32"/>
                <w:highlight w:val="none"/>
                <w:u w:val="none"/>
              </w:rPr>
              <w:t>双坟×2</w:t>
            </w:r>
            <w:r>
              <w:rPr>
                <w:rFonts w:hint="eastAsia" w:ascii="仿宋_GB2312" w:hAnsi="仿宋_GB2312" w:eastAsia="仿宋_GB2312" w:cs="仿宋_GB2312"/>
                <w:color w:val="auto"/>
                <w:spacing w:val="7"/>
                <w:sz w:val="32"/>
                <w:szCs w:val="32"/>
                <w:highlight w:val="none"/>
                <w:u w:val="none"/>
                <w:lang w:eastAsia="zh-CN"/>
              </w:rPr>
              <w:t>）</w:t>
            </w:r>
          </w:p>
        </w:tc>
        <w:tc>
          <w:tcPr>
            <w:tcW w:w="3016" w:type="dxa"/>
            <w:noWrap w:val="0"/>
            <w:vAlign w:val="center"/>
          </w:tcPr>
          <w:p w14:paraId="35F46228">
            <w:pPr>
              <w:spacing w:before="318" w:line="219" w:lineRule="auto"/>
              <w:jc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2"/>
                <w:sz w:val="32"/>
                <w:szCs w:val="32"/>
                <w:highlight w:val="none"/>
                <w:u w:val="none"/>
              </w:rPr>
              <w:t>普通土</w:t>
            </w:r>
            <w:r>
              <w:rPr>
                <w:rFonts w:hint="eastAsia" w:ascii="仿宋_GB2312" w:hAnsi="仿宋_GB2312" w:eastAsia="仿宋_GB2312" w:cs="仿宋_GB2312"/>
                <w:color w:val="auto"/>
                <w:spacing w:val="2"/>
                <w:sz w:val="32"/>
                <w:szCs w:val="32"/>
                <w:highlight w:val="none"/>
                <w:u w:val="none"/>
                <w:lang w:eastAsia="zh-CN"/>
              </w:rPr>
              <w:t>、石</w:t>
            </w:r>
            <w:r>
              <w:rPr>
                <w:rFonts w:hint="eastAsia" w:ascii="仿宋_GB2312" w:hAnsi="仿宋_GB2312" w:eastAsia="仿宋_GB2312" w:cs="仿宋_GB2312"/>
                <w:color w:val="auto"/>
                <w:spacing w:val="2"/>
                <w:sz w:val="32"/>
                <w:szCs w:val="32"/>
                <w:highlight w:val="none"/>
                <w:u w:val="none"/>
              </w:rPr>
              <w:t>堆坟</w:t>
            </w:r>
          </w:p>
        </w:tc>
        <w:tc>
          <w:tcPr>
            <w:tcW w:w="1258" w:type="dxa"/>
            <w:noWrap w:val="0"/>
            <w:vAlign w:val="center"/>
          </w:tcPr>
          <w:p w14:paraId="2B1D11B0">
            <w:pPr>
              <w:spacing w:before="322" w:line="221" w:lineRule="auto"/>
              <w:jc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座</w:t>
            </w:r>
          </w:p>
        </w:tc>
        <w:tc>
          <w:tcPr>
            <w:tcW w:w="2113" w:type="dxa"/>
            <w:noWrap w:val="0"/>
            <w:vAlign w:val="center"/>
          </w:tcPr>
          <w:p w14:paraId="37CF439B">
            <w:pPr>
              <w:spacing w:before="319" w:line="220" w:lineRule="auto"/>
              <w:jc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2"/>
                <w:sz w:val="32"/>
                <w:szCs w:val="32"/>
                <w:highlight w:val="none"/>
                <w:u w:val="none"/>
              </w:rPr>
              <w:t>3000元</w:t>
            </w:r>
          </w:p>
        </w:tc>
      </w:tr>
      <w:tr w14:paraId="071FD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jc w:val="center"/>
        </w:trPr>
        <w:tc>
          <w:tcPr>
            <w:tcW w:w="2262" w:type="dxa"/>
            <w:vMerge w:val="continue"/>
            <w:tcBorders>
              <w:top w:val="nil"/>
              <w:bottom w:val="nil"/>
            </w:tcBorders>
            <w:noWrap w:val="0"/>
            <w:vAlign w:val="center"/>
          </w:tcPr>
          <w:p w14:paraId="7A3D5310">
            <w:pPr>
              <w:pStyle w:val="11"/>
              <w:jc w:val="center"/>
              <w:rPr>
                <w:rFonts w:hint="eastAsia" w:ascii="仿宋_GB2312" w:hAnsi="仿宋_GB2312" w:eastAsia="仿宋_GB2312" w:cs="仿宋_GB2312"/>
                <w:color w:val="auto"/>
                <w:sz w:val="32"/>
                <w:szCs w:val="32"/>
                <w:highlight w:val="none"/>
                <w:u w:val="none"/>
              </w:rPr>
            </w:pPr>
          </w:p>
        </w:tc>
        <w:tc>
          <w:tcPr>
            <w:tcW w:w="3016" w:type="dxa"/>
            <w:noWrap w:val="0"/>
            <w:vAlign w:val="center"/>
          </w:tcPr>
          <w:p w14:paraId="4D26F134">
            <w:pPr>
              <w:spacing w:before="104" w:line="219" w:lineRule="auto"/>
              <w:jc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2"/>
                <w:sz w:val="32"/>
                <w:szCs w:val="32"/>
                <w:highlight w:val="none"/>
                <w:u w:val="none"/>
              </w:rPr>
              <w:t>砖石、水泥修砌</w:t>
            </w:r>
          </w:p>
        </w:tc>
        <w:tc>
          <w:tcPr>
            <w:tcW w:w="1258" w:type="dxa"/>
            <w:noWrap w:val="0"/>
            <w:vAlign w:val="center"/>
          </w:tcPr>
          <w:p w14:paraId="20892358">
            <w:pPr>
              <w:spacing w:before="104" w:line="221" w:lineRule="auto"/>
              <w:jc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座</w:t>
            </w:r>
          </w:p>
        </w:tc>
        <w:tc>
          <w:tcPr>
            <w:tcW w:w="2113" w:type="dxa"/>
            <w:noWrap w:val="0"/>
            <w:vAlign w:val="center"/>
          </w:tcPr>
          <w:p w14:paraId="3A748B65">
            <w:pPr>
              <w:spacing w:before="307" w:line="220" w:lineRule="auto"/>
              <w:jc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2"/>
                <w:sz w:val="32"/>
                <w:szCs w:val="32"/>
                <w:highlight w:val="none"/>
                <w:u w:val="none"/>
              </w:rPr>
              <w:t>6000元</w:t>
            </w:r>
          </w:p>
        </w:tc>
      </w:tr>
      <w:tr w14:paraId="3540F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jc w:val="center"/>
        </w:trPr>
        <w:tc>
          <w:tcPr>
            <w:tcW w:w="2262" w:type="dxa"/>
            <w:vMerge w:val="continue"/>
            <w:tcBorders>
              <w:top w:val="nil"/>
            </w:tcBorders>
            <w:noWrap w:val="0"/>
            <w:vAlign w:val="center"/>
          </w:tcPr>
          <w:p w14:paraId="5C7269D3">
            <w:pPr>
              <w:pStyle w:val="11"/>
              <w:jc w:val="center"/>
              <w:rPr>
                <w:rFonts w:hint="eastAsia" w:ascii="仿宋_GB2312" w:hAnsi="仿宋_GB2312" w:eastAsia="仿宋_GB2312" w:cs="仿宋_GB2312"/>
                <w:color w:val="auto"/>
                <w:sz w:val="32"/>
                <w:szCs w:val="32"/>
                <w:highlight w:val="none"/>
                <w:u w:val="none"/>
              </w:rPr>
            </w:pPr>
          </w:p>
        </w:tc>
        <w:tc>
          <w:tcPr>
            <w:tcW w:w="3016" w:type="dxa"/>
            <w:noWrap w:val="0"/>
            <w:vAlign w:val="center"/>
          </w:tcPr>
          <w:p w14:paraId="52B3825B">
            <w:pPr>
              <w:spacing w:before="104" w:line="308" w:lineRule="auto"/>
              <w:ind w:right="41"/>
              <w:jc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1"/>
                <w:sz w:val="32"/>
                <w:szCs w:val="32"/>
                <w:highlight w:val="none"/>
                <w:u w:val="none"/>
              </w:rPr>
              <w:t>砖石、水泥修砌加有</w:t>
            </w:r>
            <w:r>
              <w:rPr>
                <w:rFonts w:hint="eastAsia" w:ascii="仿宋_GB2312" w:hAnsi="仿宋_GB2312" w:eastAsia="仿宋_GB2312" w:cs="仿宋_GB2312"/>
                <w:color w:val="auto"/>
                <w:spacing w:val="6"/>
                <w:sz w:val="32"/>
                <w:szCs w:val="32"/>
                <w:highlight w:val="none"/>
                <w:u w:val="none"/>
              </w:rPr>
              <w:t xml:space="preserve"> </w:t>
            </w:r>
            <w:r>
              <w:rPr>
                <w:rFonts w:hint="eastAsia" w:ascii="仿宋_GB2312" w:hAnsi="仿宋_GB2312" w:eastAsia="仿宋_GB2312" w:cs="仿宋_GB2312"/>
                <w:color w:val="auto"/>
                <w:spacing w:val="2"/>
                <w:sz w:val="32"/>
                <w:szCs w:val="32"/>
                <w:highlight w:val="none"/>
                <w:u w:val="none"/>
              </w:rPr>
              <w:t xml:space="preserve">花岗石、其他材料刻 </w:t>
            </w:r>
            <w:r>
              <w:rPr>
                <w:rFonts w:hint="eastAsia" w:ascii="仿宋_GB2312" w:hAnsi="仿宋_GB2312" w:eastAsia="仿宋_GB2312" w:cs="仿宋_GB2312"/>
                <w:color w:val="auto"/>
                <w:spacing w:val="13"/>
                <w:sz w:val="32"/>
                <w:szCs w:val="32"/>
                <w:highlight w:val="none"/>
                <w:u w:val="none"/>
              </w:rPr>
              <w:t>成的墓碑</w:t>
            </w:r>
          </w:p>
        </w:tc>
        <w:tc>
          <w:tcPr>
            <w:tcW w:w="1258" w:type="dxa"/>
            <w:noWrap w:val="0"/>
            <w:vAlign w:val="center"/>
          </w:tcPr>
          <w:p w14:paraId="41E89A44">
            <w:pPr>
              <w:spacing w:before="104" w:line="221" w:lineRule="auto"/>
              <w:jc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座</w:t>
            </w:r>
          </w:p>
        </w:tc>
        <w:tc>
          <w:tcPr>
            <w:tcW w:w="2113" w:type="dxa"/>
            <w:noWrap w:val="0"/>
            <w:vAlign w:val="center"/>
          </w:tcPr>
          <w:p w14:paraId="700B48FD">
            <w:pPr>
              <w:spacing w:before="104" w:line="220" w:lineRule="auto"/>
              <w:jc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2"/>
                <w:sz w:val="32"/>
                <w:szCs w:val="32"/>
                <w:highlight w:val="none"/>
                <w:u w:val="none"/>
              </w:rPr>
              <w:t>9000元</w:t>
            </w:r>
          </w:p>
        </w:tc>
      </w:tr>
    </w:tbl>
    <w:p w14:paraId="3DF3871D">
      <w:pPr>
        <w:widowControl w:val="0"/>
        <w:numPr>
          <w:ilvl w:val="0"/>
          <w:numId w:val="0"/>
        </w:numPr>
        <w:kinsoku/>
        <w:autoSpaceDE/>
        <w:autoSpaceDN/>
        <w:adjustRightInd/>
        <w:snapToGrid/>
        <w:spacing w:line="580" w:lineRule="exact"/>
        <w:jc w:val="both"/>
        <w:textAlignment w:val="auto"/>
        <w:rPr>
          <w:rFonts w:hint="eastAsia" w:ascii="Times New Roman" w:hAnsi="Times New Roman" w:eastAsia="仿宋_GB2312" w:cs="Times New Roman"/>
          <w:strike w:val="0"/>
          <w:snapToGrid/>
          <w:color w:val="auto"/>
          <w:kern w:val="2"/>
          <w:sz w:val="32"/>
          <w:szCs w:val="32"/>
          <w:highlight w:val="none"/>
          <w:u w:val="none"/>
          <w:lang w:eastAsia="zh-CN"/>
        </w:rPr>
        <w:sectPr>
          <w:pgSz w:w="11910" w:h="16840"/>
          <w:pgMar w:top="1431" w:right="1675" w:bottom="1218" w:left="1574" w:header="0" w:footer="909" w:gutter="0"/>
          <w:pgNumType w:fmt="numberInDash"/>
          <w:cols w:space="720" w:num="1"/>
        </w:sectPr>
      </w:pPr>
      <w:r>
        <w:rPr>
          <w:rFonts w:hint="eastAsia" w:ascii="Times New Roman" w:hAnsi="Times New Roman" w:eastAsia="仿宋_GB2312" w:cs="Times New Roman"/>
          <w:strike w:val="0"/>
          <w:snapToGrid/>
          <w:color w:val="auto"/>
          <w:kern w:val="2"/>
          <w:sz w:val="32"/>
          <w:szCs w:val="32"/>
          <w:highlight w:val="none"/>
          <w:u w:val="none"/>
          <w:lang w:eastAsia="zh-CN"/>
        </w:rPr>
        <w:t>备注：坟墓的建设应符合《殡葬管理条例》等规定，</w:t>
      </w:r>
      <w:r>
        <w:rPr>
          <w:rFonts w:hint="eastAsia" w:ascii="Times New Roman" w:hAnsi="Times New Roman" w:eastAsia="仿宋_GB2312" w:cs="Times New Roman"/>
          <w:strike w:val="0"/>
          <w:snapToGrid/>
          <w:color w:val="auto"/>
          <w:kern w:val="2"/>
          <w:sz w:val="32"/>
          <w:szCs w:val="32"/>
          <w:highlight w:val="none"/>
          <w:u w:val="none"/>
          <w:lang w:val="en-US" w:eastAsia="zh-CN"/>
        </w:rPr>
        <w:t>违规建设的一律不予补偿</w:t>
      </w:r>
      <w:r>
        <w:rPr>
          <w:rFonts w:hint="eastAsia" w:ascii="Times New Roman" w:hAnsi="Times New Roman" w:eastAsia="仿宋_GB2312" w:cs="Times New Roman"/>
          <w:strike w:val="0"/>
          <w:snapToGrid/>
          <w:color w:val="auto"/>
          <w:kern w:val="2"/>
          <w:sz w:val="32"/>
          <w:szCs w:val="32"/>
          <w:highlight w:val="none"/>
          <w:u w:val="none"/>
          <w:lang w:eastAsia="zh-CN"/>
        </w:rPr>
        <w:t>。</w:t>
      </w:r>
    </w:p>
    <w:p w14:paraId="5C383B37">
      <w:pPr>
        <w:jc w:val="left"/>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附件2</w:t>
      </w:r>
    </w:p>
    <w:p w14:paraId="4AD0C32A">
      <w:pPr>
        <w:pStyle w:val="4"/>
        <w:spacing w:line="439" w:lineRule="auto"/>
        <w:rPr>
          <w:color w:val="auto"/>
          <w:highlight w:val="none"/>
          <w:u w:val="none"/>
        </w:rPr>
      </w:pPr>
    </w:p>
    <w:p w14:paraId="7478D1D1">
      <w:pPr>
        <w:jc w:val="center"/>
        <w:rPr>
          <w:rFonts w:hint="eastAsia" w:ascii="Times New Roman" w:hAnsi="Times New Roman" w:eastAsia="方正小标宋简体" w:cs="Times New Roman"/>
          <w:snapToGrid/>
          <w:color w:val="auto"/>
          <w:w w:val="95"/>
          <w:kern w:val="2"/>
          <w:sz w:val="44"/>
          <w:szCs w:val="44"/>
          <w:highlight w:val="none"/>
          <w:u w:val="none"/>
          <w:lang w:eastAsia="zh-CN"/>
        </w:rPr>
      </w:pPr>
      <w:r>
        <w:rPr>
          <w:rFonts w:hint="eastAsia" w:ascii="Times New Roman" w:hAnsi="Times New Roman" w:eastAsia="方正小标宋简体" w:cs="Times New Roman"/>
          <w:snapToGrid/>
          <w:color w:val="auto"/>
          <w:w w:val="95"/>
          <w:kern w:val="2"/>
          <w:sz w:val="44"/>
          <w:szCs w:val="44"/>
          <w:highlight w:val="none"/>
          <w:u w:val="none"/>
          <w:lang w:eastAsia="zh-CN"/>
        </w:rPr>
        <w:t>房屋装修补偿标准</w:t>
      </w:r>
    </w:p>
    <w:p w14:paraId="23C3AE28">
      <w:pPr>
        <w:spacing w:before="235"/>
        <w:rPr>
          <w:color w:val="auto"/>
          <w:highlight w:val="none"/>
          <w:u w:val="none"/>
        </w:rPr>
      </w:pPr>
    </w:p>
    <w:tbl>
      <w:tblPr>
        <w:tblStyle w:val="12"/>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2387"/>
        <w:gridCol w:w="2377"/>
        <w:gridCol w:w="1743"/>
      </w:tblGrid>
      <w:tr w14:paraId="41EE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1923" w:type="dxa"/>
            <w:noWrap w:val="0"/>
            <w:vAlign w:val="top"/>
          </w:tcPr>
          <w:p w14:paraId="66836490">
            <w:pPr>
              <w:pStyle w:val="11"/>
              <w:spacing w:line="308" w:lineRule="auto"/>
              <w:rPr>
                <w:rFonts w:hint="eastAsia" w:ascii="仿宋_GB2312" w:hAnsi="仿宋_GB2312" w:eastAsia="仿宋_GB2312" w:cs="仿宋_GB2312"/>
                <w:color w:val="auto"/>
                <w:sz w:val="32"/>
                <w:szCs w:val="32"/>
                <w:highlight w:val="none"/>
                <w:u w:val="none"/>
              </w:rPr>
            </w:pPr>
          </w:p>
          <w:p w14:paraId="7550693F">
            <w:pPr>
              <w:spacing w:before="104" w:line="220" w:lineRule="auto"/>
              <w:ind w:left="63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pacing w:val="22"/>
                <w:sz w:val="32"/>
                <w:szCs w:val="32"/>
                <w:highlight w:val="none"/>
                <w:u w:val="none"/>
              </w:rPr>
              <w:t>项目</w:t>
            </w:r>
          </w:p>
        </w:tc>
        <w:tc>
          <w:tcPr>
            <w:tcW w:w="2387" w:type="dxa"/>
            <w:noWrap w:val="0"/>
            <w:vAlign w:val="top"/>
          </w:tcPr>
          <w:p w14:paraId="7034E52D">
            <w:pPr>
              <w:spacing w:before="194" w:line="220" w:lineRule="auto"/>
              <w:ind w:left="546"/>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pacing w:val="-6"/>
                <w:sz w:val="32"/>
                <w:szCs w:val="32"/>
                <w:highlight w:val="none"/>
                <w:u w:val="none"/>
              </w:rPr>
              <w:t>补偿标准</w:t>
            </w:r>
          </w:p>
          <w:p w14:paraId="305A7210">
            <w:pPr>
              <w:spacing w:before="97" w:line="219" w:lineRule="auto"/>
              <w:ind w:left="306"/>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pacing w:val="5"/>
                <w:sz w:val="32"/>
                <w:szCs w:val="32"/>
                <w:highlight w:val="none"/>
                <w:u w:val="none"/>
                <w:lang w:eastAsia="zh-CN"/>
              </w:rPr>
              <w:t>（</w:t>
            </w:r>
            <w:r>
              <w:rPr>
                <w:rFonts w:hint="eastAsia" w:ascii="仿宋_GB2312" w:hAnsi="仿宋_GB2312" w:eastAsia="仿宋_GB2312" w:cs="仿宋_GB2312"/>
                <w:b/>
                <w:bCs/>
                <w:color w:val="auto"/>
                <w:spacing w:val="5"/>
                <w:sz w:val="32"/>
                <w:szCs w:val="32"/>
                <w:highlight w:val="none"/>
                <w:u w:val="none"/>
              </w:rPr>
              <w:t>元</w:t>
            </w:r>
            <w:r>
              <w:rPr>
                <w:rFonts w:hint="eastAsia" w:ascii="仿宋_GB2312" w:hAnsi="仿宋_GB2312" w:eastAsia="仿宋_GB2312" w:cs="仿宋_GB2312"/>
                <w:b/>
                <w:bCs/>
                <w:color w:val="auto"/>
                <w:spacing w:val="5"/>
                <w:sz w:val="32"/>
                <w:szCs w:val="32"/>
                <w:highlight w:val="none"/>
                <w:u w:val="none"/>
                <w:lang w:eastAsia="zh-CN"/>
              </w:rPr>
              <w:t>/m²）</w:t>
            </w:r>
          </w:p>
        </w:tc>
        <w:tc>
          <w:tcPr>
            <w:tcW w:w="2377" w:type="dxa"/>
            <w:noWrap w:val="0"/>
            <w:vAlign w:val="top"/>
          </w:tcPr>
          <w:p w14:paraId="1860DE82">
            <w:pPr>
              <w:pStyle w:val="11"/>
              <w:spacing w:line="307" w:lineRule="auto"/>
              <w:rPr>
                <w:rFonts w:hint="eastAsia" w:ascii="仿宋_GB2312" w:hAnsi="仿宋_GB2312" w:eastAsia="仿宋_GB2312" w:cs="仿宋_GB2312"/>
                <w:color w:val="auto"/>
                <w:sz w:val="32"/>
                <w:szCs w:val="32"/>
                <w:highlight w:val="none"/>
                <w:u w:val="none"/>
              </w:rPr>
            </w:pPr>
          </w:p>
          <w:p w14:paraId="36770259">
            <w:pPr>
              <w:spacing w:before="104" w:line="219" w:lineRule="auto"/>
              <w:ind w:left="86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内容</w:t>
            </w:r>
          </w:p>
        </w:tc>
        <w:tc>
          <w:tcPr>
            <w:tcW w:w="1743" w:type="dxa"/>
            <w:noWrap w:val="0"/>
            <w:vAlign w:val="top"/>
          </w:tcPr>
          <w:p w14:paraId="414966B1">
            <w:pPr>
              <w:pStyle w:val="11"/>
              <w:spacing w:line="309" w:lineRule="auto"/>
              <w:rPr>
                <w:rFonts w:hint="eastAsia" w:ascii="仿宋_GB2312" w:hAnsi="仿宋_GB2312" w:eastAsia="仿宋_GB2312" w:cs="仿宋_GB2312"/>
                <w:color w:val="auto"/>
                <w:sz w:val="32"/>
                <w:szCs w:val="32"/>
                <w:highlight w:val="none"/>
                <w:u w:val="none"/>
              </w:rPr>
            </w:pPr>
          </w:p>
          <w:p w14:paraId="039AD80E">
            <w:pPr>
              <w:spacing w:before="104" w:line="221" w:lineRule="auto"/>
              <w:ind w:left="55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备注</w:t>
            </w:r>
          </w:p>
        </w:tc>
      </w:tr>
      <w:tr w14:paraId="46CE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923" w:type="dxa"/>
            <w:noWrap w:val="0"/>
            <w:vAlign w:val="top"/>
          </w:tcPr>
          <w:p w14:paraId="7262C4E7">
            <w:pPr>
              <w:pStyle w:val="11"/>
              <w:spacing w:line="313" w:lineRule="auto"/>
              <w:rPr>
                <w:rFonts w:hint="eastAsia" w:ascii="仿宋_GB2312" w:hAnsi="仿宋_GB2312" w:eastAsia="仿宋_GB2312" w:cs="仿宋_GB2312"/>
                <w:color w:val="auto"/>
                <w:sz w:val="32"/>
                <w:szCs w:val="32"/>
                <w:highlight w:val="none"/>
                <w:u w:val="none"/>
              </w:rPr>
            </w:pPr>
          </w:p>
          <w:p w14:paraId="6C73D5CD">
            <w:pPr>
              <w:spacing w:before="104" w:line="221" w:lineRule="auto"/>
              <w:ind w:left="63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9"/>
                <w:sz w:val="32"/>
                <w:szCs w:val="32"/>
                <w:highlight w:val="none"/>
                <w:u w:val="none"/>
              </w:rPr>
              <w:t>一级</w:t>
            </w:r>
          </w:p>
        </w:tc>
        <w:tc>
          <w:tcPr>
            <w:tcW w:w="2387" w:type="dxa"/>
            <w:noWrap w:val="0"/>
            <w:vAlign w:val="top"/>
          </w:tcPr>
          <w:p w14:paraId="7F27A0D7">
            <w:pPr>
              <w:pStyle w:val="11"/>
              <w:spacing w:line="391" w:lineRule="auto"/>
              <w:rPr>
                <w:rFonts w:hint="eastAsia" w:ascii="仿宋_GB2312" w:hAnsi="仿宋_GB2312" w:eastAsia="仿宋_GB2312" w:cs="仿宋_GB2312"/>
                <w:color w:val="auto"/>
                <w:sz w:val="32"/>
                <w:szCs w:val="32"/>
                <w:highlight w:val="none"/>
                <w:u w:val="none"/>
              </w:rPr>
            </w:pPr>
          </w:p>
          <w:p w14:paraId="61A5FBDC">
            <w:pPr>
              <w:spacing w:before="104" w:line="183" w:lineRule="auto"/>
              <w:ind w:left="941"/>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5"/>
                <w:sz w:val="32"/>
                <w:szCs w:val="32"/>
                <w:highlight w:val="none"/>
                <w:u w:val="none"/>
              </w:rPr>
              <w:t>350</w:t>
            </w:r>
          </w:p>
        </w:tc>
        <w:tc>
          <w:tcPr>
            <w:tcW w:w="2377" w:type="dxa"/>
            <w:noWrap w:val="0"/>
            <w:vAlign w:val="top"/>
          </w:tcPr>
          <w:p w14:paraId="1DB73595">
            <w:pPr>
              <w:spacing w:before="273" w:line="312" w:lineRule="auto"/>
              <w:ind w:left="80" w:hanging="66"/>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15"/>
                <w:sz w:val="32"/>
                <w:szCs w:val="32"/>
                <w:highlight w:val="none"/>
                <w:u w:val="none"/>
              </w:rPr>
              <w:t>内墙装饰、吊顶装饰、</w:t>
            </w:r>
            <w:r>
              <w:rPr>
                <w:rFonts w:hint="eastAsia" w:ascii="仿宋_GB2312" w:hAnsi="仿宋_GB2312" w:eastAsia="仿宋_GB2312" w:cs="仿宋_GB2312"/>
                <w:color w:val="auto"/>
                <w:spacing w:val="-12"/>
                <w:sz w:val="32"/>
                <w:szCs w:val="32"/>
                <w:highlight w:val="none"/>
                <w:u w:val="none"/>
              </w:rPr>
              <w:t>包门窗、</w:t>
            </w:r>
            <w:r>
              <w:rPr>
                <w:rFonts w:hint="eastAsia" w:ascii="仿宋_GB2312" w:hAnsi="仿宋_GB2312" w:eastAsia="仿宋_GB2312" w:cs="仿宋_GB2312"/>
                <w:color w:val="auto"/>
                <w:spacing w:val="-12"/>
                <w:sz w:val="32"/>
                <w:szCs w:val="32"/>
                <w:highlight w:val="none"/>
                <w:u w:val="none"/>
                <w:lang w:eastAsia="zh-CN"/>
              </w:rPr>
              <w:t>贴地</w:t>
            </w:r>
            <w:r>
              <w:rPr>
                <w:rFonts w:hint="eastAsia" w:ascii="仿宋_GB2312" w:hAnsi="仿宋_GB2312" w:eastAsia="仿宋_GB2312" w:cs="仿宋_GB2312"/>
                <w:color w:val="auto"/>
                <w:spacing w:val="-12"/>
                <w:sz w:val="32"/>
                <w:szCs w:val="32"/>
                <w:highlight w:val="none"/>
                <w:u w:val="none"/>
              </w:rPr>
              <w:t>砖</w:t>
            </w:r>
          </w:p>
        </w:tc>
        <w:tc>
          <w:tcPr>
            <w:tcW w:w="1743" w:type="dxa"/>
            <w:vMerge w:val="restart"/>
            <w:tcBorders>
              <w:bottom w:val="nil"/>
            </w:tcBorders>
            <w:noWrap w:val="0"/>
            <w:vAlign w:val="top"/>
          </w:tcPr>
          <w:p w14:paraId="2187FB33">
            <w:pPr>
              <w:pStyle w:val="11"/>
              <w:spacing w:line="246" w:lineRule="auto"/>
              <w:rPr>
                <w:rFonts w:hint="eastAsia" w:ascii="仿宋_GB2312" w:hAnsi="仿宋_GB2312" w:eastAsia="仿宋_GB2312" w:cs="仿宋_GB2312"/>
                <w:color w:val="auto"/>
                <w:sz w:val="32"/>
                <w:szCs w:val="32"/>
                <w:highlight w:val="none"/>
                <w:u w:val="none"/>
              </w:rPr>
            </w:pPr>
          </w:p>
          <w:p w14:paraId="668AD3F2">
            <w:pPr>
              <w:pStyle w:val="11"/>
              <w:spacing w:line="246" w:lineRule="auto"/>
              <w:rPr>
                <w:rFonts w:hint="eastAsia" w:ascii="仿宋_GB2312" w:hAnsi="仿宋_GB2312" w:eastAsia="仿宋_GB2312" w:cs="仿宋_GB2312"/>
                <w:color w:val="auto"/>
                <w:sz w:val="32"/>
                <w:szCs w:val="32"/>
                <w:highlight w:val="none"/>
                <w:u w:val="none"/>
              </w:rPr>
            </w:pPr>
          </w:p>
          <w:p w14:paraId="6AEF314D">
            <w:pPr>
              <w:pStyle w:val="11"/>
              <w:spacing w:line="247" w:lineRule="auto"/>
              <w:rPr>
                <w:rFonts w:hint="eastAsia" w:ascii="仿宋_GB2312" w:hAnsi="仿宋_GB2312" w:eastAsia="仿宋_GB2312" w:cs="仿宋_GB2312"/>
                <w:color w:val="auto"/>
                <w:sz w:val="32"/>
                <w:szCs w:val="32"/>
                <w:highlight w:val="none"/>
                <w:u w:val="none"/>
              </w:rPr>
            </w:pPr>
          </w:p>
          <w:p w14:paraId="3F4C4EA4">
            <w:pPr>
              <w:pStyle w:val="11"/>
              <w:spacing w:line="247" w:lineRule="auto"/>
              <w:rPr>
                <w:rFonts w:hint="eastAsia" w:ascii="仿宋_GB2312" w:hAnsi="仿宋_GB2312" w:eastAsia="仿宋_GB2312" w:cs="仿宋_GB2312"/>
                <w:color w:val="auto"/>
                <w:sz w:val="32"/>
                <w:szCs w:val="32"/>
                <w:highlight w:val="none"/>
                <w:u w:val="none"/>
              </w:rPr>
            </w:pPr>
          </w:p>
          <w:p w14:paraId="41E499EB">
            <w:pPr>
              <w:pStyle w:val="11"/>
              <w:spacing w:line="247" w:lineRule="auto"/>
              <w:rPr>
                <w:rFonts w:hint="eastAsia" w:ascii="仿宋_GB2312" w:hAnsi="仿宋_GB2312" w:eastAsia="仿宋_GB2312" w:cs="仿宋_GB2312"/>
                <w:color w:val="auto"/>
                <w:sz w:val="32"/>
                <w:szCs w:val="32"/>
                <w:highlight w:val="none"/>
                <w:u w:val="none"/>
              </w:rPr>
            </w:pPr>
          </w:p>
          <w:p w14:paraId="14D8B4D5">
            <w:pPr>
              <w:spacing w:before="104" w:line="219" w:lineRule="auto"/>
              <w:ind w:left="227"/>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5"/>
                <w:sz w:val="32"/>
                <w:szCs w:val="32"/>
                <w:highlight w:val="none"/>
                <w:u w:val="none"/>
              </w:rPr>
              <w:t>装修面积</w:t>
            </w:r>
          </w:p>
          <w:p w14:paraId="418BD3D2">
            <w:pPr>
              <w:spacing w:before="181" w:line="220" w:lineRule="auto"/>
              <w:ind w:left="227"/>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6"/>
                <w:sz w:val="32"/>
                <w:szCs w:val="32"/>
                <w:highlight w:val="none"/>
                <w:u w:val="none"/>
              </w:rPr>
              <w:t>以实际调</w:t>
            </w:r>
          </w:p>
          <w:p w14:paraId="7065D0F6">
            <w:pPr>
              <w:spacing w:before="179" w:line="221" w:lineRule="auto"/>
              <w:ind w:left="227"/>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3"/>
                <w:sz w:val="32"/>
                <w:szCs w:val="32"/>
                <w:highlight w:val="none"/>
                <w:u w:val="none"/>
              </w:rPr>
              <w:t>查公示面</w:t>
            </w:r>
          </w:p>
          <w:p w14:paraId="17E79436">
            <w:pPr>
              <w:spacing w:before="175" w:line="219" w:lineRule="auto"/>
              <w:ind w:left="388"/>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5"/>
                <w:sz w:val="32"/>
                <w:szCs w:val="32"/>
                <w:highlight w:val="none"/>
                <w:u w:val="none"/>
              </w:rPr>
              <w:t>积计算</w:t>
            </w:r>
          </w:p>
        </w:tc>
      </w:tr>
      <w:tr w14:paraId="4A82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1923" w:type="dxa"/>
            <w:noWrap w:val="0"/>
            <w:vAlign w:val="top"/>
          </w:tcPr>
          <w:p w14:paraId="54CF3F3F">
            <w:pPr>
              <w:pStyle w:val="11"/>
              <w:spacing w:line="295" w:lineRule="auto"/>
              <w:rPr>
                <w:rFonts w:hint="eastAsia" w:ascii="仿宋_GB2312" w:hAnsi="仿宋_GB2312" w:eastAsia="仿宋_GB2312" w:cs="仿宋_GB2312"/>
                <w:color w:val="auto"/>
                <w:sz w:val="32"/>
                <w:szCs w:val="32"/>
                <w:highlight w:val="none"/>
                <w:u w:val="none"/>
              </w:rPr>
            </w:pPr>
          </w:p>
          <w:p w14:paraId="42D43038">
            <w:pPr>
              <w:spacing w:before="104" w:line="221" w:lineRule="auto"/>
              <w:ind w:left="63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9"/>
                <w:sz w:val="32"/>
                <w:szCs w:val="32"/>
                <w:highlight w:val="none"/>
                <w:u w:val="none"/>
              </w:rPr>
              <w:t>二级</w:t>
            </w:r>
          </w:p>
        </w:tc>
        <w:tc>
          <w:tcPr>
            <w:tcW w:w="2387" w:type="dxa"/>
            <w:noWrap w:val="0"/>
            <w:vAlign w:val="top"/>
          </w:tcPr>
          <w:p w14:paraId="0BDF8EC7">
            <w:pPr>
              <w:pStyle w:val="11"/>
              <w:spacing w:line="373" w:lineRule="auto"/>
              <w:rPr>
                <w:rFonts w:hint="eastAsia" w:ascii="仿宋_GB2312" w:hAnsi="仿宋_GB2312" w:eastAsia="仿宋_GB2312" w:cs="仿宋_GB2312"/>
                <w:color w:val="auto"/>
                <w:sz w:val="32"/>
                <w:szCs w:val="32"/>
                <w:highlight w:val="none"/>
                <w:u w:val="none"/>
              </w:rPr>
            </w:pPr>
          </w:p>
          <w:p w14:paraId="02A3F82B">
            <w:pPr>
              <w:spacing w:before="104" w:line="183" w:lineRule="auto"/>
              <w:ind w:left="941"/>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4"/>
                <w:sz w:val="32"/>
                <w:szCs w:val="32"/>
                <w:highlight w:val="none"/>
                <w:u w:val="none"/>
              </w:rPr>
              <w:t>250</w:t>
            </w:r>
          </w:p>
        </w:tc>
        <w:tc>
          <w:tcPr>
            <w:tcW w:w="2377" w:type="dxa"/>
            <w:noWrap w:val="0"/>
            <w:vAlign w:val="top"/>
          </w:tcPr>
          <w:p w14:paraId="5360B82F">
            <w:pPr>
              <w:spacing w:before="242" w:line="312" w:lineRule="auto"/>
              <w:ind w:left="134" w:right="46" w:hanging="7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1"/>
                <w:sz w:val="32"/>
                <w:szCs w:val="32"/>
                <w:highlight w:val="none"/>
                <w:u w:val="none"/>
              </w:rPr>
              <w:t>满足一级装修装饰项</w:t>
            </w:r>
            <w:r>
              <w:rPr>
                <w:rFonts w:hint="eastAsia" w:ascii="仿宋_GB2312" w:hAnsi="仿宋_GB2312" w:eastAsia="仿宋_GB2312" w:cs="仿宋_GB2312"/>
                <w:color w:val="auto"/>
                <w:spacing w:val="2"/>
                <w:sz w:val="32"/>
                <w:szCs w:val="32"/>
                <w:highlight w:val="none"/>
                <w:u w:val="none"/>
              </w:rPr>
              <w:t>目中的任意三项</w:t>
            </w:r>
          </w:p>
        </w:tc>
        <w:tc>
          <w:tcPr>
            <w:tcW w:w="1743" w:type="dxa"/>
            <w:vMerge w:val="continue"/>
            <w:tcBorders>
              <w:top w:val="nil"/>
              <w:bottom w:val="nil"/>
            </w:tcBorders>
            <w:noWrap w:val="0"/>
            <w:vAlign w:val="top"/>
          </w:tcPr>
          <w:p w14:paraId="3B5D136C">
            <w:pPr>
              <w:pStyle w:val="11"/>
              <w:rPr>
                <w:rFonts w:hint="eastAsia" w:ascii="仿宋_GB2312" w:hAnsi="仿宋_GB2312" w:eastAsia="仿宋_GB2312" w:cs="仿宋_GB2312"/>
                <w:color w:val="auto"/>
                <w:sz w:val="32"/>
                <w:szCs w:val="32"/>
                <w:highlight w:val="none"/>
                <w:u w:val="none"/>
              </w:rPr>
            </w:pPr>
          </w:p>
        </w:tc>
      </w:tr>
      <w:tr w14:paraId="20639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1923" w:type="dxa"/>
            <w:noWrap w:val="0"/>
            <w:vAlign w:val="top"/>
          </w:tcPr>
          <w:p w14:paraId="39AA0104">
            <w:pPr>
              <w:pStyle w:val="11"/>
              <w:spacing w:line="287" w:lineRule="auto"/>
              <w:rPr>
                <w:rFonts w:hint="eastAsia" w:ascii="仿宋_GB2312" w:hAnsi="仿宋_GB2312" w:eastAsia="仿宋_GB2312" w:cs="仿宋_GB2312"/>
                <w:color w:val="auto"/>
                <w:sz w:val="32"/>
                <w:szCs w:val="32"/>
                <w:highlight w:val="none"/>
                <w:u w:val="none"/>
              </w:rPr>
            </w:pPr>
          </w:p>
          <w:p w14:paraId="4A85D319">
            <w:pPr>
              <w:spacing w:before="104" w:line="221" w:lineRule="auto"/>
              <w:ind w:left="63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9"/>
                <w:sz w:val="32"/>
                <w:szCs w:val="32"/>
                <w:highlight w:val="none"/>
                <w:u w:val="none"/>
              </w:rPr>
              <w:t>三级</w:t>
            </w:r>
          </w:p>
        </w:tc>
        <w:tc>
          <w:tcPr>
            <w:tcW w:w="2387" w:type="dxa"/>
            <w:noWrap w:val="0"/>
            <w:vAlign w:val="top"/>
          </w:tcPr>
          <w:p w14:paraId="178482E1">
            <w:pPr>
              <w:pStyle w:val="11"/>
              <w:spacing w:line="363" w:lineRule="auto"/>
              <w:rPr>
                <w:rFonts w:hint="eastAsia" w:ascii="仿宋_GB2312" w:hAnsi="仿宋_GB2312" w:eastAsia="仿宋_GB2312" w:cs="仿宋_GB2312"/>
                <w:color w:val="auto"/>
                <w:sz w:val="32"/>
                <w:szCs w:val="32"/>
                <w:highlight w:val="none"/>
                <w:u w:val="none"/>
              </w:rPr>
            </w:pPr>
          </w:p>
          <w:p w14:paraId="06A68D4B">
            <w:pPr>
              <w:spacing w:before="104" w:line="184" w:lineRule="auto"/>
              <w:ind w:left="941"/>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9"/>
                <w:sz w:val="32"/>
                <w:szCs w:val="32"/>
                <w:highlight w:val="none"/>
                <w:u w:val="none"/>
              </w:rPr>
              <w:t>150</w:t>
            </w:r>
          </w:p>
        </w:tc>
        <w:tc>
          <w:tcPr>
            <w:tcW w:w="2377" w:type="dxa"/>
            <w:noWrap w:val="0"/>
            <w:vAlign w:val="top"/>
          </w:tcPr>
          <w:p w14:paraId="134CB158">
            <w:pPr>
              <w:spacing w:before="234" w:line="304" w:lineRule="auto"/>
              <w:ind w:left="144" w:right="46" w:hanging="8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1"/>
                <w:sz w:val="32"/>
                <w:szCs w:val="32"/>
                <w:highlight w:val="none"/>
                <w:u w:val="none"/>
              </w:rPr>
              <w:t>满足一级装修装饰项</w:t>
            </w:r>
            <w:r>
              <w:rPr>
                <w:rFonts w:hint="eastAsia" w:ascii="仿宋_GB2312" w:hAnsi="仿宋_GB2312" w:eastAsia="仿宋_GB2312" w:cs="仿宋_GB2312"/>
                <w:color w:val="auto"/>
                <w:spacing w:val="2"/>
                <w:sz w:val="32"/>
                <w:szCs w:val="32"/>
                <w:highlight w:val="none"/>
                <w:u w:val="none"/>
              </w:rPr>
              <w:t>目中的任意二项</w:t>
            </w:r>
          </w:p>
        </w:tc>
        <w:tc>
          <w:tcPr>
            <w:tcW w:w="1743" w:type="dxa"/>
            <w:vMerge w:val="continue"/>
            <w:tcBorders>
              <w:top w:val="nil"/>
              <w:bottom w:val="nil"/>
            </w:tcBorders>
            <w:noWrap w:val="0"/>
            <w:vAlign w:val="top"/>
          </w:tcPr>
          <w:p w14:paraId="4E93A8E1">
            <w:pPr>
              <w:pStyle w:val="11"/>
              <w:rPr>
                <w:rFonts w:hint="eastAsia" w:ascii="仿宋_GB2312" w:hAnsi="仿宋_GB2312" w:eastAsia="仿宋_GB2312" w:cs="仿宋_GB2312"/>
                <w:color w:val="auto"/>
                <w:sz w:val="32"/>
                <w:szCs w:val="32"/>
                <w:highlight w:val="none"/>
                <w:u w:val="none"/>
              </w:rPr>
            </w:pPr>
          </w:p>
        </w:tc>
      </w:tr>
      <w:tr w14:paraId="42646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1923" w:type="dxa"/>
            <w:noWrap w:val="0"/>
            <w:vAlign w:val="top"/>
          </w:tcPr>
          <w:p w14:paraId="55CFCF8D">
            <w:pPr>
              <w:pStyle w:val="11"/>
              <w:spacing w:line="379" w:lineRule="auto"/>
              <w:rPr>
                <w:rFonts w:hint="eastAsia" w:ascii="仿宋_GB2312" w:hAnsi="仿宋_GB2312" w:eastAsia="仿宋_GB2312" w:cs="仿宋_GB2312"/>
                <w:color w:val="auto"/>
                <w:sz w:val="32"/>
                <w:szCs w:val="32"/>
                <w:highlight w:val="none"/>
                <w:u w:val="none"/>
              </w:rPr>
            </w:pPr>
          </w:p>
          <w:p w14:paraId="6B4CCEF9">
            <w:pPr>
              <w:spacing w:before="104" w:line="221" w:lineRule="auto"/>
              <w:ind w:left="63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9"/>
                <w:sz w:val="32"/>
                <w:szCs w:val="32"/>
                <w:highlight w:val="none"/>
                <w:u w:val="none"/>
              </w:rPr>
              <w:t>四级</w:t>
            </w:r>
          </w:p>
        </w:tc>
        <w:tc>
          <w:tcPr>
            <w:tcW w:w="2387" w:type="dxa"/>
            <w:noWrap w:val="0"/>
            <w:vAlign w:val="top"/>
          </w:tcPr>
          <w:p w14:paraId="6190B1FB">
            <w:pPr>
              <w:pStyle w:val="11"/>
              <w:spacing w:line="456" w:lineRule="auto"/>
              <w:rPr>
                <w:rFonts w:hint="eastAsia" w:ascii="仿宋_GB2312" w:hAnsi="仿宋_GB2312" w:eastAsia="仿宋_GB2312" w:cs="仿宋_GB2312"/>
                <w:color w:val="auto"/>
                <w:sz w:val="32"/>
                <w:szCs w:val="32"/>
                <w:highlight w:val="none"/>
                <w:u w:val="none"/>
              </w:rPr>
            </w:pPr>
          </w:p>
          <w:p w14:paraId="57F18299">
            <w:pPr>
              <w:spacing w:before="104" w:line="183" w:lineRule="auto"/>
              <w:ind w:left="1021"/>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4"/>
                <w:sz w:val="32"/>
                <w:szCs w:val="32"/>
                <w:highlight w:val="none"/>
                <w:u w:val="none"/>
              </w:rPr>
              <w:t>80</w:t>
            </w:r>
          </w:p>
        </w:tc>
        <w:tc>
          <w:tcPr>
            <w:tcW w:w="2377" w:type="dxa"/>
            <w:noWrap w:val="0"/>
            <w:vAlign w:val="top"/>
          </w:tcPr>
          <w:p w14:paraId="66817513">
            <w:pPr>
              <w:pStyle w:val="11"/>
              <w:spacing w:line="246" w:lineRule="auto"/>
              <w:rPr>
                <w:rFonts w:hint="eastAsia" w:ascii="仿宋_GB2312" w:hAnsi="仿宋_GB2312" w:eastAsia="仿宋_GB2312" w:cs="仿宋_GB2312"/>
                <w:color w:val="auto"/>
                <w:sz w:val="32"/>
                <w:szCs w:val="32"/>
                <w:highlight w:val="none"/>
                <w:u w:val="none"/>
              </w:rPr>
            </w:pPr>
          </w:p>
          <w:p w14:paraId="64893075">
            <w:pPr>
              <w:spacing w:before="81" w:line="326" w:lineRule="auto"/>
              <w:ind w:left="134" w:right="46" w:hanging="7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1"/>
                <w:sz w:val="32"/>
                <w:szCs w:val="32"/>
                <w:highlight w:val="none"/>
                <w:u w:val="none"/>
              </w:rPr>
              <w:t>满足一级装修装饰项</w:t>
            </w:r>
            <w:r>
              <w:rPr>
                <w:rFonts w:hint="eastAsia" w:ascii="仿宋_GB2312" w:hAnsi="仿宋_GB2312" w:eastAsia="仿宋_GB2312" w:cs="仿宋_GB2312"/>
                <w:color w:val="auto"/>
                <w:spacing w:val="2"/>
                <w:sz w:val="32"/>
                <w:szCs w:val="32"/>
                <w:highlight w:val="none"/>
                <w:u w:val="none"/>
              </w:rPr>
              <w:t>目中的任意一项</w:t>
            </w:r>
          </w:p>
        </w:tc>
        <w:tc>
          <w:tcPr>
            <w:tcW w:w="1743" w:type="dxa"/>
            <w:vMerge w:val="continue"/>
            <w:tcBorders>
              <w:top w:val="nil"/>
            </w:tcBorders>
            <w:noWrap w:val="0"/>
            <w:vAlign w:val="top"/>
          </w:tcPr>
          <w:p w14:paraId="088516D8">
            <w:pPr>
              <w:pStyle w:val="11"/>
              <w:rPr>
                <w:rFonts w:hint="eastAsia" w:ascii="仿宋_GB2312" w:hAnsi="仿宋_GB2312" w:eastAsia="仿宋_GB2312" w:cs="仿宋_GB2312"/>
                <w:color w:val="auto"/>
                <w:sz w:val="32"/>
                <w:szCs w:val="32"/>
                <w:highlight w:val="none"/>
                <w:u w:val="none"/>
              </w:rPr>
            </w:pPr>
          </w:p>
        </w:tc>
      </w:tr>
    </w:tbl>
    <w:p w14:paraId="3EEA8967">
      <w:pPr>
        <w:rPr>
          <w:color w:val="auto"/>
          <w:highlight w:val="none"/>
          <w:u w:val="none"/>
        </w:rPr>
        <w:sectPr>
          <w:footerReference r:id="rId4" w:type="default"/>
          <w:pgSz w:w="11910" w:h="16840"/>
          <w:pgMar w:top="1431" w:right="1786" w:bottom="1155" w:left="1544" w:header="0" w:footer="837" w:gutter="0"/>
          <w:pgNumType w:fmt="numberInDash"/>
          <w:cols w:space="720" w:num="1"/>
        </w:sectPr>
      </w:pPr>
    </w:p>
    <w:p w14:paraId="182E21B1">
      <w:pPr>
        <w:jc w:val="left"/>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附件3</w:t>
      </w:r>
    </w:p>
    <w:p w14:paraId="79CDF591">
      <w:pPr>
        <w:keepNext w:val="0"/>
        <w:keepLines w:val="0"/>
        <w:pageBreakBefore w:val="0"/>
        <w:widowControl w:val="0"/>
        <w:shd w:val="clear" w:color="auto" w:fill="auto"/>
        <w:kinsoku/>
        <w:wordWrap/>
        <w:overflowPunct/>
        <w:topLinePunct/>
        <w:autoSpaceDE w:val="0"/>
        <w:autoSpaceDN w:val="0"/>
        <w:bidi w:val="0"/>
        <w:adjustRightInd w:val="0"/>
        <w:snapToGrid w:val="0"/>
        <w:spacing w:line="600" w:lineRule="exact"/>
        <w:ind w:left="0" w:leftChars="0" w:right="0"/>
        <w:jc w:val="center"/>
        <w:textAlignment w:val="baseline"/>
        <w:outlineLvl w:val="0"/>
        <w:rPr>
          <w:rFonts w:hint="default" w:ascii="方正小标宋简体" w:hAnsi="方正小标宋简体" w:eastAsia="方正小标宋简体" w:cs="方正小标宋简体"/>
          <w:color w:val="auto"/>
          <w:spacing w:val="0"/>
          <w:kern w:val="2"/>
          <w:sz w:val="44"/>
          <w:szCs w:val="44"/>
          <w:highlight w:val="none"/>
          <w:u w:val="none"/>
          <w:lang w:val="en-US" w:eastAsia="zh-CN" w:bidi="ar-SA"/>
        </w:rPr>
      </w:pPr>
      <w:r>
        <w:rPr>
          <w:rFonts w:hint="eastAsia" w:ascii="方正小标宋简体" w:hAnsi="方正小标宋简体" w:eastAsia="方正小标宋简体" w:cs="方正小标宋简体"/>
          <w:color w:val="auto"/>
          <w:spacing w:val="0"/>
          <w:kern w:val="2"/>
          <w:sz w:val="44"/>
          <w:szCs w:val="44"/>
          <w:highlight w:val="none"/>
          <w:u w:val="none"/>
          <w:lang w:val="en-US" w:eastAsia="zh-CN" w:bidi="ar-SA"/>
        </w:rPr>
        <w:t>畜禽及养殖设施搬迁补偿标准</w:t>
      </w:r>
    </w:p>
    <w:p w14:paraId="52631550">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firstLine="640" w:firstLineChars="200"/>
        <w:jc w:val="both"/>
        <w:rPr>
          <w:rFonts w:hint="eastAsia" w:ascii="黑体" w:hAnsi="黑体" w:eastAsia="黑体" w:cs="黑体"/>
          <w:color w:val="auto"/>
          <w:spacing w:val="0"/>
          <w:sz w:val="32"/>
          <w:szCs w:val="32"/>
          <w:highlight w:val="none"/>
          <w:u w:val="none"/>
          <w:lang w:eastAsia="zh-CN"/>
        </w:rPr>
      </w:pPr>
    </w:p>
    <w:p w14:paraId="0B025B81">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firstLine="640" w:firstLineChars="200"/>
        <w:jc w:val="both"/>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lang w:eastAsia="zh-CN"/>
        </w:rPr>
        <w:t>一、</w:t>
      </w:r>
      <w:r>
        <w:rPr>
          <w:rFonts w:hint="eastAsia" w:ascii="黑体" w:hAnsi="黑体" w:eastAsia="黑体" w:cs="黑体"/>
          <w:color w:val="auto"/>
          <w:spacing w:val="0"/>
          <w:sz w:val="32"/>
          <w:szCs w:val="32"/>
          <w:highlight w:val="none"/>
          <w:u w:val="none"/>
        </w:rPr>
        <w:t>畜禽</w:t>
      </w:r>
      <w:r>
        <w:rPr>
          <w:rFonts w:hint="eastAsia" w:ascii="黑体" w:hAnsi="黑体" w:eastAsia="黑体" w:cs="黑体"/>
          <w:color w:val="auto"/>
          <w:spacing w:val="0"/>
          <w:sz w:val="32"/>
          <w:szCs w:val="32"/>
          <w:highlight w:val="none"/>
          <w:u w:val="none"/>
          <w:lang w:val="en-US" w:eastAsia="zh-CN"/>
        </w:rPr>
        <w:t>搬迁补偿标准</w:t>
      </w:r>
    </w:p>
    <w:tbl>
      <w:tblPr>
        <w:tblStyle w:val="8"/>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28"/>
        <w:gridCol w:w="3230"/>
        <w:gridCol w:w="908"/>
        <w:gridCol w:w="1902"/>
        <w:gridCol w:w="1882"/>
      </w:tblGrid>
      <w:tr w14:paraId="2D79A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28" w:type="dxa"/>
            <w:noWrap w:val="0"/>
            <w:vAlign w:val="center"/>
          </w:tcPr>
          <w:p w14:paraId="317B8A5B">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类别</w:t>
            </w:r>
          </w:p>
        </w:tc>
        <w:tc>
          <w:tcPr>
            <w:tcW w:w="3230" w:type="dxa"/>
            <w:noWrap w:val="0"/>
            <w:vAlign w:val="center"/>
          </w:tcPr>
          <w:p w14:paraId="3B0ABE1E">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规格</w:t>
            </w:r>
          </w:p>
        </w:tc>
        <w:tc>
          <w:tcPr>
            <w:tcW w:w="908" w:type="dxa"/>
            <w:noWrap w:val="0"/>
            <w:vAlign w:val="center"/>
          </w:tcPr>
          <w:p w14:paraId="2909F7A8">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单位</w:t>
            </w:r>
          </w:p>
        </w:tc>
        <w:tc>
          <w:tcPr>
            <w:tcW w:w="1902" w:type="dxa"/>
            <w:noWrap w:val="0"/>
            <w:vAlign w:val="center"/>
          </w:tcPr>
          <w:p w14:paraId="177363DB">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补偿标准（元）</w:t>
            </w:r>
          </w:p>
        </w:tc>
        <w:tc>
          <w:tcPr>
            <w:tcW w:w="1882" w:type="dxa"/>
            <w:noWrap w:val="0"/>
            <w:vAlign w:val="center"/>
          </w:tcPr>
          <w:p w14:paraId="2F515015">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备注</w:t>
            </w:r>
          </w:p>
        </w:tc>
      </w:tr>
      <w:tr w14:paraId="32189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28" w:type="dxa"/>
            <w:vMerge w:val="restart"/>
            <w:tcBorders>
              <w:bottom w:val="nil"/>
            </w:tcBorders>
            <w:noWrap w:val="0"/>
            <w:vAlign w:val="center"/>
          </w:tcPr>
          <w:p w14:paraId="0931140D">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鸡</w:t>
            </w:r>
          </w:p>
        </w:tc>
        <w:tc>
          <w:tcPr>
            <w:tcW w:w="3230" w:type="dxa"/>
            <w:noWrap w:val="0"/>
            <w:vAlign w:val="center"/>
          </w:tcPr>
          <w:p w14:paraId="36B69165">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肉鸡</w:t>
            </w:r>
          </w:p>
        </w:tc>
        <w:tc>
          <w:tcPr>
            <w:tcW w:w="908" w:type="dxa"/>
            <w:noWrap w:val="0"/>
            <w:vAlign w:val="center"/>
          </w:tcPr>
          <w:p w14:paraId="2A0774D6">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只</w:t>
            </w:r>
          </w:p>
        </w:tc>
        <w:tc>
          <w:tcPr>
            <w:tcW w:w="1902" w:type="dxa"/>
            <w:noWrap w:val="0"/>
            <w:vAlign w:val="center"/>
          </w:tcPr>
          <w:p w14:paraId="3A19F1DB">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4</w:t>
            </w:r>
          </w:p>
        </w:tc>
        <w:tc>
          <w:tcPr>
            <w:tcW w:w="1882" w:type="dxa"/>
            <w:noWrap w:val="0"/>
            <w:vAlign w:val="center"/>
          </w:tcPr>
          <w:p w14:paraId="573ED853">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r>
      <w:tr w14:paraId="2BB32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28" w:type="dxa"/>
            <w:vMerge w:val="continue"/>
            <w:tcBorders>
              <w:top w:val="nil"/>
            </w:tcBorders>
            <w:noWrap w:val="0"/>
            <w:vAlign w:val="center"/>
          </w:tcPr>
          <w:p w14:paraId="08B10038">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c>
          <w:tcPr>
            <w:tcW w:w="3230" w:type="dxa"/>
            <w:noWrap w:val="0"/>
            <w:vAlign w:val="center"/>
          </w:tcPr>
          <w:p w14:paraId="1DC30313">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蛋鸡</w:t>
            </w:r>
          </w:p>
        </w:tc>
        <w:tc>
          <w:tcPr>
            <w:tcW w:w="908" w:type="dxa"/>
            <w:noWrap w:val="0"/>
            <w:vAlign w:val="center"/>
          </w:tcPr>
          <w:p w14:paraId="0AB6A815">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只</w:t>
            </w:r>
          </w:p>
        </w:tc>
        <w:tc>
          <w:tcPr>
            <w:tcW w:w="1902" w:type="dxa"/>
            <w:noWrap w:val="0"/>
            <w:vAlign w:val="center"/>
          </w:tcPr>
          <w:p w14:paraId="57A0D784">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10</w:t>
            </w:r>
          </w:p>
        </w:tc>
        <w:tc>
          <w:tcPr>
            <w:tcW w:w="1882" w:type="dxa"/>
            <w:noWrap w:val="0"/>
            <w:vAlign w:val="center"/>
          </w:tcPr>
          <w:p w14:paraId="42B039EE">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r>
      <w:tr w14:paraId="7655F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28" w:type="dxa"/>
            <w:vMerge w:val="restart"/>
            <w:tcBorders>
              <w:bottom w:val="nil"/>
            </w:tcBorders>
            <w:noWrap w:val="0"/>
            <w:vAlign w:val="center"/>
          </w:tcPr>
          <w:p w14:paraId="0E14E5AE">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鸭</w:t>
            </w:r>
          </w:p>
        </w:tc>
        <w:tc>
          <w:tcPr>
            <w:tcW w:w="3230" w:type="dxa"/>
            <w:noWrap w:val="0"/>
            <w:vAlign w:val="center"/>
          </w:tcPr>
          <w:p w14:paraId="608E3158">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肉鸭</w:t>
            </w:r>
          </w:p>
        </w:tc>
        <w:tc>
          <w:tcPr>
            <w:tcW w:w="908" w:type="dxa"/>
            <w:noWrap w:val="0"/>
            <w:vAlign w:val="center"/>
          </w:tcPr>
          <w:p w14:paraId="43F13F24">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只</w:t>
            </w:r>
          </w:p>
        </w:tc>
        <w:tc>
          <w:tcPr>
            <w:tcW w:w="1902" w:type="dxa"/>
            <w:noWrap w:val="0"/>
            <w:vAlign w:val="center"/>
          </w:tcPr>
          <w:p w14:paraId="448663CE">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2</w:t>
            </w:r>
          </w:p>
        </w:tc>
        <w:tc>
          <w:tcPr>
            <w:tcW w:w="1882" w:type="dxa"/>
            <w:noWrap w:val="0"/>
            <w:vAlign w:val="center"/>
          </w:tcPr>
          <w:p w14:paraId="03954229">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r>
      <w:tr w14:paraId="2DF33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28" w:type="dxa"/>
            <w:vMerge w:val="continue"/>
            <w:tcBorders>
              <w:top w:val="nil"/>
            </w:tcBorders>
            <w:noWrap w:val="0"/>
            <w:vAlign w:val="center"/>
          </w:tcPr>
          <w:p w14:paraId="4353BF7E">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c>
          <w:tcPr>
            <w:tcW w:w="3230" w:type="dxa"/>
            <w:noWrap w:val="0"/>
            <w:vAlign w:val="center"/>
          </w:tcPr>
          <w:p w14:paraId="4464BD9B">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蛋鸭</w:t>
            </w:r>
          </w:p>
        </w:tc>
        <w:tc>
          <w:tcPr>
            <w:tcW w:w="908" w:type="dxa"/>
            <w:noWrap w:val="0"/>
            <w:vAlign w:val="center"/>
          </w:tcPr>
          <w:p w14:paraId="533A9897">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只</w:t>
            </w:r>
          </w:p>
        </w:tc>
        <w:tc>
          <w:tcPr>
            <w:tcW w:w="1902" w:type="dxa"/>
            <w:noWrap w:val="0"/>
            <w:vAlign w:val="center"/>
          </w:tcPr>
          <w:p w14:paraId="0C3C588F">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5</w:t>
            </w:r>
          </w:p>
        </w:tc>
        <w:tc>
          <w:tcPr>
            <w:tcW w:w="1882" w:type="dxa"/>
            <w:noWrap w:val="0"/>
            <w:vAlign w:val="center"/>
          </w:tcPr>
          <w:p w14:paraId="7D884608">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r>
      <w:tr w14:paraId="796B0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28" w:type="dxa"/>
            <w:noWrap w:val="0"/>
            <w:vAlign w:val="center"/>
          </w:tcPr>
          <w:p w14:paraId="368FC464">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兔</w:t>
            </w:r>
          </w:p>
        </w:tc>
        <w:tc>
          <w:tcPr>
            <w:tcW w:w="3230" w:type="dxa"/>
            <w:noWrap w:val="0"/>
            <w:vAlign w:val="center"/>
          </w:tcPr>
          <w:p w14:paraId="4D026045">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c>
          <w:tcPr>
            <w:tcW w:w="908" w:type="dxa"/>
            <w:noWrap w:val="0"/>
            <w:vAlign w:val="center"/>
          </w:tcPr>
          <w:p w14:paraId="18B6C313">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只</w:t>
            </w:r>
          </w:p>
        </w:tc>
        <w:tc>
          <w:tcPr>
            <w:tcW w:w="1902" w:type="dxa"/>
            <w:noWrap w:val="0"/>
            <w:vAlign w:val="center"/>
          </w:tcPr>
          <w:p w14:paraId="08BCEDD8">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3</w:t>
            </w:r>
          </w:p>
        </w:tc>
        <w:tc>
          <w:tcPr>
            <w:tcW w:w="1882" w:type="dxa"/>
            <w:noWrap w:val="0"/>
            <w:vAlign w:val="center"/>
          </w:tcPr>
          <w:p w14:paraId="118990C7">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r>
      <w:tr w14:paraId="61EAC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28" w:type="dxa"/>
            <w:vMerge w:val="restart"/>
            <w:tcBorders>
              <w:bottom w:val="nil"/>
            </w:tcBorders>
            <w:noWrap w:val="0"/>
            <w:vAlign w:val="center"/>
          </w:tcPr>
          <w:p w14:paraId="2C348634">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猪</w:t>
            </w:r>
          </w:p>
        </w:tc>
        <w:tc>
          <w:tcPr>
            <w:tcW w:w="3230" w:type="dxa"/>
            <w:noWrap w:val="0"/>
            <w:vAlign w:val="center"/>
          </w:tcPr>
          <w:p w14:paraId="6C9F7A67">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壮年种猪</w:t>
            </w:r>
          </w:p>
        </w:tc>
        <w:tc>
          <w:tcPr>
            <w:tcW w:w="908" w:type="dxa"/>
            <w:noWrap w:val="0"/>
            <w:vAlign w:val="center"/>
          </w:tcPr>
          <w:p w14:paraId="6B2475BF">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头</w:t>
            </w:r>
          </w:p>
        </w:tc>
        <w:tc>
          <w:tcPr>
            <w:tcW w:w="1902" w:type="dxa"/>
            <w:noWrap w:val="0"/>
            <w:vAlign w:val="center"/>
          </w:tcPr>
          <w:p w14:paraId="17F8EE5C">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800</w:t>
            </w:r>
          </w:p>
        </w:tc>
        <w:tc>
          <w:tcPr>
            <w:tcW w:w="1882" w:type="dxa"/>
            <w:noWrap w:val="0"/>
            <w:vAlign w:val="center"/>
          </w:tcPr>
          <w:p w14:paraId="3B62A21F">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r>
      <w:tr w14:paraId="2092F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28" w:type="dxa"/>
            <w:vMerge w:val="continue"/>
            <w:tcBorders>
              <w:top w:val="nil"/>
            </w:tcBorders>
            <w:noWrap w:val="0"/>
            <w:vAlign w:val="center"/>
          </w:tcPr>
          <w:p w14:paraId="42AAD1C4">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c>
          <w:tcPr>
            <w:tcW w:w="3230" w:type="dxa"/>
            <w:noWrap w:val="0"/>
            <w:vAlign w:val="center"/>
          </w:tcPr>
          <w:p w14:paraId="21AC815C">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zh-CN" w:bidi="ar-SA"/>
              </w:rPr>
            </w:pPr>
            <w:r>
              <w:rPr>
                <w:rFonts w:hint="eastAsia" w:ascii="仿宋_GB2312" w:hAnsi="仿宋_GB2312" w:eastAsia="仿宋_GB2312" w:cs="仿宋_GB2312"/>
                <w:color w:val="auto"/>
                <w:spacing w:val="0"/>
                <w:kern w:val="2"/>
                <w:sz w:val="24"/>
                <w:szCs w:val="24"/>
                <w:highlight w:val="none"/>
                <w:u w:val="none"/>
                <w:lang w:val="en-US" w:eastAsia="zh-CN" w:bidi="ar-SA"/>
              </w:rPr>
              <w:t>肉猪、淘汰种猪和母猪</w:t>
            </w:r>
          </w:p>
        </w:tc>
        <w:tc>
          <w:tcPr>
            <w:tcW w:w="908" w:type="dxa"/>
            <w:noWrap w:val="0"/>
            <w:vAlign w:val="center"/>
          </w:tcPr>
          <w:p w14:paraId="3B42418A">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头</w:t>
            </w:r>
          </w:p>
        </w:tc>
        <w:tc>
          <w:tcPr>
            <w:tcW w:w="1902" w:type="dxa"/>
            <w:noWrap w:val="0"/>
            <w:vAlign w:val="center"/>
          </w:tcPr>
          <w:p w14:paraId="75FBA452">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100</w:t>
            </w:r>
          </w:p>
        </w:tc>
        <w:tc>
          <w:tcPr>
            <w:tcW w:w="1882" w:type="dxa"/>
            <w:noWrap w:val="0"/>
            <w:vAlign w:val="center"/>
          </w:tcPr>
          <w:p w14:paraId="4AC35A00">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r>
      <w:tr w14:paraId="79AA6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28" w:type="dxa"/>
            <w:noWrap w:val="0"/>
            <w:vAlign w:val="center"/>
          </w:tcPr>
          <w:p w14:paraId="42A15BC1">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牛</w:t>
            </w:r>
          </w:p>
        </w:tc>
        <w:tc>
          <w:tcPr>
            <w:tcW w:w="3230" w:type="dxa"/>
            <w:noWrap w:val="0"/>
            <w:vAlign w:val="center"/>
          </w:tcPr>
          <w:p w14:paraId="5CE6D3B7">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c>
          <w:tcPr>
            <w:tcW w:w="908" w:type="dxa"/>
            <w:noWrap w:val="0"/>
            <w:vAlign w:val="center"/>
          </w:tcPr>
          <w:p w14:paraId="76223BAA">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头</w:t>
            </w:r>
          </w:p>
        </w:tc>
        <w:tc>
          <w:tcPr>
            <w:tcW w:w="1902" w:type="dxa"/>
            <w:noWrap w:val="0"/>
            <w:vAlign w:val="center"/>
          </w:tcPr>
          <w:p w14:paraId="05D5438D">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100</w:t>
            </w:r>
          </w:p>
        </w:tc>
        <w:tc>
          <w:tcPr>
            <w:tcW w:w="1882" w:type="dxa"/>
            <w:noWrap w:val="0"/>
            <w:vAlign w:val="center"/>
          </w:tcPr>
          <w:p w14:paraId="32A0D300">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r>
      <w:tr w14:paraId="7FF61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28" w:type="dxa"/>
            <w:noWrap w:val="0"/>
            <w:vAlign w:val="center"/>
          </w:tcPr>
          <w:p w14:paraId="06EEB06A">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羊</w:t>
            </w:r>
          </w:p>
        </w:tc>
        <w:tc>
          <w:tcPr>
            <w:tcW w:w="3230" w:type="dxa"/>
            <w:noWrap w:val="0"/>
            <w:vAlign w:val="center"/>
          </w:tcPr>
          <w:p w14:paraId="3DABB178">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c>
          <w:tcPr>
            <w:tcW w:w="908" w:type="dxa"/>
            <w:noWrap w:val="0"/>
            <w:vAlign w:val="center"/>
          </w:tcPr>
          <w:p w14:paraId="46981B9F">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头</w:t>
            </w:r>
          </w:p>
        </w:tc>
        <w:tc>
          <w:tcPr>
            <w:tcW w:w="1902" w:type="dxa"/>
            <w:noWrap w:val="0"/>
            <w:vAlign w:val="center"/>
          </w:tcPr>
          <w:p w14:paraId="74AB133D">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50</w:t>
            </w:r>
          </w:p>
        </w:tc>
        <w:tc>
          <w:tcPr>
            <w:tcW w:w="1882" w:type="dxa"/>
            <w:noWrap w:val="0"/>
            <w:vAlign w:val="center"/>
          </w:tcPr>
          <w:p w14:paraId="2C85772D">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r>
      <w:tr w14:paraId="6D03B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28" w:type="dxa"/>
            <w:noWrap w:val="0"/>
            <w:vAlign w:val="center"/>
          </w:tcPr>
          <w:p w14:paraId="1537B3C7">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鱼</w:t>
            </w:r>
          </w:p>
        </w:tc>
        <w:tc>
          <w:tcPr>
            <w:tcW w:w="3230" w:type="dxa"/>
            <w:noWrap w:val="0"/>
            <w:vAlign w:val="center"/>
          </w:tcPr>
          <w:p w14:paraId="1511A9FA">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sz w:val="24"/>
                <w:szCs w:val="24"/>
                <w:highlight w:val="none"/>
                <w:u w:val="none"/>
              </w:rPr>
            </w:pPr>
          </w:p>
        </w:tc>
        <w:tc>
          <w:tcPr>
            <w:tcW w:w="908" w:type="dxa"/>
            <w:noWrap w:val="0"/>
            <w:vAlign w:val="center"/>
          </w:tcPr>
          <w:p w14:paraId="356C0F53">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亩</w:t>
            </w:r>
          </w:p>
        </w:tc>
        <w:tc>
          <w:tcPr>
            <w:tcW w:w="1902" w:type="dxa"/>
            <w:noWrap w:val="0"/>
            <w:vAlign w:val="center"/>
          </w:tcPr>
          <w:p w14:paraId="7F331FA2">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2000</w:t>
            </w:r>
          </w:p>
        </w:tc>
        <w:tc>
          <w:tcPr>
            <w:tcW w:w="1882" w:type="dxa"/>
            <w:noWrap w:val="0"/>
            <w:vAlign w:val="center"/>
          </w:tcPr>
          <w:p w14:paraId="38255C41">
            <w:pPr>
              <w:keepNext w:val="0"/>
              <w:keepLines w:val="0"/>
              <w:pageBreakBefore w:val="0"/>
              <w:widowControl w:val="0"/>
              <w:shd w:val="clear" w:color="auto" w:fill="auto"/>
              <w:kinsoku/>
              <w:wordWrap/>
              <w:overflowPunct/>
              <w:topLinePunct/>
              <w:autoSpaceDE w:val="0"/>
              <w:autoSpaceDN w:val="0"/>
              <w:bidi w:val="0"/>
              <w:adjustRightInd w:val="0"/>
              <w:snapToGrid w:val="0"/>
              <w:spacing w:line="500" w:lineRule="exact"/>
              <w:ind w:left="0" w:leftChars="0" w:right="0"/>
              <w:jc w:val="center"/>
              <w:textAlignment w:val="baseline"/>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按养殖水面计算</w:t>
            </w:r>
          </w:p>
        </w:tc>
      </w:tr>
    </w:tbl>
    <w:p w14:paraId="49CD2826">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firstLine="640" w:firstLineChars="200"/>
        <w:jc w:val="both"/>
        <w:rPr>
          <w:rFonts w:hint="eastAsia" w:ascii="黑体" w:hAnsi="黑体" w:eastAsia="黑体" w:cs="黑体"/>
          <w:color w:val="auto"/>
          <w:spacing w:val="0"/>
          <w:sz w:val="32"/>
          <w:szCs w:val="32"/>
          <w:highlight w:val="none"/>
          <w:u w:val="none"/>
          <w:lang w:eastAsia="zh-CN"/>
        </w:rPr>
      </w:pPr>
      <w:r>
        <w:rPr>
          <w:rFonts w:hint="eastAsia" w:ascii="黑体" w:hAnsi="黑体" w:eastAsia="黑体" w:cs="黑体"/>
          <w:color w:val="auto"/>
          <w:spacing w:val="0"/>
          <w:sz w:val="32"/>
          <w:szCs w:val="32"/>
          <w:highlight w:val="none"/>
          <w:u w:val="none"/>
          <w:lang w:eastAsia="zh-CN"/>
        </w:rPr>
        <w:t>二、畜禽养殖设施</w:t>
      </w:r>
      <w:r>
        <w:rPr>
          <w:rFonts w:hint="eastAsia" w:ascii="黑体" w:hAnsi="黑体" w:eastAsia="黑体" w:cs="黑体"/>
          <w:color w:val="auto"/>
          <w:spacing w:val="0"/>
          <w:sz w:val="32"/>
          <w:szCs w:val="32"/>
          <w:highlight w:val="none"/>
          <w:u w:val="none"/>
          <w:lang w:val="en-US" w:eastAsia="zh-CN"/>
        </w:rPr>
        <w:t>搬迁补偿标准</w:t>
      </w:r>
    </w:p>
    <w:tbl>
      <w:tblPr>
        <w:tblStyle w:val="8"/>
        <w:tblW w:w="0" w:type="auto"/>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25"/>
        <w:gridCol w:w="1971"/>
        <w:gridCol w:w="1636"/>
        <w:gridCol w:w="1451"/>
        <w:gridCol w:w="2204"/>
        <w:gridCol w:w="993"/>
      </w:tblGrid>
      <w:tr w14:paraId="0E7C8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6" w:hRule="atLeast"/>
        </w:trPr>
        <w:tc>
          <w:tcPr>
            <w:tcW w:w="825" w:type="dxa"/>
            <w:noWrap w:val="0"/>
            <w:vAlign w:val="center"/>
          </w:tcPr>
          <w:p w14:paraId="76B71950">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序号</w:t>
            </w:r>
          </w:p>
        </w:tc>
        <w:tc>
          <w:tcPr>
            <w:tcW w:w="3607" w:type="dxa"/>
            <w:gridSpan w:val="2"/>
            <w:noWrap w:val="0"/>
            <w:vAlign w:val="center"/>
          </w:tcPr>
          <w:p w14:paraId="65B5B938">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补偿项目</w:t>
            </w:r>
          </w:p>
        </w:tc>
        <w:tc>
          <w:tcPr>
            <w:tcW w:w="1451" w:type="dxa"/>
            <w:noWrap w:val="0"/>
            <w:vAlign w:val="center"/>
          </w:tcPr>
          <w:p w14:paraId="4FADB9E1">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计算单位</w:t>
            </w:r>
          </w:p>
        </w:tc>
        <w:tc>
          <w:tcPr>
            <w:tcW w:w="2204" w:type="dxa"/>
            <w:noWrap w:val="0"/>
            <w:vAlign w:val="center"/>
          </w:tcPr>
          <w:p w14:paraId="74E29262">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补偿标准（元）</w:t>
            </w:r>
          </w:p>
        </w:tc>
        <w:tc>
          <w:tcPr>
            <w:tcW w:w="993" w:type="dxa"/>
            <w:noWrap w:val="0"/>
            <w:vAlign w:val="center"/>
          </w:tcPr>
          <w:p w14:paraId="78B1B064">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备注</w:t>
            </w:r>
          </w:p>
        </w:tc>
      </w:tr>
      <w:tr w14:paraId="67CCA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3" w:hRule="atLeast"/>
        </w:trPr>
        <w:tc>
          <w:tcPr>
            <w:tcW w:w="825" w:type="dxa"/>
            <w:vMerge w:val="restart"/>
            <w:tcBorders>
              <w:bottom w:val="nil"/>
            </w:tcBorders>
            <w:noWrap w:val="0"/>
            <w:vAlign w:val="center"/>
          </w:tcPr>
          <w:p w14:paraId="1B5E5A9A">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1</w:t>
            </w:r>
          </w:p>
        </w:tc>
        <w:tc>
          <w:tcPr>
            <w:tcW w:w="1971" w:type="dxa"/>
            <w:vMerge w:val="restart"/>
            <w:tcBorders>
              <w:bottom w:val="nil"/>
            </w:tcBorders>
            <w:noWrap w:val="0"/>
            <w:vAlign w:val="center"/>
          </w:tcPr>
          <w:p w14:paraId="2FAA859F">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猪圈</w:t>
            </w:r>
          </w:p>
        </w:tc>
        <w:tc>
          <w:tcPr>
            <w:tcW w:w="1636" w:type="dxa"/>
            <w:noWrap w:val="0"/>
            <w:vAlign w:val="center"/>
          </w:tcPr>
          <w:p w14:paraId="14EBCE48">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农家圈舍</w:t>
            </w:r>
          </w:p>
        </w:tc>
        <w:tc>
          <w:tcPr>
            <w:tcW w:w="1451" w:type="dxa"/>
            <w:noWrap w:val="0"/>
            <w:vAlign w:val="center"/>
          </w:tcPr>
          <w:p w14:paraId="2179DEE0">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zh-CN" w:bidi="ar-SA"/>
              </w:rPr>
            </w:pPr>
            <w:r>
              <w:rPr>
                <w:rFonts w:hint="eastAsia" w:ascii="仿宋_GB2312" w:hAnsi="仿宋_GB2312" w:eastAsia="仿宋_GB2312" w:cs="仿宋_GB2312"/>
                <w:color w:val="auto"/>
                <w:spacing w:val="0"/>
                <w:kern w:val="2"/>
                <w:sz w:val="24"/>
                <w:szCs w:val="24"/>
                <w:highlight w:val="none"/>
                <w:u w:val="none"/>
                <w:lang w:val="en-US" w:eastAsia="zh-CN" w:bidi="ar-SA"/>
              </w:rPr>
              <w:t>m²</w:t>
            </w:r>
          </w:p>
        </w:tc>
        <w:tc>
          <w:tcPr>
            <w:tcW w:w="2204" w:type="dxa"/>
            <w:noWrap w:val="0"/>
            <w:vAlign w:val="center"/>
          </w:tcPr>
          <w:p w14:paraId="32E23563">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60</w:t>
            </w:r>
          </w:p>
        </w:tc>
        <w:tc>
          <w:tcPr>
            <w:tcW w:w="993" w:type="dxa"/>
            <w:noWrap w:val="0"/>
            <w:vAlign w:val="center"/>
          </w:tcPr>
          <w:p w14:paraId="5F48DFCC">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r>
      <w:tr w14:paraId="00F29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6" w:hRule="atLeast"/>
        </w:trPr>
        <w:tc>
          <w:tcPr>
            <w:tcW w:w="825" w:type="dxa"/>
            <w:vMerge w:val="continue"/>
            <w:tcBorders>
              <w:top w:val="nil"/>
            </w:tcBorders>
            <w:noWrap w:val="0"/>
            <w:vAlign w:val="center"/>
          </w:tcPr>
          <w:p w14:paraId="7315DF34">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c>
          <w:tcPr>
            <w:tcW w:w="1971" w:type="dxa"/>
            <w:vMerge w:val="continue"/>
            <w:tcBorders>
              <w:top w:val="nil"/>
            </w:tcBorders>
            <w:noWrap w:val="0"/>
            <w:vAlign w:val="center"/>
          </w:tcPr>
          <w:p w14:paraId="62E253FA">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c>
          <w:tcPr>
            <w:tcW w:w="1636" w:type="dxa"/>
            <w:noWrap w:val="0"/>
            <w:vAlign w:val="center"/>
          </w:tcPr>
          <w:p w14:paraId="2734F31B">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规模化圈舍</w:t>
            </w:r>
          </w:p>
        </w:tc>
        <w:tc>
          <w:tcPr>
            <w:tcW w:w="1451" w:type="dxa"/>
            <w:noWrap w:val="0"/>
            <w:vAlign w:val="center"/>
          </w:tcPr>
          <w:p w14:paraId="445B31C1">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zh-CN" w:bidi="ar-SA"/>
              </w:rPr>
            </w:pPr>
            <w:r>
              <w:rPr>
                <w:rFonts w:hint="eastAsia" w:ascii="仿宋_GB2312" w:hAnsi="仿宋_GB2312" w:eastAsia="仿宋_GB2312" w:cs="仿宋_GB2312"/>
                <w:color w:val="auto"/>
                <w:spacing w:val="0"/>
                <w:kern w:val="2"/>
                <w:sz w:val="24"/>
                <w:szCs w:val="24"/>
                <w:highlight w:val="none"/>
                <w:u w:val="none"/>
                <w:lang w:val="en-US" w:eastAsia="zh-CN" w:bidi="ar-SA"/>
              </w:rPr>
              <w:t>m²</w:t>
            </w:r>
          </w:p>
        </w:tc>
        <w:tc>
          <w:tcPr>
            <w:tcW w:w="2204" w:type="dxa"/>
            <w:noWrap w:val="0"/>
            <w:vAlign w:val="center"/>
          </w:tcPr>
          <w:p w14:paraId="20A94464">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100</w:t>
            </w:r>
          </w:p>
        </w:tc>
        <w:tc>
          <w:tcPr>
            <w:tcW w:w="993" w:type="dxa"/>
            <w:noWrap w:val="0"/>
            <w:vAlign w:val="center"/>
          </w:tcPr>
          <w:p w14:paraId="478E6B0A">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r>
      <w:tr w14:paraId="622AF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8" w:hRule="atLeast"/>
        </w:trPr>
        <w:tc>
          <w:tcPr>
            <w:tcW w:w="825" w:type="dxa"/>
            <w:vMerge w:val="restart"/>
            <w:tcBorders>
              <w:bottom w:val="nil"/>
            </w:tcBorders>
            <w:noWrap w:val="0"/>
            <w:vAlign w:val="center"/>
          </w:tcPr>
          <w:p w14:paraId="519E250C">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p w14:paraId="6205347C">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2</w:t>
            </w:r>
          </w:p>
        </w:tc>
        <w:tc>
          <w:tcPr>
            <w:tcW w:w="1971" w:type="dxa"/>
            <w:vMerge w:val="restart"/>
            <w:tcBorders>
              <w:bottom w:val="nil"/>
            </w:tcBorders>
            <w:noWrap w:val="0"/>
            <w:vAlign w:val="center"/>
          </w:tcPr>
          <w:p w14:paraId="2FD7F3E1">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鸡笼、兔笼</w:t>
            </w:r>
          </w:p>
        </w:tc>
        <w:tc>
          <w:tcPr>
            <w:tcW w:w="1636" w:type="dxa"/>
            <w:noWrap w:val="0"/>
            <w:vAlign w:val="center"/>
          </w:tcPr>
          <w:p w14:paraId="743D0FA0">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竹编</w:t>
            </w:r>
          </w:p>
        </w:tc>
        <w:tc>
          <w:tcPr>
            <w:tcW w:w="1451" w:type="dxa"/>
            <w:noWrap w:val="0"/>
            <w:vAlign w:val="center"/>
          </w:tcPr>
          <w:p w14:paraId="1A79C9FE">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门</w:t>
            </w:r>
          </w:p>
        </w:tc>
        <w:tc>
          <w:tcPr>
            <w:tcW w:w="2204" w:type="dxa"/>
            <w:noWrap w:val="0"/>
            <w:vAlign w:val="center"/>
          </w:tcPr>
          <w:p w14:paraId="27D60FE2">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8</w:t>
            </w:r>
          </w:p>
        </w:tc>
        <w:tc>
          <w:tcPr>
            <w:tcW w:w="993" w:type="dxa"/>
            <w:noWrap w:val="0"/>
            <w:vAlign w:val="center"/>
          </w:tcPr>
          <w:p w14:paraId="6DD12288">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r>
      <w:tr w14:paraId="4DFD4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825" w:type="dxa"/>
            <w:vMerge w:val="continue"/>
            <w:tcBorders>
              <w:top w:val="nil"/>
            </w:tcBorders>
            <w:noWrap w:val="0"/>
            <w:vAlign w:val="center"/>
          </w:tcPr>
          <w:p w14:paraId="29D31DCD">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c>
          <w:tcPr>
            <w:tcW w:w="1971" w:type="dxa"/>
            <w:vMerge w:val="continue"/>
            <w:tcBorders>
              <w:top w:val="nil"/>
            </w:tcBorders>
            <w:noWrap w:val="0"/>
            <w:vAlign w:val="center"/>
          </w:tcPr>
          <w:p w14:paraId="6452ACAB">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c>
          <w:tcPr>
            <w:tcW w:w="1636" w:type="dxa"/>
            <w:noWrap w:val="0"/>
            <w:vAlign w:val="center"/>
          </w:tcPr>
          <w:p w14:paraId="2583A249">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金属</w:t>
            </w:r>
          </w:p>
        </w:tc>
        <w:tc>
          <w:tcPr>
            <w:tcW w:w="1451" w:type="dxa"/>
            <w:noWrap w:val="0"/>
            <w:vAlign w:val="center"/>
          </w:tcPr>
          <w:p w14:paraId="276D2DE5">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门</w:t>
            </w:r>
          </w:p>
        </w:tc>
        <w:tc>
          <w:tcPr>
            <w:tcW w:w="2204" w:type="dxa"/>
            <w:noWrap w:val="0"/>
            <w:vAlign w:val="center"/>
          </w:tcPr>
          <w:p w14:paraId="3798EB6E">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25</w:t>
            </w:r>
          </w:p>
        </w:tc>
        <w:tc>
          <w:tcPr>
            <w:tcW w:w="993" w:type="dxa"/>
            <w:noWrap w:val="0"/>
            <w:vAlign w:val="center"/>
          </w:tcPr>
          <w:p w14:paraId="68590F8E">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r>
      <w:tr w14:paraId="145E4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3" w:hRule="atLeast"/>
        </w:trPr>
        <w:tc>
          <w:tcPr>
            <w:tcW w:w="825" w:type="dxa"/>
            <w:noWrap w:val="0"/>
            <w:vAlign w:val="center"/>
          </w:tcPr>
          <w:p w14:paraId="6C50BF42">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3</w:t>
            </w:r>
          </w:p>
        </w:tc>
        <w:tc>
          <w:tcPr>
            <w:tcW w:w="1971" w:type="dxa"/>
            <w:noWrap w:val="0"/>
            <w:vAlign w:val="center"/>
          </w:tcPr>
          <w:p w14:paraId="19BE02D0">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母猪限位栏</w:t>
            </w:r>
          </w:p>
        </w:tc>
        <w:tc>
          <w:tcPr>
            <w:tcW w:w="1636" w:type="dxa"/>
            <w:noWrap w:val="0"/>
            <w:vAlign w:val="center"/>
          </w:tcPr>
          <w:p w14:paraId="78542D69">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c>
          <w:tcPr>
            <w:tcW w:w="1451" w:type="dxa"/>
            <w:noWrap w:val="0"/>
            <w:vAlign w:val="center"/>
          </w:tcPr>
          <w:p w14:paraId="6528A328">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门</w:t>
            </w:r>
          </w:p>
        </w:tc>
        <w:tc>
          <w:tcPr>
            <w:tcW w:w="2204" w:type="dxa"/>
            <w:noWrap w:val="0"/>
            <w:vAlign w:val="center"/>
          </w:tcPr>
          <w:p w14:paraId="266C2889">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120</w:t>
            </w:r>
          </w:p>
        </w:tc>
        <w:tc>
          <w:tcPr>
            <w:tcW w:w="993" w:type="dxa"/>
            <w:noWrap w:val="0"/>
            <w:vAlign w:val="center"/>
          </w:tcPr>
          <w:p w14:paraId="23681C2F">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r>
      <w:tr w14:paraId="2A579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6" w:hRule="atLeast"/>
        </w:trPr>
        <w:tc>
          <w:tcPr>
            <w:tcW w:w="825" w:type="dxa"/>
            <w:noWrap w:val="0"/>
            <w:vAlign w:val="center"/>
          </w:tcPr>
          <w:p w14:paraId="1B9D3494">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4</w:t>
            </w:r>
          </w:p>
        </w:tc>
        <w:tc>
          <w:tcPr>
            <w:tcW w:w="1971" w:type="dxa"/>
            <w:noWrap w:val="0"/>
            <w:vAlign w:val="center"/>
          </w:tcPr>
          <w:p w14:paraId="2671A31E">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母猪产床</w:t>
            </w:r>
          </w:p>
        </w:tc>
        <w:tc>
          <w:tcPr>
            <w:tcW w:w="1636" w:type="dxa"/>
            <w:noWrap w:val="0"/>
            <w:vAlign w:val="center"/>
          </w:tcPr>
          <w:p w14:paraId="2E06F2F1">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c>
          <w:tcPr>
            <w:tcW w:w="1451" w:type="dxa"/>
            <w:noWrap w:val="0"/>
            <w:vAlign w:val="center"/>
          </w:tcPr>
          <w:p w14:paraId="15BE1480">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门</w:t>
            </w:r>
          </w:p>
        </w:tc>
        <w:tc>
          <w:tcPr>
            <w:tcW w:w="2204" w:type="dxa"/>
            <w:noWrap w:val="0"/>
            <w:vAlign w:val="center"/>
          </w:tcPr>
          <w:p w14:paraId="025127BC">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1000</w:t>
            </w:r>
          </w:p>
        </w:tc>
        <w:tc>
          <w:tcPr>
            <w:tcW w:w="993" w:type="dxa"/>
            <w:noWrap w:val="0"/>
            <w:vAlign w:val="center"/>
          </w:tcPr>
          <w:p w14:paraId="3268B4EB">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r>
      <w:tr w14:paraId="4EC6C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7" w:hRule="atLeast"/>
        </w:trPr>
        <w:tc>
          <w:tcPr>
            <w:tcW w:w="825" w:type="dxa"/>
            <w:vMerge w:val="restart"/>
            <w:tcBorders>
              <w:bottom w:val="nil"/>
            </w:tcBorders>
            <w:noWrap w:val="0"/>
            <w:vAlign w:val="center"/>
          </w:tcPr>
          <w:p w14:paraId="784AD913">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p w14:paraId="0E8DD69E">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5</w:t>
            </w:r>
          </w:p>
        </w:tc>
        <w:tc>
          <w:tcPr>
            <w:tcW w:w="1971" w:type="dxa"/>
            <w:vMerge w:val="restart"/>
            <w:tcBorders>
              <w:bottom w:val="nil"/>
            </w:tcBorders>
            <w:noWrap w:val="0"/>
            <w:vAlign w:val="center"/>
          </w:tcPr>
          <w:p w14:paraId="6CD13618">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适度规模养殖房</w:t>
            </w:r>
          </w:p>
        </w:tc>
        <w:tc>
          <w:tcPr>
            <w:tcW w:w="1636" w:type="dxa"/>
            <w:noWrap w:val="0"/>
            <w:vAlign w:val="center"/>
          </w:tcPr>
          <w:p w14:paraId="48F303CF">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firstLine="126"/>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小青瓦或彩钢房屋面</w:t>
            </w:r>
          </w:p>
        </w:tc>
        <w:tc>
          <w:tcPr>
            <w:tcW w:w="1451" w:type="dxa"/>
            <w:noWrap w:val="0"/>
            <w:vAlign w:val="center"/>
          </w:tcPr>
          <w:p w14:paraId="6C63951B">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zh-CN" w:bidi="ar-SA"/>
              </w:rPr>
            </w:pPr>
            <w:r>
              <w:rPr>
                <w:rFonts w:hint="eastAsia" w:ascii="仿宋_GB2312" w:hAnsi="仿宋_GB2312" w:eastAsia="仿宋_GB2312" w:cs="仿宋_GB2312"/>
                <w:color w:val="auto"/>
                <w:spacing w:val="0"/>
                <w:kern w:val="2"/>
                <w:sz w:val="24"/>
                <w:szCs w:val="24"/>
                <w:highlight w:val="none"/>
                <w:u w:val="none"/>
                <w:lang w:val="en-US" w:eastAsia="zh-CN" w:bidi="ar-SA"/>
              </w:rPr>
              <w:t>m²</w:t>
            </w:r>
          </w:p>
        </w:tc>
        <w:tc>
          <w:tcPr>
            <w:tcW w:w="2204" w:type="dxa"/>
            <w:noWrap w:val="0"/>
            <w:vAlign w:val="center"/>
          </w:tcPr>
          <w:p w14:paraId="2381B11C">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300</w:t>
            </w:r>
          </w:p>
        </w:tc>
        <w:tc>
          <w:tcPr>
            <w:tcW w:w="993" w:type="dxa"/>
            <w:noWrap w:val="0"/>
            <w:vAlign w:val="center"/>
          </w:tcPr>
          <w:p w14:paraId="551546A3">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r>
      <w:tr w14:paraId="74B759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4" w:hRule="atLeast"/>
        </w:trPr>
        <w:tc>
          <w:tcPr>
            <w:tcW w:w="825" w:type="dxa"/>
            <w:vMerge w:val="continue"/>
            <w:tcBorders>
              <w:top w:val="nil"/>
            </w:tcBorders>
            <w:noWrap w:val="0"/>
            <w:vAlign w:val="center"/>
          </w:tcPr>
          <w:p w14:paraId="1199A284">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c>
          <w:tcPr>
            <w:tcW w:w="1971" w:type="dxa"/>
            <w:vMerge w:val="continue"/>
            <w:tcBorders>
              <w:top w:val="nil"/>
            </w:tcBorders>
            <w:noWrap w:val="0"/>
            <w:vAlign w:val="center"/>
          </w:tcPr>
          <w:p w14:paraId="28D8171D">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c>
          <w:tcPr>
            <w:tcW w:w="1636" w:type="dxa"/>
            <w:noWrap w:val="0"/>
            <w:vAlign w:val="center"/>
          </w:tcPr>
          <w:p w14:paraId="0D4BE28D">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firstLine="12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石棉瓦或彩钢棚屋面</w:t>
            </w:r>
          </w:p>
        </w:tc>
        <w:tc>
          <w:tcPr>
            <w:tcW w:w="1451" w:type="dxa"/>
            <w:noWrap w:val="0"/>
            <w:vAlign w:val="center"/>
          </w:tcPr>
          <w:p w14:paraId="4FDA3026">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zh-CN" w:bidi="ar-SA"/>
              </w:rPr>
            </w:pPr>
            <w:r>
              <w:rPr>
                <w:rFonts w:hint="eastAsia" w:ascii="仿宋_GB2312" w:hAnsi="仿宋_GB2312" w:eastAsia="仿宋_GB2312" w:cs="仿宋_GB2312"/>
                <w:color w:val="auto"/>
                <w:spacing w:val="0"/>
                <w:kern w:val="2"/>
                <w:sz w:val="24"/>
                <w:szCs w:val="24"/>
                <w:highlight w:val="none"/>
                <w:u w:val="none"/>
                <w:lang w:val="en-US" w:eastAsia="zh-CN" w:bidi="ar-SA"/>
              </w:rPr>
              <w:t>m²</w:t>
            </w:r>
          </w:p>
        </w:tc>
        <w:tc>
          <w:tcPr>
            <w:tcW w:w="2204" w:type="dxa"/>
            <w:noWrap w:val="0"/>
            <w:vAlign w:val="center"/>
          </w:tcPr>
          <w:p w14:paraId="16AD072B">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kern w:val="2"/>
                <w:sz w:val="24"/>
                <w:szCs w:val="24"/>
                <w:highlight w:val="none"/>
                <w:u w:val="none"/>
                <w:lang w:val="en-US" w:eastAsia="en-US" w:bidi="ar-SA"/>
              </w:rPr>
            </w:pPr>
            <w:r>
              <w:rPr>
                <w:rFonts w:hint="eastAsia" w:ascii="仿宋_GB2312" w:hAnsi="仿宋_GB2312" w:eastAsia="仿宋_GB2312" w:cs="仿宋_GB2312"/>
                <w:color w:val="auto"/>
                <w:spacing w:val="0"/>
                <w:kern w:val="2"/>
                <w:sz w:val="24"/>
                <w:szCs w:val="24"/>
                <w:highlight w:val="none"/>
                <w:u w:val="none"/>
                <w:lang w:val="en-US" w:eastAsia="en-US" w:bidi="ar-SA"/>
              </w:rPr>
              <w:t>200</w:t>
            </w:r>
          </w:p>
        </w:tc>
        <w:tc>
          <w:tcPr>
            <w:tcW w:w="993" w:type="dxa"/>
            <w:noWrap w:val="0"/>
            <w:vAlign w:val="center"/>
          </w:tcPr>
          <w:p w14:paraId="5EE378A5">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center"/>
              <w:rPr>
                <w:rFonts w:hint="eastAsia" w:ascii="仿宋_GB2312" w:hAnsi="仿宋_GB2312" w:eastAsia="仿宋_GB2312" w:cs="仿宋_GB2312"/>
                <w:color w:val="auto"/>
                <w:spacing w:val="0"/>
                <w:highlight w:val="none"/>
                <w:u w:val="none"/>
              </w:rPr>
            </w:pPr>
          </w:p>
        </w:tc>
      </w:tr>
    </w:tbl>
    <w:p w14:paraId="1E0EC6A1">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both"/>
        <w:rPr>
          <w:rFonts w:hint="eastAsia" w:ascii="仿宋_GB2312" w:hAnsi="仿宋_GB2312" w:eastAsia="仿宋_GB2312" w:cs="仿宋_GB2312"/>
          <w:color w:val="auto"/>
          <w:spacing w:val="0"/>
          <w:sz w:val="24"/>
          <w:szCs w:val="24"/>
          <w:highlight w:val="none"/>
          <w:u w:val="none"/>
          <w:lang w:eastAsia="zh-CN"/>
        </w:rPr>
      </w:pPr>
      <w:r>
        <w:rPr>
          <w:rFonts w:hint="eastAsia" w:ascii="仿宋_GB2312" w:hAnsi="仿宋_GB2312" w:eastAsia="仿宋_GB2312" w:cs="仿宋_GB2312"/>
          <w:color w:val="auto"/>
          <w:spacing w:val="0"/>
          <w:sz w:val="24"/>
          <w:szCs w:val="24"/>
          <w:highlight w:val="none"/>
          <w:u w:val="none"/>
          <w:lang w:eastAsia="zh-CN"/>
        </w:rPr>
        <w:t>备注：“适度规模养殖”是指存栏鸡达到5000只以上，猪达到100头以上，兔达到1000只以上。</w:t>
      </w:r>
    </w:p>
    <w:p w14:paraId="15EFA37A">
      <w:pPr>
        <w:keepNext w:val="0"/>
        <w:keepLines w:val="0"/>
        <w:pageBreakBefore w:val="0"/>
        <w:widowControl w:val="0"/>
        <w:shd w:val="clear" w:color="auto" w:fill="auto"/>
        <w:kinsoku/>
        <w:wordWrap/>
        <w:overflowPunct/>
        <w:topLinePunct/>
        <w:autoSpaceDE w:val="0"/>
        <w:autoSpaceDN w:val="0"/>
        <w:bidi w:val="0"/>
        <w:spacing w:line="600" w:lineRule="exact"/>
        <w:ind w:left="0" w:leftChars="0" w:right="0"/>
        <w:jc w:val="both"/>
        <w:rPr>
          <w:rFonts w:hint="eastAsia" w:ascii="仿宋_GB2312" w:hAnsi="仿宋_GB2312" w:eastAsia="仿宋_GB2312" w:cs="仿宋_GB2312"/>
          <w:color w:val="auto"/>
          <w:spacing w:val="0"/>
          <w:sz w:val="28"/>
          <w:szCs w:val="28"/>
          <w:highlight w:val="none"/>
          <w:u w:val="none"/>
          <w:lang w:eastAsia="zh-CN"/>
        </w:rPr>
        <w:sectPr>
          <w:footerReference r:id="rId5" w:type="default"/>
          <w:pgSz w:w="11906" w:h="16839"/>
          <w:pgMar w:top="1431" w:right="1474" w:bottom="1810" w:left="1616" w:header="0" w:footer="992" w:gutter="0"/>
          <w:pgNumType w:fmt="decimal"/>
          <w:cols w:space="720" w:num="1"/>
        </w:sectPr>
      </w:pPr>
    </w:p>
    <w:p w14:paraId="350CE517">
      <w:pPr>
        <w:jc w:val="left"/>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附件4</w:t>
      </w:r>
    </w:p>
    <w:p w14:paraId="74EAD14C">
      <w:pPr>
        <w:jc w:val="center"/>
        <w:rPr>
          <w:rFonts w:hint="eastAsia"/>
          <w:b/>
          <w:bCs/>
          <w:color w:val="auto"/>
          <w:sz w:val="36"/>
          <w:szCs w:val="36"/>
          <w:highlight w:val="none"/>
          <w:u w:val="none"/>
        </w:rPr>
      </w:pPr>
      <w:r>
        <w:rPr>
          <w:rFonts w:hint="eastAsia" w:ascii="Times New Roman" w:hAnsi="Times New Roman" w:eastAsia="方正小标宋简体" w:cs="Times New Roman"/>
          <w:snapToGrid/>
          <w:color w:val="auto"/>
          <w:w w:val="95"/>
          <w:kern w:val="2"/>
          <w:sz w:val="44"/>
          <w:szCs w:val="44"/>
          <w:highlight w:val="none"/>
          <w:u w:val="none"/>
          <w:lang w:eastAsia="zh-CN"/>
        </w:rPr>
        <w:t>2022 年健康扶贫后评估中病种（25）</w:t>
      </w:r>
    </w:p>
    <w:p w14:paraId="5115B9A3">
      <w:pPr>
        <w:jc w:val="center"/>
        <w:rPr>
          <w:rFonts w:hint="eastAsia"/>
          <w:b/>
          <w:bCs/>
          <w:color w:val="auto"/>
          <w:sz w:val="36"/>
          <w:szCs w:val="36"/>
          <w:highlight w:val="none"/>
          <w:u w:val="none"/>
        </w:rPr>
      </w:pPr>
    </w:p>
    <w:p w14:paraId="499FCD1D">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国家卫健委规定救治大病25个病种（国卫生办医函〔2019〕427号）</w:t>
      </w:r>
    </w:p>
    <w:p w14:paraId="707D939F">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2019年农村贫困人口大病专项救治的25个病种包括：</w:t>
      </w:r>
    </w:p>
    <w:p w14:paraId="42492535">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儿童先心病、儿童白血病、胃癌、食道癌、结肠癌、直肠癌、终末期肾病、肺癌、肝癌、乳腺癌、宫颈癌、急性心肌梗死、白内障、尘肺、神经母细胞瘤、儿童淋巴瘤、骨肉瘤、血友病、地中海贫血、唇腭裂、尿道下裂、耐多药结核病（新增）、脑卒中（新增）、慢性阻塞性肺气肿（新增）、艾滋病机会感染（新增）。</w:t>
      </w:r>
    </w:p>
    <w:p w14:paraId="7BF818BC">
      <w:pPr>
        <w:rPr>
          <w:color w:val="auto"/>
          <w:highlight w:val="none"/>
          <w:u w:val="none"/>
        </w:rPr>
      </w:pPr>
    </w:p>
    <w:p w14:paraId="786A779E">
      <w:pPr>
        <w:rPr>
          <w:color w:val="auto"/>
          <w:highlight w:val="none"/>
          <w:u w:val="none"/>
        </w:rPr>
      </w:pPr>
    </w:p>
    <w:p w14:paraId="02420F37">
      <w:pPr>
        <w:rPr>
          <w:color w:val="auto"/>
          <w:highlight w:val="none"/>
          <w:u w:val="none"/>
        </w:rPr>
      </w:pPr>
    </w:p>
    <w:p w14:paraId="42B315F3">
      <w:pPr>
        <w:rPr>
          <w:color w:val="auto"/>
          <w:highlight w:val="none"/>
          <w:u w:val="none"/>
        </w:rPr>
      </w:pPr>
    </w:p>
    <w:p w14:paraId="787EAC66">
      <w:pPr>
        <w:rPr>
          <w:color w:val="auto"/>
          <w:highlight w:val="none"/>
          <w:u w:val="none"/>
        </w:rPr>
      </w:pPr>
    </w:p>
    <w:p w14:paraId="01AA95A2">
      <w:pPr>
        <w:rPr>
          <w:color w:val="auto"/>
          <w:highlight w:val="none"/>
          <w:u w:val="none"/>
        </w:rPr>
      </w:pPr>
    </w:p>
    <w:p w14:paraId="1EB60034">
      <w:pPr>
        <w:rPr>
          <w:color w:val="auto"/>
          <w:highlight w:val="none"/>
          <w:u w:val="none"/>
        </w:rPr>
      </w:pPr>
    </w:p>
    <w:p w14:paraId="10F556C7">
      <w:pPr>
        <w:rPr>
          <w:color w:val="auto"/>
          <w:highlight w:val="none"/>
          <w:u w:val="none"/>
        </w:rPr>
      </w:pPr>
    </w:p>
    <w:sectPr>
      <w:footerReference r:id="rId6"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876AAE-824F-4F5E-B49A-261AA3D0BB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1497BF36-A147-4A03-AC7C-A190DEBC5F33}"/>
  </w:font>
  <w:font w:name="仿宋_GB2312">
    <w:panose1 w:val="02010609030101010101"/>
    <w:charset w:val="86"/>
    <w:family w:val="auto"/>
    <w:pitch w:val="default"/>
    <w:sig w:usb0="00000001" w:usb1="080E0000" w:usb2="00000000" w:usb3="00000000" w:csb0="00040000" w:csb1="00000000"/>
    <w:embedRegular r:id="rId3" w:fontKey="{B7497664-2ECA-42A0-AA25-BF9FF2D2FF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C32D">
    <w:pPr>
      <w:spacing w:before="1" w:line="177"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130E47">
                          <w:pPr>
                            <w:pStyle w:val="5"/>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va0P3dAQAAvgMAAA4AAAAAAAAA&#10;AQAgAAAAHgEAAGRycy9lMm9Eb2MueG1sUEsFBgAAAAAGAAYAWQEAAG0FAAAAAA==&#10;">
              <v:fill on="f" focussize="0,0"/>
              <v:stroke on="f"/>
              <v:imagedata o:title=""/>
              <o:lock v:ext="edit" aspectratio="f"/>
              <v:textbox inset="0mm,0mm,0mm,0mm" style="mso-fit-shape-to-text:t;">
                <w:txbxContent>
                  <w:p w14:paraId="7E130E47">
                    <w:pPr>
                      <w:pStyle w:val="5"/>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0BB69">
    <w:pPr>
      <w:spacing w:line="178" w:lineRule="auto"/>
      <w:rPr>
        <w:rFonts w:ascii="宋体" w:hAnsi="宋体" w:eastAsia="宋体" w:cs="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31447">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C8BEzdAQAAvwMAAA4AAAAAAAAA&#10;AQAgAAAAHgEAAGRycy9lMm9Eb2MueG1sUEsFBgAAAAAGAAYAWQEAAG0FAAAAAA==&#10;">
              <v:fill on="f" focussize="0,0"/>
              <v:stroke on="f"/>
              <v:imagedata o:title=""/>
              <o:lock v:ext="edit" aspectratio="f"/>
              <v:textbox inset="0mm,0mm,0mm,0mm" style="mso-fit-shape-to-text:t;">
                <w:txbxContent>
                  <w:p w14:paraId="78631447">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4A54">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0A9305">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70A9305">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EE29">
    <w:pPr>
      <w:widowControl/>
      <w:kinsoku w:val="0"/>
      <w:autoSpaceDE w:val="0"/>
      <w:autoSpaceDN w:val="0"/>
      <w:adjustRightInd w:val="0"/>
      <w:snapToGrid w:val="0"/>
      <w:spacing w:line="177" w:lineRule="auto"/>
      <w:jc w:val="both"/>
      <w:textAlignment w:val="baseline"/>
      <w:rPr>
        <w:rFonts w:ascii="宋体" w:hAnsi="宋体" w:eastAsia="宋体" w:cs="宋体"/>
        <w:snapToGrid w:val="0"/>
        <w:color w:val="000000"/>
        <w:kern w:val="0"/>
        <w:sz w:val="28"/>
        <w:szCs w:val="28"/>
        <w:lang w:eastAsia="en-US"/>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347F1D">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ebd4BAAC/AwAADgAAAGRycy9lMm9Eb2MueG1srVNBrtMwEN0jcQfL&#10;e5q0SK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495t3gEAAL8DAAAOAAAAAAAA&#10;AAEAIAAAAB4BAABkcnMvZTJvRG9jLnhtbFBLBQYAAAAABgAGAFkBAABuBQAAAAA=&#10;">
              <v:fill on="f" focussize="0,0"/>
              <v:stroke on="f"/>
              <v:imagedata o:title=""/>
              <o:lock v:ext="edit" aspectratio="f"/>
              <v:textbox inset="0mm,0mm,0mm,0mm" style="mso-fit-shape-to-text:t;">
                <w:txbxContent>
                  <w:p w14:paraId="48347F1D">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E0245"/>
    <w:multiLevelType w:val="singleLevel"/>
    <w:tmpl w:val="F4BE0245"/>
    <w:lvl w:ilvl="0" w:tentative="0">
      <w:start w:val="1"/>
      <w:numFmt w:val="chineseCounting"/>
      <w:suff w:val="space"/>
      <w:lvlText w:val="(%1)"/>
      <w:lvlJc w:val="left"/>
      <w:rPr>
        <w:rFonts w:hint="eastAsia"/>
      </w:rPr>
    </w:lvl>
  </w:abstractNum>
  <w:abstractNum w:abstractNumId="1">
    <w:nsid w:val="FFB74515"/>
    <w:multiLevelType w:val="singleLevel"/>
    <w:tmpl w:val="FFB74515"/>
    <w:lvl w:ilvl="0" w:tentative="0">
      <w:start w:val="1"/>
      <w:numFmt w:val="chineseCounting"/>
      <w:suff w:val="space"/>
      <w:lvlText w:val="(%1)"/>
      <w:lvlJc w:val="left"/>
      <w:rPr>
        <w:rFonts w:hint="eastAsia"/>
      </w:rPr>
    </w:lvl>
  </w:abstractNum>
  <w:abstractNum w:abstractNumId="2">
    <w:nsid w:val="36F7D7FD"/>
    <w:multiLevelType w:val="singleLevel"/>
    <w:tmpl w:val="36F7D7FD"/>
    <w:lvl w:ilvl="0" w:tentative="0">
      <w:start w:val="1"/>
      <w:numFmt w:val="chineseCounting"/>
      <w:suff w:val="space"/>
      <w:lvlText w:val="(%1)"/>
      <w:lvlJc w:val="left"/>
      <w:pPr>
        <w:ind w:left="-10"/>
      </w:pPr>
      <w:rPr>
        <w:rFonts w:hint="eastAsia"/>
        <w:color w:val="000000"/>
      </w:rPr>
    </w:lvl>
  </w:abstractNum>
  <w:abstractNum w:abstractNumId="3">
    <w:nsid w:val="3BB8FA5C"/>
    <w:multiLevelType w:val="singleLevel"/>
    <w:tmpl w:val="3BB8FA5C"/>
    <w:lvl w:ilvl="0" w:tentative="0">
      <w:start w:val="1"/>
      <w:numFmt w:val="chineseCounting"/>
      <w:suff w:val="nothing"/>
      <w:lvlText w:val="（%1）"/>
      <w:lvlJc w:val="left"/>
      <w:rPr>
        <w:rFonts w:hint="eastAsia"/>
      </w:rPr>
    </w:lvl>
  </w:abstractNum>
  <w:abstractNum w:abstractNumId="4">
    <w:nsid w:val="67A47C2E"/>
    <w:multiLevelType w:val="singleLevel"/>
    <w:tmpl w:val="67A47C2E"/>
    <w:lvl w:ilvl="0" w:tentative="0">
      <w:start w:val="1"/>
      <w:numFmt w:val="chineseCounting"/>
      <w:suff w:val="space"/>
      <w:lvlText w:val="第%1章"/>
      <w:lvlJc w:val="left"/>
      <w:rPr>
        <w:rFonts w:hint="eastAsia"/>
      </w:rPr>
    </w:lvl>
  </w:abstractNum>
  <w:abstractNum w:abstractNumId="5">
    <w:nsid w:val="73DF2E35"/>
    <w:multiLevelType w:val="singleLevel"/>
    <w:tmpl w:val="73DF2E35"/>
    <w:lvl w:ilvl="0" w:tentative="0">
      <w:start w:val="1"/>
      <w:numFmt w:val="chineseCounting"/>
      <w:suff w:val="space"/>
      <w:lvlText w:val="(%1)"/>
      <w:lvlJc w:val="left"/>
      <w:rPr>
        <w:rFonts w:hint="eastAsia"/>
      </w:rPr>
    </w:lvl>
  </w:abstractNum>
  <w:abstractNum w:abstractNumId="6">
    <w:nsid w:val="77FFDB03"/>
    <w:multiLevelType w:val="singleLevel"/>
    <w:tmpl w:val="77FFDB03"/>
    <w:lvl w:ilvl="0" w:tentative="0">
      <w:start w:val="4"/>
      <w:numFmt w:val="chineseCounting"/>
      <w:suff w:val="nothing"/>
      <w:lvlText w:val="（%1）"/>
      <w:lvlJc w:val="left"/>
      <w:pPr>
        <w:ind w:left="420"/>
      </w:pPr>
      <w:rPr>
        <w:rFonts w:hint="eastAsia"/>
      </w:rPr>
    </w:lvl>
  </w:abstractNum>
  <w:abstractNum w:abstractNumId="7">
    <w:nsid w:val="7CA84248"/>
    <w:multiLevelType w:val="singleLevel"/>
    <w:tmpl w:val="7CA84248"/>
    <w:lvl w:ilvl="0" w:tentative="0">
      <w:start w:val="3"/>
      <w:numFmt w:val="chineseCounting"/>
      <w:suff w:val="space"/>
      <w:lvlText w:val="第%1条"/>
      <w:lvlJc w:val="left"/>
      <w:rPr>
        <w:rFonts w:hint="eastAsia"/>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zIzNTA4NzNhNDY3YjdiNzNhNmE5MGYzYTdjOTIifQ=="/>
    <w:docVar w:name="KSO_WPS_MARK_KEY" w:val="bc06b96a-dfd4-4181-831f-c65a37c6b7b3"/>
  </w:docVars>
  <w:rsids>
    <w:rsidRoot w:val="79AF6E25"/>
    <w:rsid w:val="011B490B"/>
    <w:rsid w:val="01FE549F"/>
    <w:rsid w:val="023B5A9E"/>
    <w:rsid w:val="02B12E27"/>
    <w:rsid w:val="049003E3"/>
    <w:rsid w:val="04E023D6"/>
    <w:rsid w:val="0719480E"/>
    <w:rsid w:val="08606B5E"/>
    <w:rsid w:val="0B7C551E"/>
    <w:rsid w:val="0BDB3C0B"/>
    <w:rsid w:val="0EB34409"/>
    <w:rsid w:val="0F0E373C"/>
    <w:rsid w:val="0F8D4CC1"/>
    <w:rsid w:val="0FE07C99"/>
    <w:rsid w:val="10146B40"/>
    <w:rsid w:val="13216C63"/>
    <w:rsid w:val="14B208FE"/>
    <w:rsid w:val="17907900"/>
    <w:rsid w:val="1CF911DC"/>
    <w:rsid w:val="1F986114"/>
    <w:rsid w:val="207528D1"/>
    <w:rsid w:val="22176C19"/>
    <w:rsid w:val="257E1F92"/>
    <w:rsid w:val="2847015A"/>
    <w:rsid w:val="28E644DA"/>
    <w:rsid w:val="2A5909DD"/>
    <w:rsid w:val="2B4A5D98"/>
    <w:rsid w:val="2F89340E"/>
    <w:rsid w:val="33E919BD"/>
    <w:rsid w:val="395F7828"/>
    <w:rsid w:val="39781DE7"/>
    <w:rsid w:val="399E644E"/>
    <w:rsid w:val="3B2975E9"/>
    <w:rsid w:val="3BE7490C"/>
    <w:rsid w:val="3CF01087"/>
    <w:rsid w:val="3DD5530C"/>
    <w:rsid w:val="3F993564"/>
    <w:rsid w:val="408254AD"/>
    <w:rsid w:val="45E745BD"/>
    <w:rsid w:val="49753541"/>
    <w:rsid w:val="49C83AA1"/>
    <w:rsid w:val="4B6D1BEC"/>
    <w:rsid w:val="4D5FD0C3"/>
    <w:rsid w:val="4D6F3E3A"/>
    <w:rsid w:val="4EC823D1"/>
    <w:rsid w:val="4FA6601A"/>
    <w:rsid w:val="505D6D5E"/>
    <w:rsid w:val="51826BFD"/>
    <w:rsid w:val="5309568E"/>
    <w:rsid w:val="57FFC35D"/>
    <w:rsid w:val="5CE54308"/>
    <w:rsid w:val="5CF858BE"/>
    <w:rsid w:val="5E36C6AE"/>
    <w:rsid w:val="5E6E27ED"/>
    <w:rsid w:val="5F2C07EB"/>
    <w:rsid w:val="5FDCF7A8"/>
    <w:rsid w:val="614F2ED4"/>
    <w:rsid w:val="63C91523"/>
    <w:rsid w:val="66846E11"/>
    <w:rsid w:val="6837248C"/>
    <w:rsid w:val="6AD72A11"/>
    <w:rsid w:val="6AF32D6D"/>
    <w:rsid w:val="6C0273E3"/>
    <w:rsid w:val="6CEF5E0E"/>
    <w:rsid w:val="6EF1A074"/>
    <w:rsid w:val="6EFDE166"/>
    <w:rsid w:val="6F7F3A7E"/>
    <w:rsid w:val="6F9876E9"/>
    <w:rsid w:val="730F63E0"/>
    <w:rsid w:val="737001B0"/>
    <w:rsid w:val="74101F4C"/>
    <w:rsid w:val="74666E87"/>
    <w:rsid w:val="75F37333"/>
    <w:rsid w:val="7735778F"/>
    <w:rsid w:val="793959A3"/>
    <w:rsid w:val="79AF6E25"/>
    <w:rsid w:val="79BD7132"/>
    <w:rsid w:val="79DA4CFA"/>
    <w:rsid w:val="7AB74B65"/>
    <w:rsid w:val="7B3B096E"/>
    <w:rsid w:val="7BDF6531"/>
    <w:rsid w:val="7BFD1F59"/>
    <w:rsid w:val="7C731488"/>
    <w:rsid w:val="7D57A59B"/>
    <w:rsid w:val="7DF66929"/>
    <w:rsid w:val="7F7AF0A5"/>
    <w:rsid w:val="7F7B2972"/>
    <w:rsid w:val="7FD3067B"/>
    <w:rsid w:val="7FF5403D"/>
    <w:rsid w:val="7FF558BD"/>
    <w:rsid w:val="7FF62776"/>
    <w:rsid w:val="8E7ED07B"/>
    <w:rsid w:val="9FE75BD3"/>
    <w:rsid w:val="B3FEB39A"/>
    <w:rsid w:val="BF374136"/>
    <w:rsid w:val="D7C5FD72"/>
    <w:rsid w:val="DBF76AB6"/>
    <w:rsid w:val="DDFFE436"/>
    <w:rsid w:val="DF2FEB5C"/>
    <w:rsid w:val="DFAE12C8"/>
    <w:rsid w:val="EB2B5D99"/>
    <w:rsid w:val="ECFF2ED0"/>
    <w:rsid w:val="EDEC6513"/>
    <w:rsid w:val="EEB3D678"/>
    <w:rsid w:val="EEED7AD0"/>
    <w:rsid w:val="EFFF93A9"/>
    <w:rsid w:val="F3F79CDC"/>
    <w:rsid w:val="F5EF8904"/>
    <w:rsid w:val="F7F7D711"/>
    <w:rsid w:val="F7FB46C1"/>
    <w:rsid w:val="FEC46B12"/>
    <w:rsid w:val="FEFF4B01"/>
    <w:rsid w:val="FEFFD191"/>
    <w:rsid w:val="FF3E2F01"/>
    <w:rsid w:val="FF6B482E"/>
    <w:rsid w:val="FF7E1A29"/>
    <w:rsid w:val="FFF33FA9"/>
    <w:rsid w:val="FFFFB5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0"/>
    <w:rPr>
      <w:rFonts w:ascii="Arial" w:hAnsi="Arial" w:eastAsia="Arial" w:cs="Arial"/>
      <w:sz w:val="21"/>
      <w:szCs w:val="21"/>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8619</Words>
  <Characters>8809</Characters>
  <Lines>0</Lines>
  <Paragraphs>0</Paragraphs>
  <TotalTime>21</TotalTime>
  <ScaleCrop>false</ScaleCrop>
  <LinksUpToDate>false</LinksUpToDate>
  <CharactersWithSpaces>8926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2024-09-16T01:10:00Z</dcterms:created>
  <dc:creator>thtf</dc:creator>
  <cp:lastModifiedBy>碧云天</cp:lastModifiedBy>
  <cp:lastPrinted>2025-04-27T02:54:17Z</cp:lastPrinted>
  <dcterms:modified xsi:type="dcterms:W3CDTF">2025-04-27T03:03:05Z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7A769E3F4E5D4FABB4F6DA4B7A07FE68_13</vt:lpwstr>
  </property>
  <property fmtid="{D5CDD505-2E9C-101B-9397-08002B2CF9AE}" pid="4" name="KSOTemplateDocerSaveRecord">
    <vt:lpwstr>eyJoZGlkIjoiNzI2ZGI0OGUzMDAzMzk0YmE1OTYyMDVlZGMwMmYyODYiLCJ1c2VySWQiOiIzNjIzMDEzMzQifQ==</vt:lpwstr>
  </property>
</Properties>
</file>