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C5F98">
      <w:pPr>
        <w:rPr>
          <w:rFonts w:ascii="Times New Roman" w:hAnsi="Times New Roman"/>
        </w:rPr>
      </w:pPr>
      <w:bookmarkStart w:id="0" w:name="_Toc15377193"/>
      <w:bookmarkStart w:id="1" w:name="_Toc15396475"/>
      <w:bookmarkStart w:id="2" w:name="_Toc15396597"/>
      <w:bookmarkStart w:id="3" w:name="_Toc15377425"/>
      <w:bookmarkStart w:id="4" w:name="_Toc15306267"/>
      <w:bookmarkStart w:id="5" w:name="_Toc15378441"/>
    </w:p>
    <w:bookmarkEnd w:id="0"/>
    <w:bookmarkEnd w:id="1"/>
    <w:bookmarkEnd w:id="2"/>
    <w:bookmarkEnd w:id="3"/>
    <w:bookmarkEnd w:id="4"/>
    <w:bookmarkEnd w:id="5"/>
    <w:p w14:paraId="25B46D2A">
      <w:pPr>
        <w:pStyle w:val="2"/>
        <w:jc w:val="both"/>
        <w:rPr>
          <w:rFonts w:hint="eastAsia" w:ascii="方正小标宋简体" w:hAnsi="宋体" w:eastAsia="方正小标宋简体" w:cs="Times New Roman"/>
          <w:color w:val="auto"/>
          <w:kern w:val="2"/>
          <w:sz w:val="44"/>
          <w:szCs w:val="44"/>
          <w:highlight w:val="none"/>
          <w:lang w:val="en-US" w:eastAsia="zh-CN" w:bidi="ar-SA"/>
        </w:rPr>
      </w:pPr>
    </w:p>
    <w:p w14:paraId="08617C5A">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val="en-US" w:eastAsia="zh-CN"/>
        </w:rPr>
        <w:t>2024</w:t>
      </w:r>
      <w:r>
        <w:rPr>
          <w:rFonts w:hint="eastAsia" w:ascii="方正小标宋简体" w:hAnsi="方正小标宋简体" w:eastAsia="方正小标宋简体" w:cs="方正小标宋简体"/>
          <w:sz w:val="72"/>
          <w:szCs w:val="72"/>
        </w:rPr>
        <w:t>年度</w:t>
      </w:r>
    </w:p>
    <w:p w14:paraId="67F731E9">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7194"/>
      <w:bookmarkStart w:id="7" w:name="_Toc15396476"/>
      <w:bookmarkStart w:id="8" w:name="_Toc15396598"/>
      <w:bookmarkStart w:id="9" w:name="_Toc15377426"/>
      <w:bookmarkStart w:id="10" w:name="_Toc15378442"/>
      <w:r>
        <w:rPr>
          <w:rFonts w:hint="eastAsia" w:ascii="方正小标宋简体" w:hAnsi="方正小标宋简体" w:eastAsia="方正小标宋简体" w:cs="方正小标宋简体"/>
          <w:sz w:val="72"/>
          <w:szCs w:val="72"/>
        </w:rPr>
        <w:t>四川省</w:t>
      </w:r>
      <w:bookmarkStart w:id="11" w:name="_Toc15306268"/>
      <w:r>
        <w:rPr>
          <w:rFonts w:hint="eastAsia" w:ascii="方正小标宋简体" w:hAnsi="方正小标宋简体" w:eastAsia="方正小标宋简体" w:cs="方正小标宋简体"/>
          <w:sz w:val="72"/>
          <w:szCs w:val="72"/>
          <w:lang w:val="en-US" w:eastAsia="zh-CN"/>
        </w:rPr>
        <w:t>峨边彝族自治县</w:t>
      </w:r>
    </w:p>
    <w:p w14:paraId="31FBE3F7">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产业园区管理委员会</w:t>
      </w:r>
    </w:p>
    <w:p w14:paraId="3FC0B8ED">
      <w:pPr>
        <w:adjustRightInd w:val="0"/>
        <w:snapToGrid w:val="0"/>
        <w:spacing w:line="360" w:lineRule="auto"/>
        <w:jc w:val="center"/>
        <w:outlineLvl w:val="0"/>
        <w:rPr>
          <w:rFonts w:hint="eastAsia" w:ascii="黑体" w:hAnsi="黑体" w:eastAsia="黑体"/>
          <w:sz w:val="48"/>
          <w:szCs w:val="48"/>
          <w:lang w:eastAsia="zh-C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方正小标宋简体" w:hAnsi="方正小标宋简体" w:eastAsia="方正小标宋简体" w:cs="方正小标宋简体"/>
          <w:sz w:val="72"/>
          <w:szCs w:val="72"/>
          <w:lang w:val="en-US" w:eastAsia="zh-CN"/>
        </w:rPr>
        <w:t>部门</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bookmarkStart w:id="12" w:name="_Toc15377196"/>
      <w:bookmarkStart w:id="13" w:name="_Toc15396599"/>
    </w:p>
    <w:p w14:paraId="48CD7C05">
      <w:pPr>
        <w:widowControl/>
        <w:jc w:val="center"/>
        <w:rPr>
          <w:rFonts w:ascii="黑体" w:hAnsi="黑体" w:eastAsia="黑体"/>
          <w:sz w:val="48"/>
          <w:szCs w:val="48"/>
        </w:rPr>
      </w:pPr>
      <w:r>
        <w:rPr>
          <w:rFonts w:hint="eastAsia" w:ascii="黑体" w:hAnsi="黑体" w:eastAsia="黑体"/>
          <w:sz w:val="48"/>
          <w:szCs w:val="48"/>
        </w:rPr>
        <w:t>目录</w:t>
      </w:r>
    </w:p>
    <w:p w14:paraId="3DAEE5AE">
      <w:pPr>
        <w:widowControl/>
        <w:jc w:val="center"/>
        <w:rPr>
          <w:rFonts w:ascii="黑体" w:hAnsi="黑体" w:eastAsia="黑体" w:cstheme="minorBidi"/>
          <w:sz w:val="28"/>
          <w:szCs w:val="28"/>
        </w:rPr>
      </w:pPr>
    </w:p>
    <w:p w14:paraId="207ACBFC">
      <w:pPr>
        <w:pStyle w:val="14"/>
      </w:pPr>
      <w:r>
        <w:rPr>
          <w:rFonts w:hint="eastAsia"/>
        </w:rPr>
        <w:t>公开时间：202</w:t>
      </w:r>
      <w:r>
        <w:rPr>
          <w:rFonts w:hint="eastAsia"/>
          <w:lang w:val="en-US" w:eastAsia="zh-CN"/>
        </w:rPr>
        <w:t>5</w:t>
      </w:r>
      <w:r>
        <w:rPr>
          <w:rFonts w:hint="eastAsia"/>
        </w:rPr>
        <w:t>年</w:t>
      </w:r>
      <w:r>
        <w:rPr>
          <w:rFonts w:hint="eastAsia"/>
          <w:lang w:val="en-US" w:eastAsia="zh-CN"/>
        </w:rPr>
        <w:t>11</w:t>
      </w:r>
      <w:r>
        <w:rPr>
          <w:rFonts w:hint="eastAsia"/>
        </w:rPr>
        <w:t xml:space="preserve">月 </w:t>
      </w:r>
      <w:r>
        <w:rPr>
          <w:rFonts w:hint="eastAsia"/>
          <w:lang w:val="en-US" w:eastAsia="zh-CN"/>
        </w:rPr>
        <w:t>28</w:t>
      </w:r>
      <w:r>
        <w:rPr>
          <w:rFonts w:hint="eastAsia"/>
        </w:rPr>
        <w:t>日</w:t>
      </w:r>
    </w:p>
    <w:p w14:paraId="7DA01AD3"/>
    <w:p w14:paraId="4FA26093">
      <w:pPr>
        <w:pStyle w:val="14"/>
        <w:adjustRightInd w:val="0"/>
        <w:snapToGrid w:val="0"/>
        <w:spacing w:before="0" w:line="440" w:lineRule="exact"/>
        <w:jc w:val="left"/>
        <w:rPr>
          <w:rFonts w:hint="eastAsia" w:ascii="仿宋" w:hAnsi="仿宋" w:eastAsia="仿宋" w:cs="仿宋"/>
          <w:sz w:val="24"/>
          <w:szCs w:val="24"/>
          <w:lang w:val="en-US" w:eastAsia="zh-CN"/>
        </w:rPr>
      </w:pPr>
      <w:r>
        <w:rPr>
          <w:rFonts w:hint="eastAsia" w:ascii="仿宋" w:hAnsi="仿宋" w:eastAsia="仿宋" w:cs="仿宋"/>
          <w:sz w:val="24"/>
        </w:rPr>
        <w:t>第一部分 部门概况</w:t>
      </w:r>
      <w:r>
        <w:rPr>
          <w:rFonts w:hint="eastAsia" w:ascii="仿宋" w:hAnsi="仿宋" w:eastAsia="仿宋" w:cs="仿宋"/>
          <w:sz w:val="24"/>
          <w:lang w:val="en-US" w:eastAsia="zh-CN"/>
        </w:rPr>
        <w:t>.................................................</w:t>
      </w:r>
      <w:r>
        <w:rPr>
          <w:rFonts w:hint="eastAsia" w:cs="仿宋"/>
          <w:sz w:val="24"/>
          <w:lang w:val="en-US" w:eastAsia="zh-CN"/>
        </w:rPr>
        <w:t>.</w:t>
      </w:r>
      <w:r>
        <w:rPr>
          <w:rFonts w:hint="eastAsia" w:ascii="仿宋" w:hAnsi="仿宋" w:eastAsia="仿宋" w:cs="仿宋"/>
          <w:sz w:val="24"/>
          <w:lang w:val="en-US" w:eastAsia="zh-CN"/>
        </w:rPr>
        <w:t>4</w:t>
      </w:r>
    </w:p>
    <w:p w14:paraId="21BE3CDD">
      <w:pPr>
        <w:pStyle w:val="16"/>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一、部门职责</w:t>
      </w:r>
      <w:r>
        <w:rPr>
          <w:rFonts w:hint="eastAsia" w:ascii="仿宋" w:hAnsi="仿宋" w:eastAsia="仿宋" w:cs="仿宋"/>
          <w:sz w:val="24"/>
          <w:lang w:val="en-US" w:eastAsia="zh-CN"/>
        </w:rPr>
        <w:t>....................................................4</w:t>
      </w:r>
    </w:p>
    <w:p w14:paraId="75CC4FBB">
      <w:pPr>
        <w:pStyle w:val="16"/>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二、机构设置</w:t>
      </w:r>
      <w:r>
        <w:rPr>
          <w:rFonts w:hint="eastAsia" w:ascii="仿宋" w:hAnsi="仿宋" w:eastAsia="仿宋" w:cs="仿宋"/>
          <w:sz w:val="24"/>
          <w:lang w:val="en-US" w:eastAsia="zh-CN"/>
        </w:rPr>
        <w:t>....................................................4</w:t>
      </w:r>
    </w:p>
    <w:p w14:paraId="36499682">
      <w:pPr>
        <w:pStyle w:val="14"/>
        <w:adjustRightInd w:val="0"/>
        <w:snapToGrid w:val="0"/>
        <w:spacing w:before="0" w:line="440" w:lineRule="exact"/>
        <w:jc w:val="left"/>
        <w:rPr>
          <w:rFonts w:hint="eastAsia" w:ascii="仿宋" w:hAnsi="仿宋" w:eastAsia="仿宋" w:cs="仿宋"/>
          <w:sz w:val="24"/>
          <w:szCs w:val="24"/>
          <w:lang w:val="en-US" w:eastAsia="zh-CN"/>
        </w:rPr>
      </w:pPr>
      <w:r>
        <w:rPr>
          <w:rFonts w:hint="eastAsia" w:ascii="仿宋" w:hAnsi="仿宋" w:eastAsia="仿宋" w:cs="仿宋"/>
          <w:sz w:val="24"/>
        </w:rPr>
        <w:t>第二部分 202</w:t>
      </w:r>
      <w:r>
        <w:rPr>
          <w:rFonts w:hint="eastAsia" w:cs="仿宋"/>
          <w:sz w:val="24"/>
          <w:lang w:val="en-US" w:eastAsia="zh-CN"/>
        </w:rPr>
        <w:t>4</w:t>
      </w:r>
      <w:r>
        <w:rPr>
          <w:rFonts w:hint="eastAsia" w:ascii="仿宋" w:hAnsi="仿宋" w:eastAsia="仿宋" w:cs="仿宋"/>
          <w:sz w:val="24"/>
        </w:rPr>
        <w:t>年度部门决算情况说明</w:t>
      </w:r>
      <w:r>
        <w:rPr>
          <w:rFonts w:hint="eastAsia" w:ascii="仿宋" w:hAnsi="仿宋" w:eastAsia="仿宋" w:cs="仿宋"/>
          <w:sz w:val="24"/>
          <w:lang w:val="en-US" w:eastAsia="zh-CN"/>
        </w:rPr>
        <w:t>...............</w:t>
      </w:r>
      <w:r>
        <w:rPr>
          <w:rFonts w:hint="eastAsia" w:cs="仿宋"/>
          <w:sz w:val="24"/>
          <w:lang w:val="en-US" w:eastAsia="zh-CN"/>
        </w:rPr>
        <w:t>.</w:t>
      </w:r>
      <w:r>
        <w:rPr>
          <w:rFonts w:hint="eastAsia" w:ascii="仿宋" w:hAnsi="仿宋" w:eastAsia="仿宋" w:cs="仿宋"/>
          <w:sz w:val="24"/>
          <w:lang w:val="en-US" w:eastAsia="zh-CN"/>
        </w:rPr>
        <w:t>..................6</w:t>
      </w:r>
    </w:p>
    <w:p w14:paraId="138144CB">
      <w:pPr>
        <w:pStyle w:val="16"/>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一、收入支出决算总体情况说明</w:t>
      </w:r>
      <w:r>
        <w:rPr>
          <w:rFonts w:hint="eastAsia" w:ascii="仿宋" w:hAnsi="仿宋" w:eastAsia="仿宋" w:cs="仿宋"/>
          <w:sz w:val="24"/>
          <w:lang w:val="en-US" w:eastAsia="zh-CN"/>
        </w:rPr>
        <w:t>....................................6</w:t>
      </w:r>
    </w:p>
    <w:p w14:paraId="0E7BABE0">
      <w:pPr>
        <w:pStyle w:val="16"/>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二、收入决算情况说明</w:t>
      </w:r>
      <w:r>
        <w:rPr>
          <w:rFonts w:hint="eastAsia" w:ascii="仿宋" w:hAnsi="仿宋" w:eastAsia="仿宋" w:cs="仿宋"/>
          <w:sz w:val="24"/>
          <w:lang w:val="en-US" w:eastAsia="zh-CN"/>
        </w:rPr>
        <w:t>............................................6</w:t>
      </w:r>
    </w:p>
    <w:p w14:paraId="5C85E400">
      <w:pPr>
        <w:pStyle w:val="16"/>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三、支出决算情况说明</w:t>
      </w:r>
      <w:r>
        <w:rPr>
          <w:rFonts w:hint="eastAsia" w:ascii="仿宋" w:hAnsi="仿宋" w:eastAsia="仿宋" w:cs="仿宋"/>
          <w:sz w:val="24"/>
          <w:lang w:val="en-US" w:eastAsia="zh-CN"/>
        </w:rPr>
        <w:t>............................................7</w:t>
      </w:r>
    </w:p>
    <w:p w14:paraId="6015C3ED">
      <w:pPr>
        <w:pStyle w:val="16"/>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四、财政拨款收入支出决算总体情况说明</w:t>
      </w:r>
      <w:r>
        <w:rPr>
          <w:rFonts w:hint="eastAsia" w:ascii="仿宋" w:hAnsi="仿宋" w:eastAsia="仿宋" w:cs="仿宋"/>
          <w:sz w:val="24"/>
          <w:lang w:val="en-US" w:eastAsia="zh-CN"/>
        </w:rPr>
        <w:t>............................7</w:t>
      </w:r>
    </w:p>
    <w:p w14:paraId="46485F40">
      <w:pPr>
        <w:pStyle w:val="16"/>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五、一般公共预算财政拨款支出决算情况说明</w:t>
      </w:r>
      <w:r>
        <w:rPr>
          <w:rFonts w:hint="eastAsia" w:ascii="仿宋" w:hAnsi="仿宋" w:eastAsia="仿宋" w:cs="仿宋"/>
          <w:sz w:val="24"/>
          <w:lang w:val="en-US" w:eastAsia="zh-CN"/>
        </w:rPr>
        <w:t>........................8</w:t>
      </w:r>
    </w:p>
    <w:p w14:paraId="40BC807B">
      <w:pPr>
        <w:pStyle w:val="16"/>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六、一般公共预算财政拨款基本支出决算情况说明</w:t>
      </w:r>
      <w:r>
        <w:rPr>
          <w:rFonts w:hint="eastAsia" w:ascii="仿宋" w:hAnsi="仿宋" w:eastAsia="仿宋" w:cs="仿宋"/>
          <w:sz w:val="24"/>
          <w:lang w:val="en-US" w:eastAsia="zh-CN"/>
        </w:rPr>
        <w:t>...................10</w:t>
      </w:r>
    </w:p>
    <w:p w14:paraId="755996CE">
      <w:pPr>
        <w:pStyle w:val="16"/>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七、财政拨款“三公”经费支出决算情况说明</w:t>
      </w:r>
      <w:r>
        <w:rPr>
          <w:rFonts w:hint="eastAsia" w:ascii="仿宋" w:hAnsi="仿宋" w:eastAsia="仿宋" w:cs="仿宋"/>
          <w:sz w:val="24"/>
          <w:lang w:val="en-US" w:eastAsia="zh-CN"/>
        </w:rPr>
        <w:t>.......................11</w:t>
      </w:r>
    </w:p>
    <w:p w14:paraId="78A6C1C5">
      <w:pPr>
        <w:pStyle w:val="16"/>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八、政府性基金预算支出决算情况说明</w:t>
      </w:r>
      <w:r>
        <w:rPr>
          <w:rFonts w:hint="eastAsia" w:ascii="仿宋" w:hAnsi="仿宋" w:eastAsia="仿宋" w:cs="仿宋"/>
          <w:sz w:val="24"/>
          <w:lang w:val="en-US" w:eastAsia="zh-CN"/>
        </w:rPr>
        <w:t>.............................13</w:t>
      </w:r>
    </w:p>
    <w:p w14:paraId="1EFC481C">
      <w:pPr>
        <w:pStyle w:val="16"/>
        <w:adjustRightInd w:val="0"/>
        <w:snapToGrid w:val="0"/>
        <w:spacing w:line="440" w:lineRule="exact"/>
        <w:ind w:leftChars="0"/>
        <w:jc w:val="left"/>
        <w:rPr>
          <w:rFonts w:hint="default" w:ascii="仿宋" w:hAnsi="仿宋" w:eastAsia="仿宋" w:cs="仿宋"/>
          <w:sz w:val="24"/>
          <w:lang w:val="en-US" w:eastAsia="zh-CN"/>
        </w:rPr>
      </w:pPr>
      <w:r>
        <w:rPr>
          <w:rFonts w:hint="eastAsia" w:ascii="仿宋" w:hAnsi="仿宋" w:eastAsia="仿宋" w:cs="仿宋"/>
          <w:sz w:val="24"/>
        </w:rPr>
        <w:t>九、国有资本经营预算支出决算情况说明</w:t>
      </w:r>
      <w:r>
        <w:rPr>
          <w:rFonts w:hint="eastAsia" w:ascii="仿宋" w:hAnsi="仿宋" w:eastAsia="仿宋" w:cs="仿宋"/>
          <w:sz w:val="24"/>
          <w:lang w:val="en-US" w:eastAsia="zh-CN"/>
        </w:rPr>
        <w:t>...........................13</w:t>
      </w:r>
    </w:p>
    <w:p w14:paraId="287F2252">
      <w:pPr>
        <w:adjustRightInd w:val="0"/>
        <w:snapToGrid w:val="0"/>
        <w:spacing w:line="440" w:lineRule="exact"/>
        <w:ind w:firstLine="420" w:firstLineChars="175"/>
        <w:jc w:val="left"/>
        <w:rPr>
          <w:rFonts w:hint="default" w:ascii="仿宋" w:hAnsi="仿宋" w:eastAsia="仿宋" w:cs="仿宋"/>
          <w:sz w:val="24"/>
          <w:lang w:val="en-US"/>
        </w:rPr>
      </w:pPr>
      <w:r>
        <w:rPr>
          <w:rStyle w:val="21"/>
          <w:rFonts w:hint="eastAsia" w:ascii="仿宋" w:hAnsi="仿宋" w:eastAsia="仿宋" w:cs="仿宋"/>
          <w:color w:val="auto"/>
          <w:sz w:val="24"/>
          <w:u w:val="none"/>
        </w:rPr>
        <w:t>十、</w:t>
      </w:r>
      <w:r>
        <w:rPr>
          <w:rFonts w:hint="eastAsia" w:ascii="仿宋" w:hAnsi="仿宋" w:eastAsia="仿宋" w:cs="仿宋"/>
          <w:sz w:val="24"/>
        </w:rPr>
        <w:t>其他重要事项的情况说明</w:t>
      </w:r>
      <w:r>
        <w:rPr>
          <w:rFonts w:hint="eastAsia" w:ascii="仿宋" w:hAnsi="仿宋" w:eastAsia="仿宋" w:cs="仿宋"/>
          <w:sz w:val="24"/>
          <w:lang w:val="en-US" w:eastAsia="zh-CN"/>
        </w:rPr>
        <w:t>.....................................13</w:t>
      </w:r>
    </w:p>
    <w:p w14:paraId="730D886B">
      <w:pPr>
        <w:pStyle w:val="14"/>
        <w:adjustRightInd w:val="0"/>
        <w:snapToGrid w:val="0"/>
        <w:spacing w:before="0" w:line="440" w:lineRule="exact"/>
        <w:jc w:val="left"/>
        <w:rPr>
          <w:rFonts w:hint="default" w:ascii="仿宋" w:hAnsi="仿宋" w:eastAsia="仿宋" w:cs="仿宋"/>
          <w:sz w:val="24"/>
          <w:szCs w:val="24"/>
          <w:lang w:val="en-US" w:eastAsia="zh-CN"/>
        </w:rPr>
      </w:pPr>
      <w:r>
        <w:rPr>
          <w:rFonts w:hint="eastAsia" w:ascii="仿宋" w:hAnsi="仿宋" w:eastAsia="仿宋" w:cs="仿宋"/>
          <w:sz w:val="24"/>
        </w:rPr>
        <w:t>第三部分 名词解释</w:t>
      </w:r>
      <w:r>
        <w:rPr>
          <w:rFonts w:hint="eastAsia" w:cs="仿宋"/>
          <w:sz w:val="24"/>
          <w:lang w:val="en-US" w:eastAsia="zh-CN"/>
        </w:rPr>
        <w:t>..................................................15</w:t>
      </w:r>
      <w:r>
        <w:rPr>
          <w:rFonts w:hint="eastAsia" w:ascii="仿宋" w:hAnsi="仿宋" w:eastAsia="仿宋" w:cs="仿宋"/>
          <w:sz w:val="24"/>
        </w:rPr>
        <w:t>第四部分 附件</w:t>
      </w:r>
      <w:r>
        <w:rPr>
          <w:rFonts w:hint="eastAsia" w:cs="仿宋"/>
          <w:sz w:val="24"/>
          <w:lang w:val="en-US" w:eastAsia="zh-CN"/>
        </w:rPr>
        <w:t>......................................................18</w:t>
      </w:r>
      <w:r>
        <w:rPr>
          <w:rFonts w:hint="eastAsia" w:ascii="仿宋" w:hAnsi="仿宋" w:eastAsia="仿宋" w:cs="仿宋"/>
          <w:sz w:val="24"/>
        </w:rPr>
        <w:t>第五部分 附表</w:t>
      </w:r>
      <w:r>
        <w:rPr>
          <w:rFonts w:hint="eastAsia" w:cs="仿宋"/>
          <w:sz w:val="24"/>
          <w:lang w:val="en-US" w:eastAsia="zh-CN"/>
        </w:rPr>
        <w:t>......................................................29</w:t>
      </w:r>
    </w:p>
    <w:p w14:paraId="3321575B">
      <w:pPr>
        <w:pStyle w:val="16"/>
        <w:adjustRightInd w:val="0"/>
        <w:snapToGrid w:val="0"/>
        <w:spacing w:line="440" w:lineRule="exact"/>
        <w:jc w:val="left"/>
        <w:rPr>
          <w:rFonts w:hint="default" w:ascii="仿宋" w:hAnsi="仿宋" w:eastAsia="仿宋" w:cs="仿宋"/>
          <w:kern w:val="2"/>
          <w:sz w:val="24"/>
          <w:szCs w:val="28"/>
          <w:lang w:val="en-US" w:eastAsia="zh-CN" w:bidi="ar-SA"/>
        </w:rPr>
      </w:pPr>
      <w:r>
        <w:rPr>
          <w:rFonts w:hint="eastAsia" w:ascii="仿宋" w:hAnsi="仿宋" w:eastAsia="仿宋" w:cs="仿宋"/>
          <w:sz w:val="24"/>
        </w:rPr>
        <w:t>一、收入支出决算总</w:t>
      </w:r>
      <w:r>
        <w:rPr>
          <w:rFonts w:hint="eastAsia" w:ascii="仿宋" w:hAnsi="仿宋" w:eastAsia="仿宋" w:cs="仿宋"/>
          <w:kern w:val="2"/>
          <w:sz w:val="24"/>
          <w:szCs w:val="28"/>
          <w:lang w:val="en-US" w:eastAsia="zh-CN" w:bidi="ar-SA"/>
        </w:rPr>
        <w:t>表............................................29</w:t>
      </w:r>
    </w:p>
    <w:p w14:paraId="020252C2">
      <w:pPr>
        <w:pStyle w:val="16"/>
        <w:adjustRightInd w:val="0"/>
        <w:snapToGrid w:val="0"/>
        <w:spacing w:line="440" w:lineRule="exact"/>
        <w:jc w:val="left"/>
        <w:rPr>
          <w:rFonts w:hint="default"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二、收入决算表..................................................29</w:t>
      </w:r>
    </w:p>
    <w:p w14:paraId="6DD359EC">
      <w:pPr>
        <w:pStyle w:val="16"/>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sz w:val="24"/>
        </w:rPr>
        <w:t>三、支</w:t>
      </w:r>
      <w:r>
        <w:rPr>
          <w:rFonts w:hint="eastAsia" w:ascii="仿宋" w:hAnsi="仿宋" w:eastAsia="仿宋" w:cs="仿宋"/>
          <w:kern w:val="2"/>
          <w:sz w:val="24"/>
          <w:szCs w:val="28"/>
          <w:lang w:val="en-US" w:eastAsia="zh-CN" w:bidi="ar-SA"/>
        </w:rPr>
        <w:t>出决算表..................................................29</w:t>
      </w:r>
    </w:p>
    <w:p w14:paraId="56E8B49D">
      <w:pPr>
        <w:pStyle w:val="16"/>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四、财政拨款收入支出决算总表....................................29</w:t>
      </w:r>
    </w:p>
    <w:p w14:paraId="618F1651">
      <w:pPr>
        <w:pStyle w:val="16"/>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五、财政拨款支出决算明细表......................................29六、一般公共预算财政拨款支出决算表..............................29</w:t>
      </w:r>
    </w:p>
    <w:p w14:paraId="1CCF1D64">
      <w:pPr>
        <w:pStyle w:val="16"/>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七、一般公共预算财政拨款支出决算明细表..........................29</w:t>
      </w:r>
    </w:p>
    <w:p w14:paraId="61AC648A">
      <w:pPr>
        <w:pStyle w:val="16"/>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八、一般公共预算财政拨款基本支出决算明细表......................29</w:t>
      </w:r>
    </w:p>
    <w:p w14:paraId="6828A492">
      <w:pPr>
        <w:pStyle w:val="16"/>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九、一般公共预算财政拨款项目支出决算表..........................29</w:t>
      </w:r>
    </w:p>
    <w:p w14:paraId="30AFE1A3">
      <w:pPr>
        <w:pStyle w:val="16"/>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十、政府性基金预算财政拨款收入支出决算表.......................29</w:t>
      </w:r>
    </w:p>
    <w:p w14:paraId="2481FC61">
      <w:pPr>
        <w:pStyle w:val="16"/>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十一、国有资本经营预算财政拨款收入支出决算表...................29十二、国有资本经营预算财政拨款支出决算表.......................29十三、财政拨款“三公”经费支出决算表...........................29</w:t>
      </w:r>
    </w:p>
    <w:p w14:paraId="25A47599">
      <w:pPr>
        <w:widowControl/>
        <w:spacing w:line="440" w:lineRule="exact"/>
        <w:jc w:val="left"/>
        <w:rPr>
          <w:rFonts w:hint="eastAsia" w:ascii="Times New Roman" w:hAnsi="Times New Roman" w:eastAsia="仿宋_GB2312" w:cs="仿宋_GB2312"/>
          <w:bCs/>
          <w:color w:val="auto"/>
          <w:kern w:val="44"/>
          <w:sz w:val="32"/>
          <w:szCs w:val="32"/>
          <w:highlight w:val="none"/>
        </w:rPr>
      </w:pPr>
      <w:r>
        <w:rPr>
          <w:rFonts w:ascii="仿宋" w:hAnsi="仿宋" w:eastAsia="仿宋"/>
          <w:b/>
          <w:sz w:val="24"/>
        </w:rPr>
        <w:br w:type="page"/>
      </w:r>
    </w:p>
    <w:p w14:paraId="3AF3B798">
      <w:pPr>
        <w:pStyle w:val="4"/>
        <w:jc w:val="center"/>
        <w:rPr>
          <w:rStyle w:val="31"/>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ascii="Times New Roman" w:hAnsi="Times New Roman" w:eastAsia="方正小标宋简体" w:cs="方正小标宋简体"/>
          <w:b w:val="0"/>
          <w:bCs w:val="0"/>
          <w:color w:val="auto"/>
          <w:highlight w:val="none"/>
        </w:rPr>
        <w:t>部门概况</w:t>
      </w:r>
      <w:bookmarkEnd w:id="12"/>
      <w:bookmarkEnd w:id="13"/>
    </w:p>
    <w:p w14:paraId="5867F522">
      <w:pPr>
        <w:widowControl/>
        <w:jc w:val="left"/>
        <w:rPr>
          <w:rFonts w:ascii="Times New Roman" w:hAnsi="Times New Roman" w:eastAsia="黑体"/>
          <w:color w:val="auto"/>
          <w:sz w:val="32"/>
          <w:szCs w:val="32"/>
          <w:highlight w:val="none"/>
        </w:rPr>
      </w:pPr>
    </w:p>
    <w:p w14:paraId="3EBA157E">
      <w:pPr>
        <w:pStyle w:val="5"/>
        <w:numPr>
          <w:ilvl w:val="0"/>
          <w:numId w:val="0"/>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一、</w:t>
      </w:r>
      <w:r>
        <w:rPr>
          <w:rFonts w:hint="eastAsia" w:ascii="Times New Roman" w:hAnsi="Times New Roman" w:eastAsia="黑体"/>
          <w:b w:val="0"/>
          <w:color w:val="auto"/>
          <w:highlight w:val="none"/>
          <w:lang w:eastAsia="zh-CN"/>
        </w:rPr>
        <w:t>部门职责</w:t>
      </w:r>
    </w:p>
    <w:p w14:paraId="4556EE20">
      <w:pPr>
        <w:keepNext w:val="0"/>
        <w:keepLines w:val="0"/>
        <w:widowControl/>
        <w:suppressLineNumbers w:val="0"/>
        <w:ind w:firstLine="620" w:firstLineChars="200"/>
        <w:jc w:val="left"/>
        <w:rPr>
          <w:color w:val="auto"/>
        </w:rPr>
      </w:pPr>
      <w:r>
        <w:rPr>
          <w:rFonts w:hint="eastAsia" w:ascii="仿宋_GB2312" w:hAnsi="宋体" w:eastAsia="仿宋_GB2312" w:cs="仿宋_GB2312"/>
          <w:color w:val="auto"/>
          <w:kern w:val="0"/>
          <w:sz w:val="31"/>
          <w:szCs w:val="31"/>
          <w:lang w:val="en-US" w:eastAsia="zh-CN" w:bidi="ar"/>
        </w:rPr>
        <w:t>县委、县政府</w:t>
      </w:r>
      <w:r>
        <w:rPr>
          <w:rFonts w:ascii="仿宋_GB2312" w:hAnsi="宋体" w:eastAsia="仿宋_GB2312" w:cs="仿宋_GB2312"/>
          <w:color w:val="auto"/>
          <w:kern w:val="0"/>
          <w:sz w:val="31"/>
          <w:szCs w:val="31"/>
          <w:lang w:val="en-US" w:eastAsia="zh-CN" w:bidi="ar"/>
        </w:rPr>
        <w:t>授权产业园区党工委、管委会对县产业园区（除</w:t>
      </w:r>
      <w:r>
        <w:rPr>
          <w:rFonts w:hint="eastAsia" w:ascii="仿宋_GB2312" w:hAnsi="宋体" w:eastAsia="仿宋_GB2312" w:cs="仿宋_GB2312"/>
          <w:color w:val="auto"/>
          <w:kern w:val="0"/>
          <w:sz w:val="31"/>
          <w:szCs w:val="31"/>
          <w:lang w:val="en-US" w:eastAsia="zh-CN" w:bidi="ar"/>
        </w:rPr>
        <w:t xml:space="preserve">县委、县政府明确独立运行或由其他部门、乡镇管理的园区外，下同）履行“规划、建设、管理、服务”职能。 </w:t>
      </w:r>
    </w:p>
    <w:p w14:paraId="38043829">
      <w:pPr>
        <w:keepNext w:val="0"/>
        <w:keepLines w:val="0"/>
        <w:widowControl/>
        <w:suppressLineNumbers w:val="0"/>
        <w:ind w:firstLine="620" w:firstLineChars="200"/>
        <w:jc w:val="left"/>
        <w:rPr>
          <w:rFonts w:hint="eastAsia" w:ascii="仿宋_GB2312" w:hAnsi="仿宋" w:eastAsia="仿宋_GB2312"/>
          <w:color w:val="auto"/>
          <w:sz w:val="32"/>
          <w:szCs w:val="32"/>
        </w:rPr>
      </w:pPr>
      <w:r>
        <w:rPr>
          <w:rFonts w:hint="eastAsia" w:ascii="仿宋_GB2312" w:hAnsi="宋体" w:eastAsia="仿宋_GB2312" w:cs="仿宋_GB2312"/>
          <w:color w:val="auto"/>
          <w:kern w:val="0"/>
          <w:sz w:val="31"/>
          <w:szCs w:val="31"/>
          <w:lang w:val="en-US" w:eastAsia="zh-CN" w:bidi="ar"/>
        </w:rPr>
        <w:t>（1）依法制定园区管理办法。（2）研究园区的相关重要事务和重大事项，按程序报批后组织实施。（3）负责园区的规划、建设、管理和服务工作。（4）负责编制园区总体规划、控制性详规、产业发展规划、经济社会发展计划及社会事业发展等规划，经批准后组织实施。（5）负责职责范围内的安全生产和职业健康、生态环境保护等工作。（6）履行县政府及相关职能部门授权的相关职能。（7）承担园区内党的建设、党风廉政建设、精神文明建设、社会管理综合治理以及群团工作。（8）</w:t>
      </w:r>
      <w:bookmarkStart w:id="58" w:name="_GoBack"/>
      <w:bookmarkEnd w:id="58"/>
      <w:r>
        <w:rPr>
          <w:rFonts w:hint="eastAsia" w:ascii="仿宋_GB2312" w:hAnsi="宋体" w:eastAsia="仿宋_GB2312" w:cs="仿宋_GB2312"/>
          <w:color w:val="auto"/>
          <w:kern w:val="0"/>
          <w:sz w:val="31"/>
          <w:szCs w:val="31"/>
          <w:lang w:val="en-US" w:eastAsia="zh-CN" w:bidi="ar"/>
        </w:rPr>
        <w:t>承担县委、县政府交办的其他工作事项。</w:t>
      </w:r>
    </w:p>
    <w:p w14:paraId="58622514">
      <w:pPr>
        <w:numPr>
          <w:ilvl w:val="0"/>
          <w:numId w:val="0"/>
        </w:numPr>
      </w:pPr>
    </w:p>
    <w:p w14:paraId="008B37EB">
      <w:pPr>
        <w:pStyle w:val="5"/>
        <w:rPr>
          <w:rStyle w:val="38"/>
          <w:b w:val="0"/>
          <w:bCs w:val="0"/>
        </w:rPr>
      </w:pPr>
      <w:r>
        <w:rPr>
          <w:rFonts w:hint="eastAsia" w:ascii="黑体" w:eastAsia="黑体"/>
          <w:b w:val="0"/>
        </w:rPr>
        <w:t>二、</w:t>
      </w:r>
      <w:r>
        <w:rPr>
          <w:rFonts w:hint="eastAsia" w:ascii="黑体" w:hAnsi="黑体" w:eastAsia="黑体"/>
          <w:b w:val="0"/>
        </w:rPr>
        <w:t>机</w:t>
      </w:r>
      <w:r>
        <w:rPr>
          <w:rStyle w:val="38"/>
          <w:rFonts w:hint="eastAsia" w:ascii="黑体" w:hAnsi="黑体" w:eastAsia="黑体"/>
          <w:b w:val="0"/>
          <w:bCs w:val="0"/>
        </w:rPr>
        <w:t>构设置</w:t>
      </w:r>
    </w:p>
    <w:p w14:paraId="5AC3210E">
      <w:pPr>
        <w:ind w:firstLine="800" w:firstLineChars="250"/>
        <w:rPr>
          <w:rFonts w:ascii="仿宋" w:hAnsi="仿宋" w:eastAsia="仿宋"/>
          <w:sz w:val="32"/>
          <w:szCs w:val="32"/>
        </w:rPr>
      </w:pPr>
      <w:r>
        <w:rPr>
          <w:sz w:val="32"/>
          <w:szCs w:val="32"/>
        </w:rPr>
        <w:t>峨边彝族自治县产业园区管理委员会</w:t>
      </w:r>
      <w:r>
        <w:rPr>
          <w:rFonts w:hint="eastAsia" w:ascii="仿宋" w:hAnsi="仿宋" w:eastAsia="仿宋"/>
          <w:sz w:val="32"/>
          <w:szCs w:val="32"/>
        </w:rPr>
        <w:t>下属二级预算单位</w:t>
      </w:r>
      <w:r>
        <w:rPr>
          <w:sz w:val="32"/>
          <w:szCs w:val="32"/>
        </w:rPr>
        <w:t>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w:t>
      </w:r>
    </w:p>
    <w:p w14:paraId="633F4C25">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ascii="Times New Roman" w:eastAsia="宋体"/>
          <w:kern w:val="2"/>
          <w:sz w:val="32"/>
          <w:szCs w:val="32"/>
        </w:rPr>
        <w:t>峨边彝族自治县产业园区管理委员会</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年度部门决算编制范围的二级预算单位包括：</w:t>
      </w:r>
    </w:p>
    <w:p w14:paraId="3552C165">
      <w:pPr>
        <w:pStyle w:val="2"/>
        <w:numPr>
          <w:ilvl w:val="0"/>
          <w:numId w:val="1"/>
        </w:numPr>
        <w:adjustRightInd w:val="0"/>
        <w:snapToGrid w:val="0"/>
        <w:spacing w:before="93" w:line="600" w:lineRule="exact"/>
        <w:outlineLvl w:val="2"/>
        <w:rPr>
          <w:rFonts w:ascii="仿宋" w:hAnsi="仿宋" w:eastAsia="仿宋"/>
          <w:sz w:val="32"/>
          <w:szCs w:val="32"/>
        </w:rPr>
      </w:pPr>
      <w:r>
        <w:rPr>
          <w:rFonts w:ascii="Times New Roman" w:eastAsia="宋体"/>
          <w:kern w:val="2"/>
          <w:sz w:val="32"/>
          <w:szCs w:val="32"/>
        </w:rPr>
        <w:t>峨边彝族自治县产业园区管理委员会</w:t>
      </w:r>
    </w:p>
    <w:p w14:paraId="067A6213">
      <w:pPr>
        <w:numPr>
          <w:ilvl w:val="0"/>
          <w:numId w:val="0"/>
        </w:numPr>
        <w:rPr>
          <w:rFonts w:hint="eastAsia"/>
          <w:lang w:eastAsia="zh-CN"/>
        </w:rPr>
      </w:pPr>
    </w:p>
    <w:p w14:paraId="4AE38E83">
      <w:pPr>
        <w:pStyle w:val="4"/>
        <w:jc w:val="center"/>
        <w:rPr>
          <w:rFonts w:hint="eastAsia" w:ascii="Times New Roman" w:hAnsi="Times New Roman" w:eastAsia="方正小标宋简体" w:cs="方正小标宋简体"/>
          <w:b w:val="0"/>
          <w:color w:val="auto"/>
          <w:highlight w:val="none"/>
        </w:rPr>
      </w:pPr>
      <w:bookmarkStart w:id="14" w:name="_Toc15396602"/>
      <w:bookmarkStart w:id="15" w:name="_Toc15377204"/>
    </w:p>
    <w:p w14:paraId="11FA115A">
      <w:pPr>
        <w:pStyle w:val="4"/>
        <w:jc w:val="center"/>
        <w:rPr>
          <w:rFonts w:hint="eastAsia" w:ascii="Times New Roman" w:hAnsi="Times New Roman" w:eastAsia="方正小标宋简体" w:cs="方正小标宋简体"/>
          <w:b w:val="0"/>
          <w:color w:val="auto"/>
          <w:highlight w:val="none"/>
        </w:rPr>
      </w:pPr>
    </w:p>
    <w:p w14:paraId="42221EC1">
      <w:pPr>
        <w:pStyle w:val="4"/>
        <w:jc w:val="both"/>
        <w:rPr>
          <w:rFonts w:hint="eastAsia" w:ascii="Times New Roman" w:hAnsi="Times New Roman" w:eastAsia="方正小标宋简体" w:cs="方正小标宋简体"/>
          <w:b w:val="0"/>
          <w:color w:val="auto"/>
          <w:highlight w:val="none"/>
        </w:rPr>
      </w:pPr>
    </w:p>
    <w:p w14:paraId="304AB107">
      <w:pPr>
        <w:rPr>
          <w:rFonts w:hint="eastAsia" w:ascii="Times New Roman" w:hAnsi="Times New Roman" w:eastAsia="方正小标宋简体" w:cs="方正小标宋简体"/>
          <w:b w:val="0"/>
          <w:color w:val="auto"/>
          <w:highlight w:val="none"/>
        </w:rPr>
      </w:pPr>
    </w:p>
    <w:p w14:paraId="5B7ECD4F">
      <w:pPr>
        <w:pStyle w:val="2"/>
        <w:rPr>
          <w:rFonts w:hint="eastAsia" w:ascii="Times New Roman" w:hAnsi="Times New Roman" w:eastAsia="方正小标宋简体" w:cs="方正小标宋简体"/>
          <w:b w:val="0"/>
          <w:color w:val="auto"/>
          <w:highlight w:val="none"/>
        </w:rPr>
      </w:pPr>
    </w:p>
    <w:p w14:paraId="5BA92C16">
      <w:pPr>
        <w:pStyle w:val="3"/>
        <w:rPr>
          <w:rFonts w:hint="eastAsia" w:ascii="Times New Roman" w:hAnsi="Times New Roman" w:eastAsia="方正小标宋简体" w:cs="方正小标宋简体"/>
          <w:b w:val="0"/>
          <w:color w:val="auto"/>
          <w:highlight w:val="none"/>
        </w:rPr>
      </w:pPr>
    </w:p>
    <w:p w14:paraId="096C1389">
      <w:pPr>
        <w:rPr>
          <w:rFonts w:hint="eastAsia" w:ascii="Times New Roman" w:hAnsi="Times New Roman" w:eastAsia="方正小标宋简体" w:cs="方正小标宋简体"/>
          <w:b w:val="0"/>
          <w:color w:val="auto"/>
          <w:highlight w:val="none"/>
        </w:rPr>
      </w:pPr>
    </w:p>
    <w:p w14:paraId="4FAA5118">
      <w:pPr>
        <w:pStyle w:val="2"/>
        <w:rPr>
          <w:rFonts w:hint="eastAsia" w:ascii="Times New Roman" w:hAnsi="Times New Roman" w:eastAsia="方正小标宋简体" w:cs="方正小标宋简体"/>
          <w:b w:val="0"/>
          <w:color w:val="auto"/>
          <w:highlight w:val="none"/>
        </w:rPr>
      </w:pPr>
    </w:p>
    <w:p w14:paraId="31E5959E">
      <w:pPr>
        <w:pStyle w:val="3"/>
        <w:rPr>
          <w:rFonts w:hint="eastAsia" w:ascii="Times New Roman" w:hAnsi="Times New Roman" w:eastAsia="方正小标宋简体" w:cs="方正小标宋简体"/>
          <w:b w:val="0"/>
          <w:color w:val="auto"/>
          <w:highlight w:val="none"/>
        </w:rPr>
      </w:pPr>
    </w:p>
    <w:p w14:paraId="397BF712">
      <w:pPr>
        <w:rPr>
          <w:rFonts w:hint="eastAsia" w:ascii="Times New Roman" w:hAnsi="Times New Roman" w:eastAsia="方正小标宋简体" w:cs="方正小标宋简体"/>
          <w:b w:val="0"/>
          <w:color w:val="auto"/>
          <w:highlight w:val="none"/>
        </w:rPr>
      </w:pPr>
    </w:p>
    <w:p w14:paraId="59E57600">
      <w:pPr>
        <w:pStyle w:val="2"/>
        <w:rPr>
          <w:rFonts w:hint="eastAsia" w:ascii="Times New Roman" w:hAnsi="Times New Roman" w:eastAsia="方正小标宋简体" w:cs="方正小标宋简体"/>
          <w:b w:val="0"/>
          <w:color w:val="auto"/>
          <w:highlight w:val="none"/>
        </w:rPr>
      </w:pPr>
    </w:p>
    <w:p w14:paraId="7FB49AC0">
      <w:pPr>
        <w:pStyle w:val="3"/>
        <w:rPr>
          <w:rFonts w:hint="eastAsia" w:ascii="Times New Roman" w:hAnsi="Times New Roman" w:eastAsia="方正小标宋简体" w:cs="方正小标宋简体"/>
          <w:b w:val="0"/>
          <w:color w:val="auto"/>
          <w:highlight w:val="none"/>
        </w:rPr>
      </w:pPr>
    </w:p>
    <w:p w14:paraId="22714E6F">
      <w:pPr>
        <w:rPr>
          <w:rFonts w:hint="eastAsia" w:ascii="Times New Roman" w:hAnsi="Times New Roman" w:eastAsia="方正小标宋简体" w:cs="方正小标宋简体"/>
          <w:b w:val="0"/>
          <w:color w:val="auto"/>
          <w:highlight w:val="none"/>
        </w:rPr>
      </w:pPr>
    </w:p>
    <w:p w14:paraId="1F6B7659">
      <w:pPr>
        <w:pStyle w:val="2"/>
        <w:rPr>
          <w:rFonts w:hint="eastAsia"/>
        </w:rPr>
      </w:pPr>
    </w:p>
    <w:p w14:paraId="4399F281">
      <w:pPr>
        <w:pStyle w:val="4"/>
        <w:jc w:val="center"/>
        <w:rPr>
          <w:rFonts w:ascii="Times New Roman" w:hAnsi="Times New Roman"/>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4"/>
      <w:bookmarkEnd w:id="15"/>
    </w:p>
    <w:p w14:paraId="28C18253">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16" w:name="_Toc15377205"/>
      <w:bookmarkStart w:id="17"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6"/>
      <w:bookmarkEnd w:id="17"/>
    </w:p>
    <w:p w14:paraId="07639D21">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2024年度</w:t>
      </w:r>
      <w:r>
        <w:rPr>
          <w:rFonts w:hint="eastAsia" w:ascii="仿宋" w:hAnsi="仿宋" w:eastAsia="仿宋"/>
          <w:color w:val="auto"/>
          <w:sz w:val="32"/>
          <w:szCs w:val="32"/>
          <w:highlight w:val="none"/>
        </w:rPr>
        <w:t>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324.16</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相比，收、支总计各减少</w:t>
      </w:r>
      <w:r>
        <w:rPr>
          <w:rFonts w:hint="eastAsia" w:ascii="仿宋" w:hAnsi="仿宋" w:eastAsia="仿宋"/>
          <w:color w:val="auto"/>
          <w:sz w:val="32"/>
          <w:szCs w:val="32"/>
          <w:highlight w:val="none"/>
          <w:lang w:val="en-US" w:eastAsia="zh-CN"/>
        </w:rPr>
        <w:t>19016.89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98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单位专债项目减少</w:t>
      </w:r>
      <w:r>
        <w:rPr>
          <w:rFonts w:hint="eastAsia" w:ascii="仿宋" w:hAnsi="仿宋" w:eastAsia="仿宋"/>
          <w:color w:val="auto"/>
          <w:sz w:val="32"/>
          <w:szCs w:val="32"/>
          <w:highlight w:val="none"/>
          <w:lang w:eastAsia="zh-CN"/>
        </w:rPr>
        <w:t>。</w:t>
      </w:r>
    </w:p>
    <w:p w14:paraId="12840D9A">
      <w:pPr>
        <w:spacing w:line="600" w:lineRule="exact"/>
        <w:ind w:firstLine="630" w:firstLineChars="300"/>
        <w:rPr>
          <w:rFonts w:hint="eastAsia" w:ascii="Times New Roman" w:hAnsi="Times New Roman" w:eastAsia="仿宋_GB2312" w:cs="仿宋_GB2312"/>
          <w:color w:val="auto"/>
          <w:sz w:val="32"/>
          <w:szCs w:val="32"/>
          <w:highlight w:val="none"/>
        </w:rPr>
      </w:pPr>
      <w:r>
        <w:drawing>
          <wp:anchor distT="0" distB="0" distL="114300" distR="114300" simplePos="0" relativeHeight="251664384" behindDoc="0" locked="0" layoutInCell="1" allowOverlap="1">
            <wp:simplePos x="0" y="0"/>
            <wp:positionH relativeFrom="column">
              <wp:posOffset>155575</wp:posOffset>
            </wp:positionH>
            <wp:positionV relativeFrom="paragraph">
              <wp:posOffset>192405</wp:posOffset>
            </wp:positionV>
            <wp:extent cx="5168900" cy="2743200"/>
            <wp:effectExtent l="4445" t="4445" r="8255" b="14605"/>
            <wp:wrapTopAndBottom/>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4716671A">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8" w:name="_Toc15396604"/>
      <w:bookmarkStart w:id="19" w:name="_Toc15377206"/>
      <w:r>
        <w:rPr>
          <w:rFonts w:hint="eastAsia" w:ascii="Times New Roman" w:hAnsi="Times New Roman" w:eastAsia="黑体"/>
          <w:color w:val="auto"/>
          <w:sz w:val="32"/>
          <w:szCs w:val="32"/>
          <w:highlight w:val="none"/>
          <w:lang w:eastAsia="zh-CN"/>
        </w:rPr>
        <w:t>二、收入决算情况说明</w:t>
      </w:r>
      <w:bookmarkEnd w:id="18"/>
      <w:bookmarkEnd w:id="19"/>
    </w:p>
    <w:p w14:paraId="180BDCBB">
      <w:pPr>
        <w:spacing w:line="600" w:lineRule="exact"/>
        <w:ind w:firstLine="640" w:firstLineChars="200"/>
        <w:outlineLvl w:val="1"/>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2024年度本年收入合计</w:t>
      </w:r>
      <w:r>
        <w:rPr>
          <w:rFonts w:hint="eastAsia" w:ascii="仿宋" w:hAnsi="仿宋" w:eastAsia="仿宋"/>
          <w:color w:val="auto"/>
          <w:sz w:val="32"/>
          <w:szCs w:val="32"/>
          <w:highlight w:val="none"/>
          <w:lang w:val="en-US" w:eastAsia="zh-CN"/>
        </w:rPr>
        <w:t>324.16</w:t>
      </w:r>
      <w:r>
        <w:rPr>
          <w:rFonts w:hint="eastAsia" w:ascii="仿宋" w:hAnsi="仿宋" w:eastAsia="仿宋"/>
          <w:color w:val="auto"/>
          <w:sz w:val="32"/>
          <w:szCs w:val="32"/>
          <w:highlight w:val="none"/>
          <w:lang w:eastAsia="zh-CN"/>
        </w:rPr>
        <w:t>万元，其中：一般公共预算财政拨</w:t>
      </w:r>
      <w:r>
        <w:rPr>
          <w:rFonts w:hint="eastAsia" w:ascii="仿宋" w:hAnsi="仿宋" w:eastAsia="仿宋"/>
          <w:color w:val="auto"/>
          <w:sz w:val="32"/>
          <w:szCs w:val="32"/>
          <w:highlight w:val="none"/>
        </w:rPr>
        <w:t>款收入</w:t>
      </w:r>
      <w:r>
        <w:rPr>
          <w:rFonts w:hint="eastAsia" w:ascii="仿宋" w:hAnsi="仿宋" w:eastAsia="仿宋"/>
          <w:color w:val="auto"/>
          <w:sz w:val="32"/>
          <w:szCs w:val="32"/>
          <w:highlight w:val="none"/>
          <w:lang w:val="en-US" w:eastAsia="zh-CN"/>
        </w:rPr>
        <w:t>290.46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89.60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33.70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10.40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w:t>
      </w:r>
    </w:p>
    <w:p w14:paraId="645CAAF6">
      <w:pPr>
        <w:bidi w:val="0"/>
        <w:jc w:val="left"/>
        <w:rPr>
          <w:rFonts w:hint="eastAsia"/>
          <w:lang w:val="en-US" w:eastAsia="zh-CN"/>
        </w:rPr>
      </w:pPr>
      <w:r>
        <w:rPr>
          <w:rFonts w:hint="eastAsia" w:ascii="仿宋" w:hAnsi="仿宋" w:eastAsia="仿宋"/>
          <w:color w:val="auto"/>
          <w:sz w:val="32"/>
          <w:szCs w:val="32"/>
          <w:highlight w:val="none"/>
        </w:rPr>
        <w:t>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31E90FD">
      <w:pPr>
        <w:bidi w:val="0"/>
        <w:rPr>
          <w:rFonts w:hint="eastAsia" w:ascii="Times New Roman" w:hAnsi="Times New Roman" w:eastAsia="宋体" w:cs="Times New Roman"/>
          <w:kern w:val="2"/>
          <w:sz w:val="21"/>
          <w:szCs w:val="24"/>
          <w:lang w:val="en-US" w:eastAsia="zh-CN" w:bidi="ar-SA"/>
        </w:rPr>
      </w:pPr>
    </w:p>
    <w:p w14:paraId="4F8B0E7D">
      <w:pPr>
        <w:bidi w:val="0"/>
        <w:rPr>
          <w:rFonts w:hint="eastAsia"/>
          <w:lang w:val="en-US" w:eastAsia="zh-CN"/>
        </w:rPr>
      </w:pPr>
    </w:p>
    <w:p w14:paraId="67896C6A">
      <w:pPr>
        <w:bidi w:val="0"/>
        <w:jc w:val="left"/>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2336" behindDoc="0" locked="0" layoutInCell="1" allowOverlap="1">
            <wp:simplePos x="0" y="0"/>
            <wp:positionH relativeFrom="column">
              <wp:posOffset>622935</wp:posOffset>
            </wp:positionH>
            <wp:positionV relativeFrom="paragraph">
              <wp:posOffset>137795</wp:posOffset>
            </wp:positionV>
            <wp:extent cx="4019550" cy="2248535"/>
            <wp:effectExtent l="4445" t="5080" r="14605" b="1333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lang w:val="en-US" w:eastAsia="zh-CN"/>
        </w:rPr>
        <w:t xml:space="preserve">               </w:t>
      </w:r>
      <w:r>
        <w:rPr>
          <w:rFonts w:hint="eastAsia" w:ascii="仿宋" w:hAnsi="仿宋" w:eastAsia="仿宋"/>
          <w:color w:val="auto"/>
          <w:sz w:val="32"/>
          <w:szCs w:val="32"/>
          <w:highlight w:val="none"/>
        </w:rPr>
        <w:t>（图2：收入决算结构图）（饼状图）</w:t>
      </w:r>
    </w:p>
    <w:p w14:paraId="3095E10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0" w:name="_Toc15396605"/>
      <w:bookmarkStart w:id="21"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0"/>
      <w:bookmarkEnd w:id="21"/>
    </w:p>
    <w:p w14:paraId="2DC5C623">
      <w:pPr>
        <w:spacing w:line="600" w:lineRule="exact"/>
        <w:ind w:firstLine="640" w:firstLineChars="200"/>
        <w:outlineLvl w:val="1"/>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2024年度</w:t>
      </w:r>
      <w:r>
        <w:rPr>
          <w:rFonts w:hint="eastAsia" w:ascii="仿宋" w:hAnsi="仿宋" w:eastAsia="仿宋"/>
          <w:color w:val="auto"/>
          <w:sz w:val="32"/>
          <w:szCs w:val="32"/>
          <w:highlight w:val="none"/>
        </w:rPr>
        <w:t>本年支出合计324.16万元，其中：基本支出</w:t>
      </w:r>
      <w:r>
        <w:rPr>
          <w:rFonts w:hint="eastAsia" w:ascii="仿宋" w:hAnsi="仿宋" w:eastAsia="仿宋"/>
          <w:color w:val="auto"/>
          <w:sz w:val="32"/>
          <w:szCs w:val="32"/>
          <w:highlight w:val="none"/>
          <w:lang w:val="en-US" w:eastAsia="zh-CN"/>
        </w:rPr>
        <w:t>270.47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83.44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；项目支出53.69万元，占</w:t>
      </w:r>
      <w:r>
        <w:rPr>
          <w:rFonts w:hint="eastAsia" w:ascii="仿宋" w:hAnsi="仿宋" w:eastAsia="仿宋"/>
          <w:color w:val="auto"/>
          <w:sz w:val="32"/>
          <w:szCs w:val="32"/>
          <w:highlight w:val="none"/>
          <w:lang w:val="en-US" w:eastAsia="zh-CN"/>
        </w:rPr>
        <w:t>16.56</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14968B4">
      <w:pPr>
        <w:pStyle w:val="2"/>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3360" behindDoc="0" locked="0" layoutInCell="1" allowOverlap="1">
            <wp:simplePos x="0" y="0"/>
            <wp:positionH relativeFrom="column">
              <wp:posOffset>393065</wp:posOffset>
            </wp:positionH>
            <wp:positionV relativeFrom="paragraph">
              <wp:posOffset>205740</wp:posOffset>
            </wp:positionV>
            <wp:extent cx="4387850" cy="2319655"/>
            <wp:effectExtent l="5080" t="5080" r="7620" b="18415"/>
            <wp:wrapTopAndBottom/>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lang w:val="en-US" w:eastAsia="zh-CN"/>
        </w:rPr>
        <w:t xml:space="preserve">        </w:t>
      </w:r>
      <w:r>
        <w:rPr>
          <w:rFonts w:hint="eastAsia" w:ascii="仿宋" w:hAnsi="仿宋" w:eastAsia="仿宋"/>
          <w:color w:val="auto"/>
          <w:sz w:val="32"/>
          <w:szCs w:val="32"/>
          <w:highlight w:val="none"/>
        </w:rPr>
        <w:t>（图3：支出决算结构图）（饼状图）</w:t>
      </w:r>
    </w:p>
    <w:p w14:paraId="1A9EC850">
      <w:pPr>
        <w:spacing w:line="600" w:lineRule="exact"/>
        <w:ind w:firstLine="640" w:firstLineChars="200"/>
        <w:outlineLvl w:val="1"/>
        <w:rPr>
          <w:rStyle w:val="32"/>
          <w:rFonts w:ascii="Times New Roman" w:hAnsi="Times New Roman" w:eastAsia="黑体"/>
          <w:b w:val="0"/>
          <w:color w:val="auto"/>
          <w:highlight w:val="none"/>
        </w:rPr>
      </w:pPr>
      <w:bookmarkStart w:id="22" w:name="_Toc15377208"/>
      <w:bookmarkStart w:id="23" w:name="_Toc15396606"/>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2"/>
      <w:bookmarkEnd w:id="23"/>
    </w:p>
    <w:p w14:paraId="69403A2A">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2024年度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w:t>
      </w:r>
      <w:r>
        <w:rPr>
          <w:rFonts w:hint="eastAsia" w:ascii="仿宋" w:hAnsi="仿宋" w:eastAsia="仿宋"/>
          <w:color w:val="auto"/>
          <w:sz w:val="32"/>
          <w:szCs w:val="32"/>
          <w:highlight w:val="none"/>
          <w:lang w:val="en-US" w:eastAsia="zh-CN"/>
        </w:rPr>
        <w:t>为324.16</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w:t>
      </w:r>
      <w:r>
        <w:rPr>
          <w:rFonts w:hint="eastAsia" w:ascii="仿宋" w:hAnsi="仿宋" w:eastAsia="仿宋"/>
          <w:color w:val="auto"/>
          <w:sz w:val="32"/>
          <w:szCs w:val="32"/>
          <w:highlight w:val="none"/>
          <w:lang w:val="en-US" w:eastAsia="zh-CN"/>
        </w:rPr>
        <w:t>减少19016.89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下降98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单位专债项目减少</w:t>
      </w:r>
      <w:r>
        <w:rPr>
          <w:rFonts w:hint="eastAsia" w:ascii="仿宋" w:hAnsi="仿宋" w:eastAsia="仿宋"/>
          <w:color w:val="auto"/>
          <w:sz w:val="32"/>
          <w:szCs w:val="32"/>
          <w:highlight w:val="none"/>
          <w:lang w:eastAsia="zh-CN"/>
        </w:rPr>
        <w:t>。</w:t>
      </w:r>
    </w:p>
    <w:p w14:paraId="54CB4E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5408" behindDoc="0" locked="0" layoutInCell="1" allowOverlap="1">
            <wp:simplePos x="0" y="0"/>
            <wp:positionH relativeFrom="column">
              <wp:posOffset>608330</wp:posOffset>
            </wp:positionH>
            <wp:positionV relativeFrom="paragraph">
              <wp:posOffset>43815</wp:posOffset>
            </wp:positionV>
            <wp:extent cx="4450080" cy="2105025"/>
            <wp:effectExtent l="5080" t="4445" r="21590" b="5080"/>
            <wp:wrapTopAndBottom/>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（图4：财政拨款收、支决算总计变动情况）（柱状图）</w:t>
      </w:r>
    </w:p>
    <w:p w14:paraId="08ABE7E7">
      <w:pPr>
        <w:spacing w:line="600" w:lineRule="exact"/>
        <w:ind w:firstLine="640" w:firstLineChars="200"/>
        <w:outlineLvl w:val="1"/>
        <w:rPr>
          <w:rStyle w:val="32"/>
          <w:rFonts w:ascii="Times New Roman" w:hAnsi="Times New Roman" w:eastAsia="黑体"/>
          <w:b w:val="0"/>
          <w:color w:val="auto"/>
          <w:highlight w:val="none"/>
        </w:rPr>
      </w:pPr>
      <w:bookmarkStart w:id="24" w:name="_Toc15377209"/>
      <w:bookmarkStart w:id="25"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4"/>
      <w:bookmarkEnd w:id="25"/>
    </w:p>
    <w:p w14:paraId="1F16B9D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6"/>
    </w:p>
    <w:p w14:paraId="7304F0E4">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2024年度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290.46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89.48</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99.3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51.95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单位人员增加。</w:t>
      </w:r>
    </w:p>
    <w:p w14:paraId="536CE202">
      <w:pPr>
        <w:pStyle w:val="2"/>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6432" behindDoc="0" locked="0" layoutInCell="1" allowOverlap="1">
            <wp:simplePos x="0" y="0"/>
            <wp:positionH relativeFrom="column">
              <wp:posOffset>538480</wp:posOffset>
            </wp:positionH>
            <wp:positionV relativeFrom="paragraph">
              <wp:posOffset>92075</wp:posOffset>
            </wp:positionV>
            <wp:extent cx="4301490" cy="2289175"/>
            <wp:effectExtent l="4445" t="5080" r="18415" b="10795"/>
            <wp:wrapTopAndBottom/>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（图5：一般公共预算财政拨款支出决算变动情况）（柱状图）</w:t>
      </w:r>
    </w:p>
    <w:p w14:paraId="483BF53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7"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7"/>
    </w:p>
    <w:p w14:paraId="211082A4">
      <w:pPr>
        <w:spacing w:line="600" w:lineRule="exact"/>
        <w:ind w:firstLine="64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2024年度</w:t>
      </w:r>
      <w:r>
        <w:rPr>
          <w:rFonts w:hint="eastAsia" w:ascii="仿宋" w:hAnsi="仿宋" w:eastAsia="仿宋"/>
          <w:color w:val="000000" w:themeColor="text1"/>
          <w:sz w:val="32"/>
          <w:szCs w:val="32"/>
          <w:highlight w:val="none"/>
          <w14:textFill>
            <w14:solidFill>
              <w14:schemeClr w14:val="tx1"/>
            </w14:solidFill>
          </w14:textFill>
        </w:rPr>
        <w:t>一般公共预算财政拨款支出</w:t>
      </w:r>
      <w:r>
        <w:rPr>
          <w:rFonts w:hint="eastAsia" w:ascii="仿宋" w:hAnsi="仿宋" w:eastAsia="仿宋"/>
          <w:color w:val="000000" w:themeColor="text1"/>
          <w:sz w:val="32"/>
          <w:szCs w:val="32"/>
          <w:highlight w:val="none"/>
          <w:lang w:val="en-US" w:eastAsia="zh-CN"/>
          <w14:textFill>
            <w14:solidFill>
              <w14:schemeClr w14:val="tx1"/>
            </w14:solidFill>
          </w14:textFill>
        </w:rPr>
        <w:t>290.46</w:t>
      </w:r>
      <w:r>
        <w:rPr>
          <w:rFonts w:hint="eastAsia" w:ascii="仿宋" w:hAnsi="仿宋" w:eastAsia="仿宋"/>
          <w:color w:val="000000" w:themeColor="text1"/>
          <w:sz w:val="32"/>
          <w:szCs w:val="32"/>
          <w:highlight w:val="none"/>
          <w14:textFill>
            <w14:solidFill>
              <w14:schemeClr w14:val="tx1"/>
            </w14:solidFill>
          </w14:textFill>
        </w:rPr>
        <w:t>万元，主要用于以下方面</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一般公共服务</w:t>
      </w:r>
      <w:r>
        <w:rPr>
          <w:rFonts w:hint="eastAsia" w:ascii="仿宋" w:hAnsi="仿宋" w:eastAsia="仿宋"/>
          <w:b/>
          <w:bCs/>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14:textFill>
            <w14:solidFill>
              <w14:schemeClr w14:val="tx1"/>
            </w14:solidFill>
          </w14:textFill>
        </w:rPr>
        <w:t>226.47万元，占</w:t>
      </w:r>
      <w:r>
        <w:rPr>
          <w:rFonts w:hint="eastAsia" w:ascii="仿宋" w:hAnsi="仿宋" w:eastAsia="仿宋"/>
          <w:color w:val="000000" w:themeColor="text1"/>
          <w:sz w:val="32"/>
          <w:szCs w:val="32"/>
          <w:highlight w:val="none"/>
          <w:lang w:val="en-US" w:eastAsia="zh-CN"/>
          <w14:textFill>
            <w14:solidFill>
              <w14:schemeClr w14:val="tx1"/>
            </w14:solidFill>
          </w14:textFill>
        </w:rPr>
        <w:t>77.97</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社会保障和就业</w:t>
      </w:r>
      <w:r>
        <w:rPr>
          <w:rFonts w:hint="eastAsia" w:ascii="仿宋" w:hAnsi="仿宋" w:eastAsia="仿宋"/>
          <w:b/>
          <w:bCs/>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14:textFill>
            <w14:solidFill>
              <w14:schemeClr w14:val="tx1"/>
            </w14:solidFill>
          </w14:textFill>
        </w:rPr>
        <w:t>37.</w:t>
      </w:r>
      <w:r>
        <w:rPr>
          <w:rFonts w:hint="eastAsia" w:ascii="仿宋" w:hAnsi="仿宋" w:eastAsia="仿宋"/>
          <w:color w:val="000000" w:themeColor="text1"/>
          <w:sz w:val="32"/>
          <w:szCs w:val="32"/>
          <w:highlight w:val="none"/>
          <w:lang w:val="en-US" w:eastAsia="zh-CN"/>
          <w14:textFill>
            <w14:solidFill>
              <w14:schemeClr w14:val="tx1"/>
            </w14:solidFill>
          </w14:textFill>
        </w:rPr>
        <w:t>79</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13.01</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卫生健康支出</w:t>
      </w:r>
      <w:r>
        <w:rPr>
          <w:rFonts w:hint="eastAsia" w:ascii="仿宋" w:hAnsi="仿宋" w:eastAsia="仿宋"/>
          <w:color w:val="000000" w:themeColor="text1"/>
          <w:sz w:val="32"/>
          <w:szCs w:val="32"/>
          <w:highlight w:val="none"/>
          <w14:textFill>
            <w14:solidFill>
              <w14:schemeClr w14:val="tx1"/>
            </w14:solidFill>
          </w14:textFill>
        </w:rPr>
        <w:t>6.68万元，占</w:t>
      </w:r>
      <w:r>
        <w:rPr>
          <w:rFonts w:hint="eastAsia" w:ascii="仿宋" w:hAnsi="仿宋" w:eastAsia="仿宋"/>
          <w:color w:val="000000" w:themeColor="text1"/>
          <w:sz w:val="32"/>
          <w:szCs w:val="32"/>
          <w:highlight w:val="none"/>
          <w:lang w:val="en-US" w:eastAsia="zh-CN"/>
          <w14:textFill>
            <w14:solidFill>
              <w14:schemeClr w14:val="tx1"/>
            </w14:solidFill>
          </w14:textFill>
        </w:rPr>
        <w:t>2.30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住房保障支出</w:t>
      </w:r>
      <w:r>
        <w:rPr>
          <w:rFonts w:hint="eastAsia" w:ascii="仿宋" w:hAnsi="仿宋" w:eastAsia="仿宋"/>
          <w:color w:val="000000" w:themeColor="text1"/>
          <w:sz w:val="32"/>
          <w:szCs w:val="32"/>
          <w:highlight w:val="none"/>
          <w14:textFill>
            <w14:solidFill>
              <w14:schemeClr w14:val="tx1"/>
            </w14:solidFill>
          </w14:textFill>
        </w:rPr>
        <w:t>19.52万元，占</w:t>
      </w:r>
      <w:r>
        <w:rPr>
          <w:rFonts w:hint="eastAsia" w:ascii="仿宋" w:hAnsi="仿宋" w:eastAsia="仿宋"/>
          <w:color w:val="000000" w:themeColor="text1"/>
          <w:sz w:val="32"/>
          <w:szCs w:val="32"/>
          <w:highlight w:val="none"/>
          <w:lang w:val="en-US" w:eastAsia="zh-CN"/>
          <w14:textFill>
            <w14:solidFill>
              <w14:schemeClr w14:val="tx1"/>
            </w14:solidFill>
          </w14:textFill>
        </w:rPr>
        <w:t>6.72</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14:paraId="1413828C">
      <w:pPr>
        <w:spacing w:line="600" w:lineRule="exact"/>
        <w:rPr>
          <w:rFonts w:hint="eastAsia"/>
          <w:lang w:val="en-US" w:eastAsia="zh-CN"/>
        </w:rPr>
      </w:pPr>
      <w:r>
        <w:drawing>
          <wp:anchor distT="0" distB="0" distL="114300" distR="114300" simplePos="0" relativeHeight="251667456" behindDoc="0" locked="0" layoutInCell="1" allowOverlap="1">
            <wp:simplePos x="0" y="0"/>
            <wp:positionH relativeFrom="column">
              <wp:posOffset>279400</wp:posOffset>
            </wp:positionH>
            <wp:positionV relativeFrom="paragraph">
              <wp:posOffset>191770</wp:posOffset>
            </wp:positionV>
            <wp:extent cx="4533265" cy="2428240"/>
            <wp:effectExtent l="4445" t="4445" r="15240" b="5715"/>
            <wp:wrapTopAndBottom/>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highlight w:val="none"/>
        </w:rPr>
        <w:t>（图6：一般公共预算财政拨款支出决算结构）（饼状图）</w:t>
      </w:r>
    </w:p>
    <w:p w14:paraId="74718D9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8"/>
    </w:p>
    <w:p w14:paraId="78C012EC">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t>2024年度一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290.46</w:t>
      </w:r>
      <w:r>
        <w:rPr>
          <w:rFonts w:hint="eastAsia" w:ascii="仿宋" w:hAnsi="仿宋" w:eastAsia="仿宋"/>
          <w:color w:val="auto"/>
          <w:sz w:val="32"/>
          <w:szCs w:val="32"/>
          <w:highlight w:val="none"/>
        </w:rPr>
        <w:t>，</w:t>
      </w:r>
      <w:r>
        <w:rPr>
          <w:rStyle w:val="20"/>
          <w:rFonts w:hint="eastAsia" w:ascii="仿宋" w:hAnsi="仿宋" w:eastAsia="仿宋"/>
          <w:bCs/>
          <w:color w:val="auto"/>
          <w:sz w:val="32"/>
          <w:szCs w:val="32"/>
          <w:highlight w:val="none"/>
        </w:rPr>
        <w:t>完成预算</w:t>
      </w:r>
      <w:r>
        <w:rPr>
          <w:rStyle w:val="20"/>
          <w:rFonts w:hint="eastAsia" w:ascii="仿宋" w:hAnsi="仿宋" w:eastAsia="仿宋"/>
          <w:bCs/>
          <w:color w:val="auto"/>
          <w:sz w:val="32"/>
          <w:szCs w:val="32"/>
          <w:highlight w:val="none"/>
          <w:lang w:val="en-US" w:eastAsia="zh-CN"/>
        </w:rPr>
        <w:t>100</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rPr>
        <w:t>。其中：</w:t>
      </w:r>
    </w:p>
    <w:p w14:paraId="5AF4E8DE">
      <w:pPr>
        <w:numPr>
          <w:ilvl w:val="0"/>
          <w:numId w:val="2"/>
        </w:numPr>
        <w:spacing w:line="600" w:lineRule="exact"/>
        <w:ind w:firstLine="643" w:firstLineChars="200"/>
        <w:rPr>
          <w:rStyle w:val="20"/>
          <w:rFonts w:hint="eastAsia" w:ascii="仿宋" w:hAnsi="仿宋" w:eastAsia="仿宋"/>
          <w:b w:val="0"/>
          <w:bCs/>
          <w:sz w:val="32"/>
          <w:szCs w:val="32"/>
          <w:highlight w:val="none"/>
        </w:rPr>
      </w:pPr>
      <w:r>
        <w:rPr>
          <w:rStyle w:val="20"/>
          <w:rFonts w:hint="eastAsia" w:ascii="仿宋" w:hAnsi="仿宋" w:eastAsia="仿宋"/>
          <w:bCs/>
          <w:sz w:val="32"/>
          <w:szCs w:val="32"/>
          <w:highlight w:val="none"/>
        </w:rPr>
        <w:t>一般公共服务</w:t>
      </w:r>
      <w:r>
        <w:rPr>
          <w:rStyle w:val="20"/>
          <w:rFonts w:hint="eastAsia" w:ascii="仿宋" w:hAnsi="仿宋" w:eastAsia="仿宋" w:cs="Times New Roman"/>
          <w:bCs/>
          <w:sz w:val="32"/>
          <w:szCs w:val="32"/>
          <w:highlight w:val="none"/>
          <w:lang w:eastAsia="zh-CN"/>
        </w:rPr>
        <w:t>（</w:t>
      </w:r>
      <w:r>
        <w:rPr>
          <w:rStyle w:val="20"/>
          <w:rFonts w:hint="eastAsia" w:ascii="仿宋" w:hAnsi="仿宋" w:eastAsia="仿宋" w:cs="Times New Roman"/>
          <w:bCs/>
          <w:sz w:val="32"/>
          <w:szCs w:val="32"/>
          <w:highlight w:val="none"/>
        </w:rPr>
        <w:t>类</w:t>
      </w:r>
      <w:r>
        <w:rPr>
          <w:rStyle w:val="20"/>
          <w:rFonts w:hint="eastAsia" w:ascii="仿宋" w:hAnsi="仿宋" w:eastAsia="仿宋" w:cs="Times New Roman"/>
          <w:bCs/>
          <w:sz w:val="32"/>
          <w:szCs w:val="32"/>
          <w:highlight w:val="none"/>
          <w:lang w:eastAsia="zh-CN"/>
        </w:rPr>
        <w:t>）</w:t>
      </w:r>
      <w:r>
        <w:rPr>
          <w:rStyle w:val="20"/>
          <w:rFonts w:hint="eastAsia" w:ascii="仿宋" w:hAnsi="仿宋" w:eastAsia="仿宋" w:cs="Times New Roman"/>
          <w:bCs/>
          <w:sz w:val="32"/>
          <w:szCs w:val="32"/>
          <w:highlight w:val="none"/>
          <w:lang w:val="en-US" w:eastAsia="zh-CN"/>
        </w:rPr>
        <w:t>政府办公厅（室）及相关机构事务（</w:t>
      </w:r>
      <w:r>
        <w:rPr>
          <w:rStyle w:val="20"/>
          <w:rFonts w:hint="eastAsia" w:ascii="仿宋" w:hAnsi="仿宋" w:eastAsia="仿宋" w:cs="Times New Roman"/>
          <w:bCs/>
          <w:sz w:val="32"/>
          <w:szCs w:val="32"/>
          <w:highlight w:val="none"/>
        </w:rPr>
        <w:t>款</w:t>
      </w:r>
      <w:r>
        <w:rPr>
          <w:rStyle w:val="20"/>
          <w:rFonts w:hint="eastAsia" w:ascii="仿宋" w:hAnsi="仿宋" w:eastAsia="仿宋" w:cs="Times New Roman"/>
          <w:bCs/>
          <w:sz w:val="32"/>
          <w:szCs w:val="32"/>
          <w:highlight w:val="none"/>
          <w:lang w:val="en-US" w:eastAsia="zh-CN"/>
        </w:rPr>
        <w:t>）一般行政管理事务（</w:t>
      </w:r>
      <w:r>
        <w:rPr>
          <w:rStyle w:val="20"/>
          <w:rFonts w:hint="eastAsia" w:ascii="仿宋" w:hAnsi="仿宋" w:eastAsia="仿宋" w:cs="Times New Roman"/>
          <w:bCs/>
          <w:sz w:val="32"/>
          <w:szCs w:val="32"/>
          <w:highlight w:val="none"/>
        </w:rPr>
        <w:t>项</w:t>
      </w:r>
      <w:r>
        <w:rPr>
          <w:rStyle w:val="20"/>
          <w:rFonts w:hint="eastAsia" w:ascii="仿宋" w:hAnsi="仿宋" w:eastAsia="仿宋" w:cs="Times New Roman"/>
          <w:bCs/>
          <w:sz w:val="32"/>
          <w:szCs w:val="32"/>
          <w:highlight w:val="none"/>
          <w:lang w:val="en-US" w:eastAsia="zh-CN"/>
        </w:rPr>
        <w:t>）：</w:t>
      </w:r>
      <w:r>
        <w:rPr>
          <w:rStyle w:val="20"/>
          <w:rFonts w:ascii="仿宋" w:hAnsi="仿宋" w:eastAsia="仿宋"/>
          <w:b w:val="0"/>
          <w:bCs/>
          <w:sz w:val="32"/>
          <w:szCs w:val="32"/>
          <w:highlight w:val="none"/>
        </w:rPr>
        <w:t xml:space="preserve"> </w:t>
      </w:r>
      <w:r>
        <w:rPr>
          <w:rStyle w:val="20"/>
          <w:rFonts w:hint="eastAsia" w:ascii="仿宋" w:hAnsi="仿宋" w:eastAsia="仿宋"/>
          <w:b w:val="0"/>
          <w:bCs/>
          <w:sz w:val="32"/>
          <w:szCs w:val="32"/>
          <w:highlight w:val="none"/>
        </w:rPr>
        <w:t>支出决算为</w:t>
      </w:r>
      <w:r>
        <w:rPr>
          <w:rStyle w:val="20"/>
          <w:rFonts w:hint="eastAsia" w:ascii="仿宋" w:hAnsi="仿宋" w:eastAsia="仿宋"/>
          <w:b w:val="0"/>
          <w:bCs/>
          <w:sz w:val="32"/>
          <w:szCs w:val="32"/>
          <w:highlight w:val="none"/>
          <w:lang w:val="en-US" w:eastAsia="zh-CN"/>
        </w:rPr>
        <w:t>19.99</w:t>
      </w:r>
      <w:r>
        <w:rPr>
          <w:rStyle w:val="20"/>
          <w:rFonts w:hint="eastAsia" w:ascii="仿宋" w:hAnsi="仿宋" w:eastAsia="仿宋"/>
          <w:b w:val="0"/>
          <w:bCs/>
          <w:sz w:val="32"/>
          <w:szCs w:val="32"/>
          <w:highlight w:val="none"/>
        </w:rPr>
        <w:t>万元，完成预算</w:t>
      </w:r>
      <w:r>
        <w:rPr>
          <w:rStyle w:val="20"/>
          <w:rFonts w:hint="eastAsia" w:ascii="仿宋" w:hAnsi="仿宋" w:eastAsia="仿宋"/>
          <w:b w:val="0"/>
          <w:bCs/>
          <w:sz w:val="32"/>
          <w:szCs w:val="32"/>
          <w:highlight w:val="none"/>
          <w:lang w:val="en-US" w:eastAsia="zh-CN"/>
        </w:rPr>
        <w:t>100</w:t>
      </w:r>
      <w:r>
        <w:rPr>
          <w:rStyle w:val="20"/>
          <w:rFonts w:ascii="仿宋" w:hAnsi="仿宋" w:eastAsia="仿宋"/>
          <w:b w:val="0"/>
          <w:bCs/>
          <w:sz w:val="32"/>
          <w:szCs w:val="32"/>
          <w:highlight w:val="none"/>
        </w:rPr>
        <w:t>%</w:t>
      </w:r>
      <w:r>
        <w:rPr>
          <w:rStyle w:val="20"/>
          <w:rFonts w:hint="eastAsia" w:ascii="仿宋" w:hAnsi="仿宋" w:eastAsia="仿宋"/>
          <w:b w:val="0"/>
          <w:bCs/>
          <w:sz w:val="32"/>
          <w:szCs w:val="32"/>
          <w:highlight w:val="none"/>
        </w:rPr>
        <w:t>。</w:t>
      </w:r>
    </w:p>
    <w:p w14:paraId="25727B67">
      <w:pPr>
        <w:numPr>
          <w:ilvl w:val="0"/>
          <w:numId w:val="2"/>
        </w:numPr>
        <w:spacing w:line="600" w:lineRule="exact"/>
        <w:ind w:left="0" w:leftChars="0" w:firstLine="643" w:firstLineChars="200"/>
        <w:rPr>
          <w:rStyle w:val="20"/>
          <w:rFonts w:hint="eastAsia" w:ascii="仿宋" w:hAnsi="仿宋" w:eastAsia="仿宋"/>
          <w:b w:val="0"/>
          <w:bCs/>
          <w:sz w:val="32"/>
          <w:szCs w:val="32"/>
          <w:highlight w:val="none"/>
        </w:rPr>
      </w:pPr>
      <w:r>
        <w:rPr>
          <w:rStyle w:val="20"/>
          <w:rFonts w:hint="eastAsia" w:ascii="仿宋" w:hAnsi="仿宋" w:eastAsia="仿宋"/>
          <w:bCs/>
          <w:sz w:val="32"/>
          <w:szCs w:val="32"/>
          <w:highlight w:val="none"/>
        </w:rPr>
        <w:t>一般公共服务</w:t>
      </w:r>
      <w:r>
        <w:rPr>
          <w:rStyle w:val="20"/>
          <w:rFonts w:hint="eastAsia" w:ascii="仿宋" w:hAnsi="仿宋" w:eastAsia="仿宋" w:cs="Times New Roman"/>
          <w:bCs/>
          <w:sz w:val="32"/>
          <w:szCs w:val="32"/>
          <w:highlight w:val="none"/>
          <w:lang w:eastAsia="zh-CN"/>
        </w:rPr>
        <w:t>（</w:t>
      </w:r>
      <w:r>
        <w:rPr>
          <w:rStyle w:val="20"/>
          <w:rFonts w:hint="eastAsia" w:ascii="仿宋" w:hAnsi="仿宋" w:eastAsia="仿宋" w:cs="Times New Roman"/>
          <w:bCs/>
          <w:sz w:val="32"/>
          <w:szCs w:val="32"/>
          <w:highlight w:val="none"/>
        </w:rPr>
        <w:t>类</w:t>
      </w:r>
      <w:r>
        <w:rPr>
          <w:rStyle w:val="20"/>
          <w:rFonts w:hint="eastAsia" w:ascii="仿宋" w:hAnsi="仿宋" w:eastAsia="仿宋" w:cs="Times New Roman"/>
          <w:bCs/>
          <w:sz w:val="32"/>
          <w:szCs w:val="32"/>
          <w:highlight w:val="none"/>
          <w:lang w:eastAsia="zh-CN"/>
        </w:rPr>
        <w:t>）</w:t>
      </w:r>
      <w:r>
        <w:rPr>
          <w:rStyle w:val="20"/>
          <w:rFonts w:hint="eastAsia" w:ascii="仿宋" w:hAnsi="仿宋" w:eastAsia="仿宋" w:cs="Times New Roman"/>
          <w:bCs/>
          <w:sz w:val="32"/>
          <w:szCs w:val="32"/>
          <w:highlight w:val="none"/>
          <w:lang w:val="en-US" w:eastAsia="zh-CN"/>
        </w:rPr>
        <w:t>政府办公厅（室）及相关机构事务（</w:t>
      </w:r>
      <w:r>
        <w:rPr>
          <w:rStyle w:val="20"/>
          <w:rFonts w:hint="eastAsia" w:ascii="仿宋" w:hAnsi="仿宋" w:eastAsia="仿宋" w:cs="Times New Roman"/>
          <w:bCs/>
          <w:sz w:val="32"/>
          <w:szCs w:val="32"/>
          <w:highlight w:val="none"/>
        </w:rPr>
        <w:t>款</w:t>
      </w:r>
      <w:r>
        <w:rPr>
          <w:rStyle w:val="20"/>
          <w:rFonts w:hint="eastAsia" w:ascii="仿宋" w:hAnsi="仿宋" w:eastAsia="仿宋" w:cs="Times New Roman"/>
          <w:bCs/>
          <w:sz w:val="32"/>
          <w:szCs w:val="32"/>
          <w:highlight w:val="none"/>
          <w:lang w:val="en-US" w:eastAsia="zh-CN"/>
        </w:rPr>
        <w:t>）事业运行（</w:t>
      </w:r>
      <w:r>
        <w:rPr>
          <w:rStyle w:val="20"/>
          <w:rFonts w:hint="eastAsia" w:ascii="仿宋" w:hAnsi="仿宋" w:eastAsia="仿宋" w:cs="Times New Roman"/>
          <w:bCs/>
          <w:sz w:val="32"/>
          <w:szCs w:val="32"/>
          <w:highlight w:val="none"/>
        </w:rPr>
        <w:t>项</w:t>
      </w:r>
      <w:r>
        <w:rPr>
          <w:rStyle w:val="20"/>
          <w:rFonts w:hint="eastAsia" w:ascii="仿宋" w:hAnsi="仿宋" w:eastAsia="仿宋" w:cs="Times New Roman"/>
          <w:bCs/>
          <w:sz w:val="32"/>
          <w:szCs w:val="32"/>
          <w:highlight w:val="none"/>
          <w:lang w:val="en-US" w:eastAsia="zh-CN"/>
        </w:rPr>
        <w:t>）：</w:t>
      </w:r>
      <w:r>
        <w:rPr>
          <w:rStyle w:val="20"/>
          <w:rFonts w:ascii="仿宋" w:hAnsi="仿宋" w:eastAsia="仿宋"/>
          <w:b w:val="0"/>
          <w:bCs/>
          <w:sz w:val="32"/>
          <w:szCs w:val="32"/>
          <w:highlight w:val="none"/>
        </w:rPr>
        <w:t xml:space="preserve"> </w:t>
      </w:r>
      <w:r>
        <w:rPr>
          <w:rStyle w:val="20"/>
          <w:rFonts w:hint="eastAsia" w:ascii="仿宋" w:hAnsi="仿宋" w:eastAsia="仿宋"/>
          <w:b w:val="0"/>
          <w:bCs/>
          <w:sz w:val="32"/>
          <w:szCs w:val="32"/>
          <w:highlight w:val="none"/>
        </w:rPr>
        <w:t>支出决算为</w:t>
      </w:r>
    </w:p>
    <w:p w14:paraId="334BEE3A">
      <w:pPr>
        <w:numPr>
          <w:ilvl w:val="0"/>
          <w:numId w:val="2"/>
        </w:numPr>
        <w:spacing w:line="600" w:lineRule="exact"/>
        <w:ind w:left="0" w:leftChars="0" w:firstLine="640" w:firstLineChars="200"/>
        <w:rPr>
          <w:rFonts w:ascii="仿宋" w:hAnsi="仿宋" w:eastAsia="仿宋"/>
          <w:b/>
          <w:sz w:val="32"/>
          <w:szCs w:val="32"/>
          <w:highlight w:val="none"/>
        </w:rPr>
      </w:pPr>
      <w:r>
        <w:rPr>
          <w:rStyle w:val="20"/>
          <w:rFonts w:hint="eastAsia" w:ascii="仿宋" w:hAnsi="仿宋" w:eastAsia="仿宋"/>
          <w:b w:val="0"/>
          <w:bCs/>
          <w:sz w:val="32"/>
          <w:szCs w:val="32"/>
          <w:highlight w:val="none"/>
          <w:lang w:val="en-US" w:eastAsia="zh-CN"/>
        </w:rPr>
        <w:t>206.48</w:t>
      </w:r>
      <w:r>
        <w:rPr>
          <w:rStyle w:val="20"/>
          <w:rFonts w:hint="eastAsia" w:ascii="仿宋" w:hAnsi="仿宋" w:eastAsia="仿宋"/>
          <w:b w:val="0"/>
          <w:bCs/>
          <w:sz w:val="32"/>
          <w:szCs w:val="32"/>
          <w:highlight w:val="none"/>
        </w:rPr>
        <w:t>万元，完成预算</w:t>
      </w:r>
      <w:r>
        <w:rPr>
          <w:rStyle w:val="20"/>
          <w:rFonts w:hint="eastAsia" w:ascii="仿宋" w:hAnsi="仿宋" w:eastAsia="仿宋"/>
          <w:b w:val="0"/>
          <w:bCs/>
          <w:sz w:val="32"/>
          <w:szCs w:val="32"/>
          <w:highlight w:val="none"/>
          <w:lang w:val="en-US" w:eastAsia="zh-CN"/>
        </w:rPr>
        <w:t>100</w:t>
      </w:r>
      <w:r>
        <w:rPr>
          <w:rStyle w:val="20"/>
          <w:rFonts w:ascii="仿宋" w:hAnsi="仿宋" w:eastAsia="仿宋"/>
          <w:b w:val="0"/>
          <w:bCs/>
          <w:sz w:val="32"/>
          <w:szCs w:val="32"/>
          <w:highlight w:val="none"/>
        </w:rPr>
        <w:t>%</w:t>
      </w:r>
      <w:r>
        <w:rPr>
          <w:rStyle w:val="20"/>
          <w:rFonts w:hint="eastAsia" w:ascii="仿宋" w:hAnsi="仿宋" w:eastAsia="仿宋"/>
          <w:b w:val="0"/>
          <w:bCs/>
          <w:sz w:val="32"/>
          <w:szCs w:val="32"/>
          <w:highlight w:val="none"/>
        </w:rPr>
        <w:t>。</w:t>
      </w:r>
    </w:p>
    <w:p w14:paraId="1330F3C5">
      <w:pPr>
        <w:pStyle w:val="2"/>
        <w:numPr>
          <w:ilvl w:val="0"/>
          <w:numId w:val="0"/>
        </w:numPr>
        <w:rPr>
          <w:rFonts w:hint="eastAsia" w:eastAsia="宋体"/>
          <w:highlight w:val="none"/>
          <w:lang w:eastAsia="zh-CN"/>
        </w:rPr>
      </w:pPr>
    </w:p>
    <w:p w14:paraId="448E508D">
      <w:pPr>
        <w:spacing w:line="600" w:lineRule="exact"/>
        <w:ind w:firstLine="643" w:firstLineChars="200"/>
        <w:rPr>
          <w:rStyle w:val="20"/>
          <w:rFonts w:hint="eastAsia" w:ascii="仿宋" w:hAnsi="仿宋" w:eastAsia="仿宋"/>
          <w:b w:val="0"/>
          <w:bCs/>
          <w:sz w:val="32"/>
          <w:szCs w:val="32"/>
          <w:highlight w:val="none"/>
        </w:rPr>
      </w:pPr>
      <w:r>
        <w:rPr>
          <w:rStyle w:val="20"/>
          <w:rFonts w:hint="eastAsia" w:ascii="仿宋" w:hAnsi="仿宋" w:eastAsia="仿宋"/>
          <w:bCs/>
          <w:sz w:val="32"/>
          <w:szCs w:val="32"/>
          <w:highlight w:val="none"/>
          <w:lang w:val="en-US" w:eastAsia="zh-CN"/>
        </w:rPr>
        <w:t>3</w:t>
      </w:r>
      <w:r>
        <w:rPr>
          <w:rStyle w:val="20"/>
          <w:rFonts w:ascii="仿宋" w:hAnsi="仿宋" w:eastAsia="仿宋"/>
          <w:bCs/>
          <w:sz w:val="32"/>
          <w:szCs w:val="32"/>
          <w:highlight w:val="none"/>
        </w:rPr>
        <w:t>.</w:t>
      </w:r>
      <w:r>
        <w:rPr>
          <w:rStyle w:val="20"/>
          <w:rFonts w:hint="eastAsia" w:ascii="仿宋" w:hAnsi="仿宋" w:eastAsia="仿宋"/>
          <w:bCs/>
          <w:sz w:val="32"/>
          <w:szCs w:val="32"/>
          <w:highlight w:val="none"/>
        </w:rPr>
        <w:t>社会保障和就业（类）</w:t>
      </w:r>
      <w:r>
        <w:rPr>
          <w:rStyle w:val="20"/>
          <w:rFonts w:hint="eastAsia" w:ascii="仿宋" w:hAnsi="仿宋" w:eastAsia="仿宋" w:cs="Times New Roman"/>
          <w:bCs/>
          <w:sz w:val="32"/>
          <w:szCs w:val="32"/>
          <w:highlight w:val="none"/>
          <w:lang w:val="en-US" w:eastAsia="zh-CN"/>
        </w:rPr>
        <w:t>行政事业单位养老（</w:t>
      </w:r>
      <w:r>
        <w:rPr>
          <w:rStyle w:val="20"/>
          <w:rFonts w:hint="eastAsia" w:ascii="仿宋" w:hAnsi="仿宋" w:eastAsia="仿宋" w:cs="Times New Roman"/>
          <w:bCs/>
          <w:sz w:val="32"/>
          <w:szCs w:val="32"/>
          <w:highlight w:val="none"/>
        </w:rPr>
        <w:t>款</w:t>
      </w:r>
      <w:r>
        <w:rPr>
          <w:rStyle w:val="20"/>
          <w:rFonts w:hint="eastAsia" w:ascii="仿宋" w:hAnsi="仿宋" w:eastAsia="仿宋" w:cs="Times New Roman"/>
          <w:bCs/>
          <w:sz w:val="32"/>
          <w:szCs w:val="32"/>
          <w:highlight w:val="none"/>
          <w:lang w:val="en-US" w:eastAsia="zh-CN"/>
        </w:rPr>
        <w:t>）机关事业单位基本养老保险缴费（</w:t>
      </w:r>
      <w:r>
        <w:rPr>
          <w:rStyle w:val="20"/>
          <w:rFonts w:hint="eastAsia" w:ascii="仿宋" w:hAnsi="仿宋" w:eastAsia="仿宋" w:cs="Times New Roman"/>
          <w:bCs/>
          <w:sz w:val="32"/>
          <w:szCs w:val="32"/>
          <w:highlight w:val="none"/>
        </w:rPr>
        <w:t>项</w:t>
      </w:r>
      <w:r>
        <w:rPr>
          <w:rStyle w:val="20"/>
          <w:rFonts w:hint="eastAsia" w:ascii="仿宋" w:hAnsi="仿宋" w:eastAsia="仿宋" w:cs="Times New Roman"/>
          <w:bCs/>
          <w:sz w:val="32"/>
          <w:szCs w:val="32"/>
          <w:highlight w:val="none"/>
          <w:lang w:val="en-US" w:eastAsia="zh-CN"/>
        </w:rPr>
        <w:t>）：</w:t>
      </w:r>
      <w:r>
        <w:rPr>
          <w:rStyle w:val="20"/>
          <w:rFonts w:ascii="仿宋" w:hAnsi="仿宋" w:eastAsia="仿宋"/>
          <w:b w:val="0"/>
          <w:bCs/>
          <w:sz w:val="32"/>
          <w:szCs w:val="32"/>
          <w:highlight w:val="none"/>
        </w:rPr>
        <w:t xml:space="preserve"> </w:t>
      </w:r>
      <w:r>
        <w:rPr>
          <w:rStyle w:val="20"/>
          <w:rFonts w:hint="eastAsia" w:ascii="仿宋" w:hAnsi="仿宋" w:eastAsia="仿宋"/>
          <w:b w:val="0"/>
          <w:bCs/>
          <w:sz w:val="32"/>
          <w:szCs w:val="32"/>
          <w:highlight w:val="none"/>
        </w:rPr>
        <w:t>支出决算为</w:t>
      </w:r>
      <w:r>
        <w:rPr>
          <w:rStyle w:val="20"/>
          <w:rFonts w:hint="eastAsia" w:ascii="仿宋" w:hAnsi="仿宋" w:eastAsia="仿宋"/>
          <w:b w:val="0"/>
          <w:bCs/>
          <w:sz w:val="32"/>
          <w:szCs w:val="32"/>
          <w:highlight w:val="none"/>
          <w:lang w:val="en-US" w:eastAsia="zh-CN"/>
        </w:rPr>
        <w:t>23.27</w:t>
      </w:r>
      <w:r>
        <w:rPr>
          <w:rStyle w:val="20"/>
          <w:rFonts w:hint="eastAsia" w:ascii="仿宋" w:hAnsi="仿宋" w:eastAsia="仿宋"/>
          <w:b w:val="0"/>
          <w:bCs/>
          <w:sz w:val="32"/>
          <w:szCs w:val="32"/>
          <w:highlight w:val="none"/>
        </w:rPr>
        <w:t>万元，完成预算</w:t>
      </w:r>
      <w:r>
        <w:rPr>
          <w:rStyle w:val="20"/>
          <w:rFonts w:hint="eastAsia" w:ascii="仿宋" w:hAnsi="仿宋" w:eastAsia="仿宋"/>
          <w:b w:val="0"/>
          <w:bCs/>
          <w:sz w:val="32"/>
          <w:szCs w:val="32"/>
          <w:highlight w:val="none"/>
          <w:lang w:val="en-US" w:eastAsia="zh-CN"/>
        </w:rPr>
        <w:t>100</w:t>
      </w:r>
      <w:r>
        <w:rPr>
          <w:rStyle w:val="20"/>
          <w:rFonts w:ascii="仿宋" w:hAnsi="仿宋" w:eastAsia="仿宋"/>
          <w:b w:val="0"/>
          <w:bCs/>
          <w:sz w:val="32"/>
          <w:szCs w:val="32"/>
          <w:highlight w:val="none"/>
        </w:rPr>
        <w:t>%</w:t>
      </w:r>
      <w:r>
        <w:rPr>
          <w:rStyle w:val="20"/>
          <w:rFonts w:hint="eastAsia" w:ascii="仿宋" w:hAnsi="仿宋" w:eastAsia="仿宋"/>
          <w:b w:val="0"/>
          <w:bCs/>
          <w:sz w:val="32"/>
          <w:szCs w:val="32"/>
          <w:highlight w:val="none"/>
        </w:rPr>
        <w:t>。</w:t>
      </w:r>
    </w:p>
    <w:p w14:paraId="6E9974A5">
      <w:pPr>
        <w:spacing w:line="600" w:lineRule="exact"/>
        <w:ind w:firstLine="643" w:firstLineChars="200"/>
        <w:rPr>
          <w:rStyle w:val="20"/>
          <w:rFonts w:hint="eastAsia" w:ascii="仿宋" w:hAnsi="仿宋" w:eastAsia="仿宋"/>
          <w:b w:val="0"/>
          <w:bCs/>
          <w:sz w:val="32"/>
          <w:szCs w:val="32"/>
          <w:highlight w:val="none"/>
        </w:rPr>
      </w:pPr>
      <w:r>
        <w:rPr>
          <w:rStyle w:val="20"/>
          <w:rFonts w:hint="eastAsia" w:ascii="仿宋" w:hAnsi="仿宋" w:eastAsia="仿宋"/>
          <w:bCs/>
          <w:sz w:val="32"/>
          <w:szCs w:val="32"/>
          <w:highlight w:val="none"/>
          <w:lang w:val="en-US" w:eastAsia="zh-CN"/>
        </w:rPr>
        <w:t>4</w:t>
      </w:r>
      <w:r>
        <w:rPr>
          <w:rStyle w:val="20"/>
          <w:rFonts w:ascii="仿宋" w:hAnsi="仿宋" w:eastAsia="仿宋"/>
          <w:bCs/>
          <w:sz w:val="32"/>
          <w:szCs w:val="32"/>
          <w:highlight w:val="none"/>
        </w:rPr>
        <w:t>.</w:t>
      </w:r>
      <w:r>
        <w:rPr>
          <w:rStyle w:val="20"/>
          <w:rFonts w:hint="eastAsia" w:ascii="仿宋" w:hAnsi="仿宋" w:eastAsia="仿宋"/>
          <w:bCs/>
          <w:sz w:val="32"/>
          <w:szCs w:val="32"/>
          <w:highlight w:val="none"/>
        </w:rPr>
        <w:t>社会保障和就业（类）</w:t>
      </w:r>
      <w:r>
        <w:rPr>
          <w:rStyle w:val="20"/>
          <w:rFonts w:hint="eastAsia" w:ascii="仿宋" w:hAnsi="仿宋" w:eastAsia="仿宋" w:cs="Times New Roman"/>
          <w:bCs/>
          <w:sz w:val="32"/>
          <w:szCs w:val="32"/>
          <w:highlight w:val="none"/>
          <w:lang w:val="en-US" w:eastAsia="zh-CN"/>
        </w:rPr>
        <w:t xml:space="preserve">行政事业单位养老（款）机关事业单位职业年金缴费（项）： </w:t>
      </w:r>
      <w:r>
        <w:rPr>
          <w:rStyle w:val="20"/>
          <w:rFonts w:hint="eastAsia" w:ascii="仿宋" w:hAnsi="仿宋" w:eastAsia="仿宋"/>
          <w:b w:val="0"/>
          <w:bCs/>
          <w:sz w:val="32"/>
          <w:szCs w:val="32"/>
          <w:highlight w:val="none"/>
        </w:rPr>
        <w:t>支出决算为</w:t>
      </w:r>
      <w:r>
        <w:rPr>
          <w:rStyle w:val="20"/>
          <w:rFonts w:hint="eastAsia" w:ascii="仿宋" w:hAnsi="仿宋" w:eastAsia="仿宋"/>
          <w:b w:val="0"/>
          <w:bCs/>
          <w:sz w:val="32"/>
          <w:szCs w:val="32"/>
          <w:highlight w:val="none"/>
          <w:lang w:val="en-US" w:eastAsia="zh-CN"/>
        </w:rPr>
        <w:t>11.64</w:t>
      </w:r>
      <w:r>
        <w:rPr>
          <w:rStyle w:val="20"/>
          <w:rFonts w:hint="eastAsia" w:ascii="仿宋" w:hAnsi="仿宋" w:eastAsia="仿宋"/>
          <w:b w:val="0"/>
          <w:bCs/>
          <w:sz w:val="32"/>
          <w:szCs w:val="32"/>
          <w:highlight w:val="none"/>
        </w:rPr>
        <w:t>万元，完成预算</w:t>
      </w:r>
      <w:r>
        <w:rPr>
          <w:rStyle w:val="20"/>
          <w:rFonts w:hint="eastAsia" w:ascii="仿宋" w:hAnsi="仿宋" w:eastAsia="仿宋"/>
          <w:b w:val="0"/>
          <w:bCs/>
          <w:sz w:val="32"/>
          <w:szCs w:val="32"/>
          <w:highlight w:val="none"/>
          <w:lang w:val="en-US" w:eastAsia="zh-CN"/>
        </w:rPr>
        <w:t>100</w:t>
      </w:r>
      <w:r>
        <w:rPr>
          <w:rStyle w:val="20"/>
          <w:rFonts w:ascii="仿宋" w:hAnsi="仿宋" w:eastAsia="仿宋"/>
          <w:b w:val="0"/>
          <w:bCs/>
          <w:sz w:val="32"/>
          <w:szCs w:val="32"/>
          <w:highlight w:val="none"/>
        </w:rPr>
        <w:t>%</w:t>
      </w:r>
      <w:r>
        <w:rPr>
          <w:rStyle w:val="20"/>
          <w:rFonts w:hint="eastAsia" w:ascii="仿宋" w:hAnsi="仿宋" w:eastAsia="仿宋"/>
          <w:b w:val="0"/>
          <w:bCs/>
          <w:sz w:val="32"/>
          <w:szCs w:val="32"/>
          <w:highlight w:val="none"/>
        </w:rPr>
        <w:t>。</w:t>
      </w:r>
    </w:p>
    <w:p w14:paraId="14E247FE">
      <w:pPr>
        <w:pStyle w:val="17"/>
        <w:ind w:firstLine="642"/>
        <w:jc w:val="left"/>
        <w:rPr>
          <w:rStyle w:val="20"/>
          <w:rFonts w:hint="eastAsia" w:ascii="仿宋" w:hAnsi="仿宋" w:eastAsia="仿宋"/>
          <w:b w:val="0"/>
          <w:bCs/>
          <w:sz w:val="32"/>
          <w:szCs w:val="32"/>
          <w:highlight w:val="none"/>
        </w:rPr>
      </w:pPr>
      <w:r>
        <w:rPr>
          <w:rFonts w:ascii="仿宋" w:hAnsi="仿宋" w:eastAsia="仿宋" w:cs="宋体"/>
          <w:color w:val="auto"/>
          <w:kern w:val="0"/>
          <w:sz w:val="32"/>
          <w:szCs w:val="32"/>
          <w:highlight w:val="none"/>
        </w:rPr>
        <w:t>4.</w:t>
      </w:r>
      <w:r>
        <w:rPr>
          <w:rFonts w:hint="eastAsia" w:ascii="仿宋" w:hAnsi="仿宋" w:eastAsia="仿宋" w:cs="宋体"/>
          <w:color w:val="auto"/>
          <w:kern w:val="0"/>
          <w:sz w:val="32"/>
          <w:szCs w:val="32"/>
          <w:highlight w:val="none"/>
          <w:lang w:val="en-US" w:eastAsia="zh-CN"/>
        </w:rPr>
        <w:t>社会保障和就业</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类</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lang w:val="en-US" w:eastAsia="zh-CN"/>
        </w:rPr>
        <w:t>其他社会保障和就业（</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val="en-US" w:eastAsia="zh-CN"/>
        </w:rPr>
        <w:t>）其他社会保障和就业（</w:t>
      </w:r>
      <w:r>
        <w:rPr>
          <w:rFonts w:hint="eastAsia" w:ascii="仿宋" w:hAnsi="仿宋" w:eastAsia="仿宋" w:cs="宋体"/>
          <w:color w:val="auto"/>
          <w:kern w:val="0"/>
          <w:sz w:val="32"/>
          <w:szCs w:val="32"/>
          <w:highlight w:val="none"/>
        </w:rPr>
        <w:t>项</w:t>
      </w:r>
      <w:r>
        <w:rPr>
          <w:rFonts w:hint="eastAsia" w:ascii="仿宋" w:hAnsi="仿宋" w:eastAsia="仿宋" w:cs="宋体"/>
          <w:color w:val="auto"/>
          <w:kern w:val="0"/>
          <w:sz w:val="32"/>
          <w:szCs w:val="32"/>
          <w:highlight w:val="none"/>
          <w:lang w:eastAsia="zh-CN"/>
        </w:rPr>
        <w:t>）：</w:t>
      </w:r>
      <w:r>
        <w:rPr>
          <w:rStyle w:val="20"/>
          <w:rFonts w:hint="eastAsia" w:ascii="仿宋" w:hAnsi="仿宋" w:eastAsia="仿宋"/>
          <w:b w:val="0"/>
          <w:bCs/>
          <w:sz w:val="32"/>
          <w:szCs w:val="32"/>
          <w:highlight w:val="none"/>
        </w:rPr>
        <w:t>支出决算为</w:t>
      </w:r>
      <w:r>
        <w:rPr>
          <w:rStyle w:val="20"/>
          <w:rFonts w:hint="eastAsia" w:ascii="仿宋" w:hAnsi="仿宋" w:eastAsia="仿宋"/>
          <w:b w:val="0"/>
          <w:bCs/>
          <w:sz w:val="32"/>
          <w:szCs w:val="32"/>
          <w:highlight w:val="none"/>
          <w:lang w:val="en-US" w:eastAsia="zh-CN"/>
        </w:rPr>
        <w:t>2.88</w:t>
      </w:r>
      <w:r>
        <w:rPr>
          <w:rStyle w:val="20"/>
          <w:rFonts w:hint="eastAsia" w:ascii="仿宋" w:hAnsi="仿宋" w:eastAsia="仿宋"/>
          <w:b w:val="0"/>
          <w:bCs/>
          <w:sz w:val="32"/>
          <w:szCs w:val="32"/>
          <w:highlight w:val="none"/>
        </w:rPr>
        <w:t>万元，完成预算</w:t>
      </w:r>
      <w:r>
        <w:rPr>
          <w:rStyle w:val="20"/>
          <w:rFonts w:hint="eastAsia" w:ascii="仿宋" w:hAnsi="仿宋" w:eastAsia="仿宋"/>
          <w:b w:val="0"/>
          <w:bCs/>
          <w:sz w:val="32"/>
          <w:szCs w:val="32"/>
          <w:highlight w:val="none"/>
          <w:lang w:val="en-US" w:eastAsia="zh-CN"/>
        </w:rPr>
        <w:t>100</w:t>
      </w:r>
      <w:r>
        <w:rPr>
          <w:rStyle w:val="20"/>
          <w:rFonts w:ascii="仿宋" w:hAnsi="仿宋" w:eastAsia="仿宋"/>
          <w:b w:val="0"/>
          <w:bCs/>
          <w:sz w:val="32"/>
          <w:szCs w:val="32"/>
          <w:highlight w:val="none"/>
        </w:rPr>
        <w:t>%</w:t>
      </w:r>
      <w:r>
        <w:rPr>
          <w:rStyle w:val="20"/>
          <w:rFonts w:hint="eastAsia" w:ascii="仿宋" w:hAnsi="仿宋" w:eastAsia="仿宋"/>
          <w:b w:val="0"/>
          <w:bCs/>
          <w:sz w:val="32"/>
          <w:szCs w:val="32"/>
          <w:highlight w:val="none"/>
        </w:rPr>
        <w:t>。</w:t>
      </w:r>
    </w:p>
    <w:p w14:paraId="7E41DA2A">
      <w:pPr>
        <w:ind w:firstLine="642"/>
        <w:rPr>
          <w:rFonts w:hint="eastAsia" w:ascii="仿宋" w:hAnsi="仿宋" w:eastAsia="仿宋" w:cs="宋体"/>
          <w:b/>
          <w:color w:val="auto"/>
          <w:kern w:val="0"/>
          <w:sz w:val="32"/>
          <w:szCs w:val="32"/>
          <w:highlight w:val="none"/>
          <w:lang w:val="en-US" w:eastAsia="zh-CN" w:bidi="ar-SA"/>
        </w:rPr>
      </w:pPr>
      <w:r>
        <w:rPr>
          <w:rFonts w:hint="eastAsia" w:ascii="仿宋" w:hAnsi="仿宋" w:eastAsia="仿宋" w:cs="宋体"/>
          <w:b/>
          <w:color w:val="auto"/>
          <w:kern w:val="0"/>
          <w:sz w:val="32"/>
          <w:szCs w:val="32"/>
          <w:highlight w:val="none"/>
          <w:lang w:val="en-US" w:eastAsia="zh-CN" w:bidi="ar-SA"/>
        </w:rPr>
        <w:t>5.卫生健康（类）行政事业单位医疗（款）事业单位医疗（项）：</w:t>
      </w:r>
      <w:r>
        <w:rPr>
          <w:rStyle w:val="20"/>
          <w:rFonts w:hint="eastAsia" w:ascii="仿宋" w:hAnsi="仿宋" w:eastAsia="仿宋"/>
          <w:b w:val="0"/>
          <w:bCs/>
          <w:sz w:val="32"/>
          <w:szCs w:val="32"/>
          <w:highlight w:val="none"/>
        </w:rPr>
        <w:t>支出决算为</w:t>
      </w:r>
      <w:r>
        <w:rPr>
          <w:rStyle w:val="20"/>
          <w:rFonts w:hint="eastAsia" w:ascii="仿宋" w:hAnsi="仿宋" w:eastAsia="仿宋"/>
          <w:b w:val="0"/>
          <w:bCs/>
          <w:sz w:val="32"/>
          <w:szCs w:val="32"/>
          <w:highlight w:val="none"/>
          <w:lang w:val="en-US" w:eastAsia="zh-CN"/>
        </w:rPr>
        <w:t>6.68</w:t>
      </w:r>
      <w:r>
        <w:rPr>
          <w:rStyle w:val="20"/>
          <w:rFonts w:hint="eastAsia" w:ascii="仿宋" w:hAnsi="仿宋" w:eastAsia="仿宋"/>
          <w:b w:val="0"/>
          <w:bCs/>
          <w:sz w:val="32"/>
          <w:szCs w:val="32"/>
          <w:highlight w:val="none"/>
        </w:rPr>
        <w:t>万元，完成预算</w:t>
      </w:r>
      <w:r>
        <w:rPr>
          <w:rStyle w:val="20"/>
          <w:rFonts w:hint="eastAsia" w:ascii="仿宋" w:hAnsi="仿宋" w:eastAsia="仿宋"/>
          <w:b w:val="0"/>
          <w:bCs/>
          <w:sz w:val="32"/>
          <w:szCs w:val="32"/>
          <w:highlight w:val="none"/>
          <w:lang w:val="en-US" w:eastAsia="zh-CN"/>
        </w:rPr>
        <w:t>100</w:t>
      </w:r>
      <w:r>
        <w:rPr>
          <w:rStyle w:val="20"/>
          <w:rFonts w:ascii="仿宋" w:hAnsi="仿宋" w:eastAsia="仿宋"/>
          <w:b w:val="0"/>
          <w:bCs/>
          <w:sz w:val="32"/>
          <w:szCs w:val="32"/>
          <w:highlight w:val="none"/>
        </w:rPr>
        <w:t>%</w:t>
      </w:r>
      <w:r>
        <w:rPr>
          <w:rStyle w:val="20"/>
          <w:rFonts w:hint="eastAsia" w:ascii="仿宋" w:hAnsi="仿宋" w:eastAsia="仿宋"/>
          <w:b w:val="0"/>
          <w:bCs/>
          <w:sz w:val="32"/>
          <w:szCs w:val="32"/>
          <w:highlight w:val="none"/>
        </w:rPr>
        <w:t>。</w:t>
      </w:r>
    </w:p>
    <w:p w14:paraId="3FCC2715">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宋体"/>
          <w:b/>
          <w:color w:val="auto"/>
          <w:kern w:val="0"/>
          <w:sz w:val="32"/>
          <w:szCs w:val="32"/>
          <w:highlight w:val="none"/>
          <w:lang w:val="en-US" w:eastAsia="zh-CN" w:bidi="ar-SA"/>
        </w:rPr>
        <w:t>6.住房保障（类）住房改革（款）住房公积金（项）：</w:t>
      </w:r>
      <w:r>
        <w:rPr>
          <w:rStyle w:val="20"/>
          <w:rFonts w:hint="eastAsia" w:ascii="仿宋" w:hAnsi="仿宋" w:eastAsia="仿宋"/>
          <w:b w:val="0"/>
          <w:bCs/>
          <w:sz w:val="32"/>
          <w:szCs w:val="32"/>
          <w:highlight w:val="none"/>
        </w:rPr>
        <w:t>支出决算为</w:t>
      </w:r>
      <w:r>
        <w:rPr>
          <w:rStyle w:val="20"/>
          <w:rFonts w:hint="eastAsia" w:ascii="仿宋" w:hAnsi="仿宋" w:eastAsia="仿宋"/>
          <w:b w:val="0"/>
          <w:bCs/>
          <w:sz w:val="32"/>
          <w:szCs w:val="32"/>
          <w:highlight w:val="none"/>
          <w:lang w:val="en-US" w:eastAsia="zh-CN"/>
        </w:rPr>
        <w:t>19.52</w:t>
      </w:r>
      <w:r>
        <w:rPr>
          <w:rStyle w:val="20"/>
          <w:rFonts w:hint="eastAsia" w:ascii="仿宋" w:hAnsi="仿宋" w:eastAsia="仿宋"/>
          <w:b w:val="0"/>
          <w:bCs/>
          <w:sz w:val="32"/>
          <w:szCs w:val="32"/>
          <w:highlight w:val="none"/>
        </w:rPr>
        <w:t>万元，完成预算</w:t>
      </w:r>
      <w:r>
        <w:rPr>
          <w:rStyle w:val="20"/>
          <w:rFonts w:hint="eastAsia" w:ascii="仿宋" w:hAnsi="仿宋" w:eastAsia="仿宋"/>
          <w:b w:val="0"/>
          <w:bCs/>
          <w:sz w:val="32"/>
          <w:szCs w:val="32"/>
          <w:highlight w:val="none"/>
          <w:lang w:val="en-US" w:eastAsia="zh-CN"/>
        </w:rPr>
        <w:t>100</w:t>
      </w:r>
      <w:r>
        <w:rPr>
          <w:rStyle w:val="20"/>
          <w:rFonts w:ascii="仿宋" w:hAnsi="仿宋" w:eastAsia="仿宋"/>
          <w:b w:val="0"/>
          <w:bCs/>
          <w:sz w:val="32"/>
          <w:szCs w:val="32"/>
          <w:highlight w:val="none"/>
        </w:rPr>
        <w:t>%</w:t>
      </w:r>
      <w:r>
        <w:rPr>
          <w:rStyle w:val="20"/>
          <w:rFonts w:hint="eastAsia" w:ascii="仿宋" w:hAnsi="仿宋" w:eastAsia="仿宋"/>
          <w:b w:val="0"/>
          <w:bCs/>
          <w:sz w:val="32"/>
          <w:szCs w:val="32"/>
          <w:highlight w:val="none"/>
        </w:rPr>
        <w:t>。</w:t>
      </w:r>
    </w:p>
    <w:p w14:paraId="348EA8B7">
      <w:pPr>
        <w:tabs>
          <w:tab w:val="right" w:pos="8306"/>
        </w:tabs>
        <w:spacing w:line="600" w:lineRule="exact"/>
        <w:ind w:firstLine="640"/>
        <w:outlineLvl w:val="1"/>
        <w:rPr>
          <w:rStyle w:val="32"/>
          <w:rFonts w:ascii="Times New Roman" w:hAnsi="Times New Roman"/>
          <w:color w:val="auto"/>
          <w:highlight w:val="none"/>
        </w:rPr>
      </w:pPr>
      <w:bookmarkStart w:id="29" w:name="_Toc15396608"/>
      <w:bookmarkStart w:id="30"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29"/>
      <w:bookmarkEnd w:id="30"/>
      <w:r>
        <w:rPr>
          <w:rStyle w:val="32"/>
          <w:rFonts w:ascii="Times New Roman" w:hAnsi="Times New Roman" w:eastAsia="黑体"/>
          <w:b w:val="0"/>
          <w:color w:val="auto"/>
          <w:highlight w:val="none"/>
        </w:rPr>
        <w:tab/>
      </w:r>
    </w:p>
    <w:p w14:paraId="79509FD8">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2024年度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270.47</w:t>
      </w:r>
      <w:r>
        <w:rPr>
          <w:rFonts w:hint="eastAsia" w:ascii="仿宋" w:hAnsi="仿宋" w:eastAsia="仿宋"/>
          <w:color w:val="auto"/>
          <w:sz w:val="32"/>
          <w:szCs w:val="32"/>
          <w:highlight w:val="none"/>
        </w:rPr>
        <w:t>万元，其中：</w:t>
      </w:r>
    </w:p>
    <w:p w14:paraId="4B722DA9">
      <w:pPr>
        <w:spacing w:line="600" w:lineRule="exact"/>
        <w:ind w:firstLine="645"/>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233.99</w:t>
      </w:r>
      <w:r>
        <w:rPr>
          <w:rFonts w:hint="eastAsia" w:ascii="仿宋" w:hAnsi="仿宋" w:eastAsia="仿宋"/>
          <w:color w:val="auto"/>
          <w:sz w:val="32"/>
          <w:szCs w:val="32"/>
          <w:highlight w:val="none"/>
        </w:rPr>
        <w:t>万元，主要包括：基本工资、津贴补贴、伙食补助费、绩效工资、机关事业单位基本养老保险缴费、职业年金缴费、职工基本医疗保险缴费</w:t>
      </w:r>
      <w:r>
        <w:rPr>
          <w:rFonts w:hint="eastAsia" w:ascii="仿宋" w:hAnsi="仿宋" w:eastAsia="仿宋"/>
          <w:color w:val="auto"/>
          <w:sz w:val="32"/>
          <w:szCs w:val="32"/>
          <w:highlight w:val="none"/>
          <w:lang w:eastAsia="zh-CN"/>
        </w:rPr>
        <w:t>、其</w:t>
      </w:r>
      <w:r>
        <w:rPr>
          <w:rFonts w:hint="eastAsia" w:ascii="仿宋" w:hAnsi="仿宋" w:eastAsia="仿宋"/>
          <w:color w:val="auto"/>
          <w:sz w:val="32"/>
          <w:szCs w:val="32"/>
          <w:highlight w:val="none"/>
        </w:rPr>
        <w:t>他社会保障缴费、住房公积金、对个人和家庭的补助</w:t>
      </w:r>
      <w:r>
        <w:rPr>
          <w:rFonts w:hint="eastAsia" w:ascii="仿宋" w:hAnsi="仿宋" w:eastAsia="仿宋"/>
          <w:color w:val="auto"/>
          <w:sz w:val="32"/>
          <w:szCs w:val="32"/>
          <w:highlight w:val="none"/>
          <w:lang w:eastAsia="zh-CN"/>
        </w:rPr>
        <w:t>、  生活补助</w:t>
      </w:r>
      <w:r>
        <w:rPr>
          <w:rFonts w:hint="eastAsia" w:ascii="仿宋" w:hAnsi="仿宋" w:eastAsia="仿宋"/>
          <w:color w:val="auto"/>
          <w:sz w:val="32"/>
          <w:szCs w:val="32"/>
          <w:highlight w:val="none"/>
          <w:lang w:val="en-US" w:eastAsia="zh-CN"/>
        </w:rPr>
        <w:t>支出等。</w:t>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36.48</w:t>
      </w:r>
      <w:r>
        <w:rPr>
          <w:rFonts w:hint="eastAsia" w:ascii="仿宋" w:hAnsi="仿宋" w:eastAsia="仿宋"/>
          <w:color w:val="auto"/>
          <w:sz w:val="32"/>
          <w:szCs w:val="32"/>
          <w:highlight w:val="none"/>
        </w:rPr>
        <w:t>万元，主要包括：办公费、电费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差旅费、工会经费、福利费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资本性支出等。</w:t>
      </w:r>
    </w:p>
    <w:p w14:paraId="6CCE2A0D">
      <w:pPr>
        <w:spacing w:line="600" w:lineRule="exact"/>
        <w:ind w:firstLine="640"/>
        <w:outlineLvl w:val="1"/>
        <w:rPr>
          <w:rStyle w:val="32"/>
          <w:rFonts w:ascii="Times New Roman" w:hAnsi="Times New Roman" w:eastAsia="黑体"/>
          <w:b w:val="0"/>
          <w:color w:val="auto"/>
          <w:highlight w:val="none"/>
        </w:rPr>
      </w:pPr>
      <w:bookmarkStart w:id="31" w:name="_Toc15396609"/>
      <w:bookmarkStart w:id="32" w:name="_Toc15377215"/>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1"/>
      <w:bookmarkEnd w:id="32"/>
    </w:p>
    <w:p w14:paraId="4C607C50">
      <w:pPr>
        <w:spacing w:line="600" w:lineRule="exact"/>
        <w:ind w:firstLine="640"/>
        <w:outlineLvl w:val="2"/>
        <w:rPr>
          <w:rFonts w:ascii="仿宋" w:hAnsi="仿宋" w:eastAsia="仿宋"/>
          <w:b/>
          <w:color w:val="auto"/>
          <w:sz w:val="32"/>
          <w:szCs w:val="32"/>
          <w:highlight w:val="none"/>
        </w:rPr>
      </w:pPr>
      <w:bookmarkStart w:id="33" w:name="_Toc15377218"/>
      <w:bookmarkStart w:id="34" w:name="_Toc15396610"/>
      <w:r>
        <w:rPr>
          <w:rFonts w:hint="eastAsia" w:ascii="仿宋" w:hAnsi="仿宋" w:eastAsia="仿宋"/>
          <w:b/>
          <w:color w:val="auto"/>
          <w:sz w:val="32"/>
          <w:szCs w:val="32"/>
          <w:highlight w:val="none"/>
        </w:rPr>
        <w:t>（一）“三公”经费财政拨款支出决算总体情况说明</w:t>
      </w:r>
    </w:p>
    <w:p w14:paraId="0F4CED44">
      <w:pPr>
        <w:spacing w:line="600" w:lineRule="exact"/>
        <w:ind w:firstLine="640"/>
        <w:rPr>
          <w:rFonts w:ascii="仿宋" w:hAnsi="仿宋" w:eastAsia="仿宋"/>
          <w:b/>
          <w:sz w:val="32"/>
          <w:szCs w:val="32"/>
        </w:rPr>
      </w:pPr>
      <w:r>
        <w:rPr>
          <w:rFonts w:hint="eastAsia" w:ascii="仿宋" w:hAnsi="仿宋" w:eastAsia="仿宋"/>
          <w:color w:val="auto"/>
          <w:sz w:val="32"/>
          <w:szCs w:val="32"/>
          <w:highlight w:val="none"/>
          <w:lang w:eastAsia="zh-CN"/>
        </w:rPr>
        <w:t>2024年度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0万元，增长0%。</w:t>
      </w:r>
      <w:r>
        <w:rPr>
          <w:rFonts w:hint="eastAsia" w:ascii="仿宋" w:hAnsi="仿宋" w:eastAsia="仿宋"/>
          <w:sz w:val="32"/>
          <w:szCs w:val="32"/>
        </w:rPr>
        <w:t>决算数小于预算数的主要原因是</w:t>
      </w:r>
      <w:r>
        <w:rPr>
          <w:rFonts w:hint="eastAsia" w:ascii="仿宋" w:hAnsi="仿宋" w:eastAsia="仿宋"/>
          <w:sz w:val="32"/>
          <w:szCs w:val="32"/>
          <w:lang w:val="en-US" w:eastAsia="zh-CN"/>
        </w:rPr>
        <w:t>2023年度严格控制公务接待，未产生接待费用</w:t>
      </w:r>
      <w:r>
        <w:rPr>
          <w:rFonts w:hint="eastAsia" w:ascii="仿宋" w:hAnsi="仿宋" w:eastAsia="仿宋"/>
          <w:sz w:val="32"/>
          <w:szCs w:val="32"/>
        </w:rPr>
        <w:t>。</w:t>
      </w:r>
    </w:p>
    <w:p w14:paraId="40BC238F">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14:paraId="11850982">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2024年度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605BD88F">
      <w:pPr>
        <w:spacing w:line="600" w:lineRule="exact"/>
        <w:ind w:firstLine="640"/>
        <w:rPr>
          <w:rFonts w:ascii="仿宋" w:hAnsi="仿宋" w:eastAsia="仿宋"/>
          <w:color w:val="auto"/>
          <w:sz w:val="32"/>
          <w:szCs w:val="32"/>
          <w:highlight w:val="none"/>
        </w:rPr>
      </w:pPr>
      <w:r>
        <w:drawing>
          <wp:anchor distT="0" distB="0" distL="114300" distR="114300" simplePos="0" relativeHeight="251661312" behindDoc="0" locked="0" layoutInCell="1" allowOverlap="1">
            <wp:simplePos x="0" y="0"/>
            <wp:positionH relativeFrom="column">
              <wp:posOffset>742950</wp:posOffset>
            </wp:positionH>
            <wp:positionV relativeFrom="paragraph">
              <wp:posOffset>40640</wp:posOffset>
            </wp:positionV>
            <wp:extent cx="3272790" cy="1970405"/>
            <wp:effectExtent l="4445" t="4445" r="18415" b="6350"/>
            <wp:wrapTopAndBottom/>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color w:val="auto"/>
          <w:sz w:val="32"/>
          <w:szCs w:val="32"/>
          <w:highlight w:val="none"/>
        </w:rPr>
        <w:t>（图7：“三公”经费财政拨款支出结构）（饼状图）</w:t>
      </w:r>
    </w:p>
    <w:p w14:paraId="7917F542">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/减少0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/下降0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b w:val="0"/>
          <w:bCs w:val="0"/>
          <w:color w:val="auto"/>
          <w:sz w:val="32"/>
          <w:szCs w:val="32"/>
          <w:highlight w:val="none"/>
          <w:lang w:eastAsia="zh-CN"/>
        </w:rPr>
        <w:t>无</w:t>
      </w:r>
      <w:r>
        <w:rPr>
          <w:rFonts w:hint="eastAsia" w:ascii="仿宋_GB2312" w:eastAsia="仿宋_GB2312"/>
          <w:b w:val="0"/>
          <w:bCs w:val="0"/>
          <w:color w:val="auto"/>
          <w:sz w:val="32"/>
          <w:szCs w:val="32"/>
          <w:highlight w:val="none"/>
        </w:rPr>
        <w:t>因公出国（境）经费支出</w:t>
      </w:r>
      <w:r>
        <w:rPr>
          <w:rFonts w:hint="eastAsia" w:ascii="仿宋_GB2312" w:eastAsia="仿宋_GB2312"/>
          <w:color w:val="auto"/>
          <w:sz w:val="32"/>
          <w:szCs w:val="32"/>
          <w:highlight w:val="none"/>
        </w:rPr>
        <w:t>。</w:t>
      </w:r>
    </w:p>
    <w:p w14:paraId="46816B55">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开支内容包括：</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（团组名称、出访地点、取得成效）等。</w:t>
      </w:r>
    </w:p>
    <w:p w14:paraId="3F39DA5D">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sz w:val="32"/>
          <w:szCs w:val="32"/>
        </w:rPr>
        <w:t>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/下降0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主要原因是</w:t>
      </w:r>
      <w:r>
        <w:rPr>
          <w:rFonts w:hint="eastAsia" w:ascii="仿宋_GB2312" w:eastAsia="仿宋_GB2312"/>
          <w:b w:val="0"/>
          <w:bCs w:val="0"/>
          <w:color w:val="auto"/>
          <w:sz w:val="32"/>
          <w:szCs w:val="32"/>
          <w:highlight w:val="none"/>
          <w:lang w:eastAsia="zh-CN"/>
        </w:rPr>
        <w:t>无</w:t>
      </w:r>
      <w:r>
        <w:rPr>
          <w:rFonts w:hint="eastAsia" w:ascii="仿宋_GB2312" w:eastAsia="仿宋_GB2312"/>
          <w:b w:val="0"/>
          <w:bCs w:val="0"/>
          <w:color w:val="auto"/>
          <w:sz w:val="32"/>
          <w:szCs w:val="32"/>
          <w:highlight w:val="none"/>
        </w:rPr>
        <w:t>公务用车购置及运行维护费支出</w:t>
      </w:r>
      <w:r>
        <w:rPr>
          <w:rFonts w:hint="eastAsia" w:ascii="仿宋_GB2312" w:eastAsia="仿宋_GB2312"/>
          <w:color w:val="auto"/>
          <w:sz w:val="32"/>
          <w:szCs w:val="32"/>
          <w:highlight w:val="none"/>
        </w:rPr>
        <w:t>。</w:t>
      </w:r>
    </w:p>
    <w:p w14:paraId="3CE2F924">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325F66F8">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（具体工作）等所需的公务用车燃料费、维修费、过路过桥费、保险费等支出。</w:t>
      </w:r>
    </w:p>
    <w:p w14:paraId="3445D64E">
      <w:pPr>
        <w:numPr>
          <w:ilvl w:val="0"/>
          <w:numId w:val="0"/>
        </w:numPr>
        <w:spacing w:line="600" w:lineRule="exact"/>
        <w:ind w:leftChars="200"/>
        <w:rPr>
          <w:rFonts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2.</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w:t>
      </w:r>
      <w:r>
        <w:rPr>
          <w:rFonts w:hint="eastAsia" w:ascii="仿宋_GB2312" w:eastAsia="仿宋_GB2312"/>
          <w:color w:val="auto"/>
          <w:sz w:val="32"/>
          <w:szCs w:val="32"/>
          <w:highlight w:val="none"/>
          <w:lang w:eastAsia="zh-CN"/>
        </w:rPr>
        <w:t>要</w:t>
      </w:r>
      <w:r>
        <w:rPr>
          <w:rFonts w:hint="eastAsia" w:ascii="仿宋_GB2312" w:eastAsia="仿宋_GB2312"/>
          <w:sz w:val="32"/>
          <w:szCs w:val="32"/>
        </w:rPr>
        <w:t>原因是</w:t>
      </w:r>
      <w:r>
        <w:rPr>
          <w:rFonts w:hint="eastAsia" w:ascii="仿宋_GB2312" w:eastAsia="仿宋_GB2312"/>
          <w:sz w:val="32"/>
          <w:szCs w:val="32"/>
          <w:lang w:val="en-US" w:eastAsia="zh-CN"/>
        </w:rPr>
        <w:t>无公务接待</w:t>
      </w:r>
      <w:r>
        <w:rPr>
          <w:rFonts w:hint="eastAsia" w:ascii="仿宋_GB2312" w:eastAsia="仿宋_GB2312"/>
          <w:sz w:val="32"/>
          <w:szCs w:val="32"/>
        </w:rPr>
        <w:t>。</w:t>
      </w:r>
      <w:r>
        <w:rPr>
          <w:rFonts w:hint="eastAsia" w:ascii="仿宋_GB2312" w:eastAsia="仿宋_GB2312"/>
          <w:color w:val="auto"/>
          <w:sz w:val="32"/>
          <w:szCs w:val="32"/>
          <w:highlight w:val="none"/>
        </w:rPr>
        <w:t>其中：</w:t>
      </w:r>
    </w:p>
    <w:p w14:paraId="4C142F88">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执行公务、开展业务活动开支的交通费、住宿费、用餐费等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（接待具体项目、金额）。</w:t>
      </w:r>
    </w:p>
    <w:p w14:paraId="7B8986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万元，主要用于接待</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（具体项目）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F78472F">
      <w:pPr>
        <w:spacing w:line="600" w:lineRule="exact"/>
        <w:ind w:firstLine="640"/>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33"/>
      <w:bookmarkEnd w:id="34"/>
    </w:p>
    <w:p w14:paraId="596C244A">
      <w:pPr>
        <w:spacing w:line="600" w:lineRule="exact"/>
        <w:ind w:firstLine="640"/>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eastAsia="zh-CN"/>
        </w:rPr>
        <w:t>33.70万元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lang w:val="en-US" w:eastAsia="zh-CN"/>
        </w:rPr>
        <w:t>6.17</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。与2023年度相比，政府性基金预算财政拨款支出减少19116.19万元，下降99.82%。</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单位专债项目减少</w:t>
      </w:r>
      <w:r>
        <w:rPr>
          <w:rFonts w:hint="eastAsia" w:ascii="仿宋" w:hAnsi="仿宋" w:eastAsia="仿宋"/>
          <w:color w:val="auto"/>
          <w:sz w:val="32"/>
          <w:szCs w:val="32"/>
          <w:highlight w:val="none"/>
          <w:lang w:eastAsia="zh-CN"/>
        </w:rPr>
        <w:t>。</w:t>
      </w:r>
    </w:p>
    <w:p w14:paraId="467D47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ascii="黑体" w:hAnsi="黑体" w:eastAsia="黑体"/>
          <w:b w:val="0"/>
          <w:color w:val="auto"/>
          <w:highlight w:val="none"/>
        </w:rPr>
      </w:pPr>
      <w:r>
        <w:rPr>
          <w:rStyle w:val="32"/>
          <w:rFonts w:hint="eastAsia" w:ascii="黑体" w:hAnsi="黑体" w:eastAsia="黑体"/>
          <w:b w:val="0"/>
          <w:color w:val="auto"/>
          <w:highlight w:val="none"/>
          <w:lang w:eastAsia="zh-CN"/>
        </w:rPr>
        <w:t>九、</w:t>
      </w:r>
      <w:r>
        <w:rPr>
          <w:rStyle w:val="32"/>
          <w:rFonts w:hint="eastAsia" w:ascii="黑体" w:hAnsi="黑体" w:eastAsia="黑体"/>
          <w:b w:val="0"/>
          <w:color w:val="auto"/>
          <w:highlight w:val="none"/>
        </w:rPr>
        <w:t>国有资本经营预算支出决算情况说明</w:t>
      </w:r>
    </w:p>
    <w:p w14:paraId="635409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sz w:val="32"/>
          <w:szCs w:val="32"/>
        </w:rPr>
        <w:t>0</w:t>
      </w:r>
      <w:r>
        <w:rPr>
          <w:rFonts w:hint="eastAsia" w:ascii="仿宋_GB2312" w:eastAsia="仿宋_GB2312"/>
          <w:sz w:val="32"/>
          <w:szCs w:val="32"/>
        </w:rPr>
        <w:t>万元。</w:t>
      </w:r>
    </w:p>
    <w:p w14:paraId="6A264012">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35" w:name="_Toc15396612"/>
      <w:bookmarkStart w:id="36" w:name="_Toc15377221"/>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35"/>
      <w:bookmarkEnd w:id="36"/>
    </w:p>
    <w:p w14:paraId="3623D21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22"/>
      <w:r>
        <w:rPr>
          <w:rFonts w:hint="eastAsia" w:ascii="Times New Roman" w:hAnsi="Times New Roman" w:eastAsia="楷体_GB2312" w:cs="楷体_GB2312"/>
          <w:b/>
          <w:color w:val="auto"/>
          <w:sz w:val="32"/>
          <w:szCs w:val="32"/>
          <w:highlight w:val="none"/>
        </w:rPr>
        <w:t>（一）机关运行经费支出情况</w:t>
      </w:r>
      <w:bookmarkEnd w:id="37"/>
    </w:p>
    <w:p w14:paraId="27B71CE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olor w:val="auto"/>
          <w:sz w:val="32"/>
          <w:szCs w:val="32"/>
          <w:highlight w:val="none"/>
          <w:lang w:eastAsia="zh-CN"/>
        </w:rPr>
        <w:t>2024年度</w:t>
      </w:r>
      <w:r>
        <w:rPr>
          <w:rFonts w:hint="eastAsia" w:ascii="仿宋_GB2312" w:eastAsia="仿宋_GB2312"/>
          <w:color w:val="auto"/>
          <w:sz w:val="32"/>
          <w:szCs w:val="32"/>
          <w:highlight w:val="none"/>
        </w:rPr>
        <w:t>，</w:t>
      </w:r>
      <w:r>
        <w:rPr>
          <w:rFonts w:hint="eastAsia"/>
          <w:sz w:val="32"/>
          <w:szCs w:val="32"/>
        </w:rPr>
        <w:t>峨边彝族自治县产业园区管理委员会</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sz w:val="32"/>
          <w:szCs w:val="32"/>
        </w:rPr>
        <w:t>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color w:val="auto"/>
          <w:sz w:val="32"/>
          <w:szCs w:val="32"/>
          <w:highlight w:val="none"/>
        </w:rPr>
        <w:t>（或与</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决算数持平）。主要原因是</w:t>
      </w:r>
      <w:r>
        <w:rPr>
          <w:rFonts w:hint="eastAsia" w:ascii="仿宋_GB2312" w:eastAsia="仿宋_GB2312"/>
          <w:sz w:val="32"/>
          <w:szCs w:val="32"/>
          <w:lang w:val="en-US" w:eastAsia="zh-CN"/>
        </w:rPr>
        <w:t>事业单位无机关运行费用。</w:t>
      </w:r>
    </w:p>
    <w:p w14:paraId="19A11D1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23"/>
      <w:r>
        <w:rPr>
          <w:rFonts w:hint="eastAsia" w:ascii="Times New Roman" w:hAnsi="Times New Roman" w:eastAsia="楷体_GB2312" w:cs="楷体_GB2312"/>
          <w:b/>
          <w:color w:val="auto"/>
          <w:sz w:val="32"/>
          <w:szCs w:val="32"/>
          <w:highlight w:val="none"/>
        </w:rPr>
        <w:t>（二）政府采购支出情况</w:t>
      </w:r>
      <w:bookmarkEnd w:id="38"/>
    </w:p>
    <w:p w14:paraId="703B0931">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olor w:val="auto"/>
          <w:sz w:val="32"/>
          <w:szCs w:val="32"/>
          <w:highlight w:val="none"/>
          <w:lang w:eastAsia="zh-CN"/>
        </w:rPr>
        <w:t>2024年度</w:t>
      </w:r>
      <w:r>
        <w:rPr>
          <w:rFonts w:hint="eastAsia" w:ascii="仿宋_GB2312" w:eastAsia="仿宋_GB2312"/>
          <w:color w:val="auto"/>
          <w:sz w:val="32"/>
          <w:szCs w:val="32"/>
          <w:highlight w:val="none"/>
        </w:rPr>
        <w:t>，</w:t>
      </w:r>
      <w:r>
        <w:rPr>
          <w:rFonts w:hint="eastAsia"/>
          <w:sz w:val="32"/>
          <w:szCs w:val="32"/>
        </w:rPr>
        <w:t>边彝族自治县产业园区管理委员会</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1.15</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1.15</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购买大型复印机</w:t>
      </w:r>
      <w:r>
        <w:rPr>
          <w:rFonts w:hint="eastAsia" w:ascii="仿宋_GB2312" w:eastAsia="仿宋_GB2312"/>
          <w:color w:val="auto"/>
          <w:sz w:val="32"/>
          <w:szCs w:val="32"/>
          <w:highlight w:val="none"/>
        </w:rPr>
        <w:t>（具体工作）。授予中小企业合同金额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10C084F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24"/>
      <w:r>
        <w:rPr>
          <w:rFonts w:hint="eastAsia" w:ascii="Times New Roman" w:hAnsi="Times New Roman" w:eastAsia="楷体_GB2312" w:cs="楷体_GB2312"/>
          <w:b/>
          <w:color w:val="auto"/>
          <w:sz w:val="32"/>
          <w:szCs w:val="32"/>
          <w:highlight w:val="none"/>
        </w:rPr>
        <w:t>（三）国有资产占有使用情况</w:t>
      </w:r>
      <w:bookmarkEnd w:id="39"/>
    </w:p>
    <w:p w14:paraId="4DD5B766">
      <w:pPr>
        <w:autoSpaceDE w:val="0"/>
        <w:autoSpaceDN w:val="0"/>
        <w:adjustRightInd w:val="0"/>
        <w:spacing w:line="600" w:lineRule="exact"/>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s="Times New Roman"/>
          <w:color w:val="auto"/>
          <w:sz w:val="32"/>
          <w:szCs w:val="32"/>
          <w:highlight w:val="none"/>
        </w:rPr>
        <w:t>，峨边彝族自治县产业园区管理委</w:t>
      </w:r>
      <w:r>
        <w:rPr>
          <w:rFonts w:hint="eastAsia" w:ascii="仿宋_GB2312" w:eastAsia="仿宋_GB2312" w:cs="Times New Roman"/>
          <w:color w:val="auto"/>
          <w:sz w:val="32"/>
          <w:szCs w:val="32"/>
          <w:highlight w:val="none"/>
          <w:lang w:eastAsia="zh-CN"/>
        </w:rPr>
        <w:t>员会</w:t>
      </w:r>
      <w:r>
        <w:rPr>
          <w:rFonts w:hint="eastAsia" w:ascii="仿宋_GB2312" w:eastAsia="仿宋_GB2312" w:cs="Times New Roman"/>
          <w:color w:val="auto"/>
          <w:sz w:val="32"/>
          <w:szCs w:val="32"/>
          <w:highlight w:val="none"/>
        </w:rPr>
        <w:t>共有车辆</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辆，其中</w:t>
      </w:r>
      <w:r>
        <w:rPr>
          <w:rFonts w:hint="eastAsia" w:ascii="仿宋_GB2312" w:eastAsia="仿宋_GB2312"/>
          <w:color w:val="auto"/>
          <w:sz w:val="32"/>
          <w:szCs w:val="32"/>
          <w:highlight w:val="none"/>
        </w:rPr>
        <w:t>：主要领导干部用车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7198B79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D2C9AED">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2024年度</w:t>
      </w:r>
      <w:r>
        <w:rPr>
          <w:rFonts w:hint="eastAsia" w:ascii="仿宋_GB2312" w:hAnsi="Times New Roman" w:eastAsia="仿宋_GB2312" w:cs="Times New Roman"/>
          <w:color w:val="auto"/>
          <w:sz w:val="32"/>
          <w:szCs w:val="32"/>
          <w:highlight w:val="none"/>
          <w:lang w:eastAsia="zh-CN"/>
        </w:rPr>
        <w:t>预算编制阶段，组织对</w:t>
      </w:r>
      <w:r>
        <w:rPr>
          <w:rFonts w:hint="eastAsia" w:ascii="仿宋_GB2312" w:hAnsi="Times New Roman" w:eastAsia="仿宋_GB2312" w:cs="Times New Roman"/>
          <w:color w:val="auto"/>
          <w:sz w:val="32"/>
          <w:szCs w:val="32"/>
          <w:highlight w:val="none"/>
          <w:lang w:val="en-US" w:eastAsia="zh-CN"/>
        </w:rPr>
        <w:t>0个项目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hAnsi="Times New Roman"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lang w:eastAsia="zh-CN"/>
        </w:rPr>
        <w:t>个项目编制了绩效目标</w:t>
      </w:r>
      <w:r>
        <w:rPr>
          <w:rFonts w:hint="eastAsia" w:ascii="仿宋_GB2312" w:eastAsia="仿宋_GB2312" w:cs="Times New Roman"/>
          <w:color w:val="auto"/>
          <w:sz w:val="32"/>
          <w:szCs w:val="32"/>
          <w:highlight w:val="none"/>
          <w:lang w:eastAsia="zh-CN"/>
        </w:rPr>
        <w:t>，在</w:t>
      </w:r>
      <w:r>
        <w:rPr>
          <w:rFonts w:hint="eastAsia" w:ascii="仿宋_GB2312" w:hAnsi="Times New Roman" w:eastAsia="仿宋_GB2312" w:cs="Times New Roman"/>
          <w:color w:val="auto"/>
          <w:sz w:val="32"/>
          <w:szCs w:val="32"/>
          <w:highlight w:val="none"/>
          <w:lang w:eastAsia="zh-CN"/>
        </w:rPr>
        <w:t>预算执行过程中，选取</w:t>
      </w:r>
      <w:r>
        <w:rPr>
          <w:rFonts w:hint="eastAsia" w:ascii="仿宋_GB2312" w:hAnsi="Times New Roman"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hAnsi="Times New Roman" w:eastAsia="仿宋_GB2312" w:cs="Times New Roman"/>
          <w:color w:val="auto"/>
          <w:sz w:val="32"/>
          <w:szCs w:val="32"/>
          <w:highlight w:val="none"/>
          <w:lang w:val="en-US" w:eastAsia="zh-CN"/>
        </w:rPr>
        <w:t>3个项目开展绩效自评，绩效自评表详见第四部分附件。</w:t>
      </w:r>
    </w:p>
    <w:p w14:paraId="20209B12">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组织对2024年度一般公共预算、政府性基金预算、国有资本经营预算、社会保险基金预算以及资本资产、债券资金等全面开展绩效自评，形成产业园区管理委员会部门整体（含部门预算项目）绩效自评报告，产业园区管理委员会部门整体（含部门预算项目）绩效自评得分为100分，绩效自评综述</w:t>
      </w:r>
      <w:r>
        <w:rPr>
          <w:rFonts w:hint="eastAsia" w:ascii="仿宋_GB2312" w:hAnsi="Times New Roman" w:eastAsia="仿宋_GB2312" w:cs="Times New Roman"/>
          <w:color w:val="auto"/>
          <w:sz w:val="32"/>
          <w:szCs w:val="32"/>
          <w:highlight w:val="none"/>
          <w:lang w:val="zh-CN" w:eastAsia="zh-CN"/>
        </w:rPr>
        <w:t>县</w:t>
      </w:r>
      <w:r>
        <w:rPr>
          <w:rFonts w:hint="eastAsia" w:ascii="仿宋_GB2312" w:hAnsi="Times New Roman" w:eastAsia="仿宋_GB2312" w:cs="Times New Roman"/>
          <w:color w:val="auto"/>
          <w:sz w:val="32"/>
          <w:szCs w:val="32"/>
          <w:highlight w:val="none"/>
          <w:lang w:val="en-US" w:eastAsia="zh-CN"/>
        </w:rPr>
        <w:t>产业园区管委会</w:t>
      </w:r>
      <w:r>
        <w:rPr>
          <w:rFonts w:hint="eastAsia" w:ascii="仿宋_GB2312" w:hAnsi="Times New Roman" w:eastAsia="仿宋_GB2312" w:cs="Times New Roman"/>
          <w:color w:val="auto"/>
          <w:sz w:val="32"/>
          <w:szCs w:val="32"/>
          <w:highlight w:val="none"/>
          <w:lang w:val="zh-CN" w:eastAsia="zh-CN"/>
        </w:rPr>
        <w:t>认真组织开展了部门整体绩效评价工作，绩效评价得分：</w:t>
      </w:r>
      <w:r>
        <w:rPr>
          <w:rFonts w:hint="eastAsia" w:ascii="仿宋_GB2312" w:hAnsi="Times New Roman" w:eastAsia="仿宋_GB2312" w:cs="Times New Roman"/>
          <w:color w:val="auto"/>
          <w:sz w:val="32"/>
          <w:szCs w:val="32"/>
          <w:highlight w:val="none"/>
          <w:lang w:val="en-US" w:eastAsia="zh-CN"/>
        </w:rPr>
        <w:t>100</w:t>
      </w:r>
      <w:r>
        <w:rPr>
          <w:rFonts w:hint="eastAsia" w:ascii="仿宋_GB2312" w:hAnsi="Times New Roman" w:eastAsia="仿宋_GB2312" w:cs="Times New Roman"/>
          <w:color w:val="auto"/>
          <w:sz w:val="32"/>
          <w:szCs w:val="32"/>
          <w:highlight w:val="none"/>
          <w:lang w:val="zh-CN" w:eastAsia="zh-CN"/>
        </w:rPr>
        <w:t>分，评价结果：优。</w:t>
      </w:r>
    </w:p>
    <w:p w14:paraId="3BFB9D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51D331B">
      <w:pPr>
        <w:pStyle w:val="2"/>
        <w:rPr>
          <w:rFonts w:hint="eastAsia" w:ascii="Times New Roman" w:hAnsi="Times New Roman" w:eastAsia="仿宋_GB2312" w:cs="仿宋_GB2312"/>
          <w:color w:val="auto"/>
          <w:kern w:val="2"/>
          <w:sz w:val="32"/>
          <w:szCs w:val="32"/>
          <w:highlight w:val="none"/>
          <w:lang w:val="en-US" w:eastAsia="zh-CN" w:bidi="ar-SA"/>
        </w:rPr>
      </w:pPr>
    </w:p>
    <w:p w14:paraId="48A0D572">
      <w:pPr>
        <w:pStyle w:val="3"/>
        <w:rPr>
          <w:rFonts w:hint="eastAsia" w:ascii="Times New Roman" w:hAnsi="Times New Roman" w:eastAsia="仿宋_GB2312" w:cs="仿宋_GB2312"/>
          <w:color w:val="auto"/>
          <w:kern w:val="2"/>
          <w:sz w:val="32"/>
          <w:szCs w:val="32"/>
          <w:highlight w:val="none"/>
          <w:lang w:val="en-US" w:eastAsia="zh-CN" w:bidi="ar-SA"/>
        </w:rPr>
      </w:pPr>
    </w:p>
    <w:p w14:paraId="2F9D7501">
      <w:pPr>
        <w:pStyle w:val="2"/>
        <w:rPr>
          <w:rFonts w:hint="eastAsia"/>
          <w:lang w:val="en-US" w:eastAsia="zh-CN"/>
        </w:rPr>
      </w:pPr>
    </w:p>
    <w:p w14:paraId="4323B6B8">
      <w:pPr>
        <w:pStyle w:val="3"/>
        <w:rPr>
          <w:rFonts w:hint="eastAsia"/>
          <w:lang w:val="en-US" w:eastAsia="zh-CN"/>
        </w:rPr>
      </w:pPr>
    </w:p>
    <w:p w14:paraId="1C693D5F">
      <w:pPr>
        <w:rPr>
          <w:rFonts w:hint="eastAsia"/>
          <w:lang w:val="en-US" w:eastAsia="zh-CN"/>
        </w:rPr>
      </w:pPr>
    </w:p>
    <w:p w14:paraId="541CEA9A">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0" w:name="_Toc15396613"/>
      <w:bookmarkStart w:id="41"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0"/>
      <w:bookmarkEnd w:id="41"/>
    </w:p>
    <w:p w14:paraId="45C7F1DE">
      <w:pPr>
        <w:spacing w:line="600" w:lineRule="exact"/>
        <w:jc w:val="left"/>
        <w:rPr>
          <w:rFonts w:ascii="Times New Roman" w:hAnsi="Times New Roman"/>
          <w:b/>
          <w:color w:val="auto"/>
          <w:sz w:val="44"/>
          <w:szCs w:val="44"/>
          <w:highlight w:val="none"/>
        </w:rPr>
      </w:pPr>
    </w:p>
    <w:p w14:paraId="32D24E6D">
      <w:pPr>
        <w:pStyle w:val="29"/>
        <w:spacing w:line="560" w:lineRule="exact"/>
        <w:ind w:firstLine="640" w:firstLineChars="200"/>
        <w:rPr>
          <w:rFonts w:ascii="仿宋_GB2312" w:eastAsia="仿宋_GB2312"/>
          <w:color w:val="auto"/>
          <w:sz w:val="32"/>
          <w:szCs w:val="32"/>
          <w:highlight w:val="none"/>
        </w:rPr>
      </w:pPr>
      <w:bookmarkStart w:id="42"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02AC4003">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443613EC">
      <w:pPr>
        <w:pStyle w:val="29"/>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0453428E">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14:paraId="4210FF01">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2694D4F6">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0855B961">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3D3AA030">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4AB56781">
      <w:pPr>
        <w:ind w:firstLine="640" w:firstLineChars="200"/>
        <w:rPr>
          <w:rFonts w:ascii="仿宋_GB2312" w:eastAsia="仿宋_GB2312"/>
          <w:color w:val="auto"/>
          <w:sz w:val="32"/>
          <w:szCs w:val="32"/>
          <w:highlight w:val="none"/>
        </w:rPr>
      </w:pPr>
      <w:r>
        <w:rPr>
          <w:rFonts w:hint="eastAsia" w:ascii="仿宋_GB2312" w:eastAsia="仿宋_GB2312"/>
          <w:sz w:val="32"/>
          <w:szCs w:val="32"/>
        </w:rPr>
        <w:t>9.一般公共服务</w:t>
      </w:r>
      <w:r>
        <w:rPr>
          <w:rFonts w:hint="eastAsia" w:ascii="仿宋_GB2312" w:eastAsia="仿宋_GB2312"/>
          <w:sz w:val="32"/>
          <w:szCs w:val="32"/>
          <w:lang w:eastAsia="zh-CN"/>
        </w:rPr>
        <w:t>（</w:t>
      </w:r>
      <w:r>
        <w:rPr>
          <w:rFonts w:hint="eastAsia" w:ascii="仿宋_GB2312" w:eastAsia="仿宋_GB2312"/>
          <w:sz w:val="32"/>
          <w:szCs w:val="32"/>
        </w:rPr>
        <w:t>类</w:t>
      </w:r>
      <w:r>
        <w:rPr>
          <w:rFonts w:hint="eastAsia" w:ascii="仿宋_GB2312" w:eastAsia="仿宋_GB2312"/>
          <w:sz w:val="32"/>
          <w:szCs w:val="32"/>
          <w:lang w:eastAsia="zh-CN"/>
        </w:rPr>
        <w:t>）</w:t>
      </w:r>
      <w:r>
        <w:rPr>
          <w:rFonts w:hint="eastAsia" w:ascii="仿宋_GB2312" w:eastAsia="仿宋_GB2312"/>
          <w:sz w:val="32"/>
          <w:szCs w:val="32"/>
          <w:lang w:val="en-US" w:eastAsia="zh-CN"/>
        </w:rPr>
        <w:t>政府办公厅（室）及相关机构事务（</w:t>
      </w:r>
      <w:r>
        <w:rPr>
          <w:rFonts w:hint="eastAsia" w:ascii="仿宋_GB2312" w:eastAsia="仿宋_GB2312"/>
          <w:sz w:val="32"/>
          <w:szCs w:val="32"/>
        </w:rPr>
        <w:t>款</w:t>
      </w:r>
      <w:r>
        <w:rPr>
          <w:rFonts w:hint="eastAsia" w:ascii="仿宋_GB2312" w:eastAsia="仿宋_GB2312"/>
          <w:sz w:val="32"/>
          <w:szCs w:val="32"/>
          <w:lang w:val="en-US" w:eastAsia="zh-CN"/>
        </w:rPr>
        <w:t>）事业运行（</w:t>
      </w:r>
      <w:r>
        <w:rPr>
          <w:rFonts w:hint="eastAsia" w:ascii="仿宋_GB2312" w:eastAsia="仿宋_GB2312"/>
          <w:sz w:val="32"/>
          <w:szCs w:val="32"/>
        </w:rPr>
        <w:t>项</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反映事业单位的基本支出，不包括行政单位（包括实行公务员管理的事业单位）后勤服务中心、医务室等附属事业单位</w:t>
      </w:r>
      <w:r>
        <w:rPr>
          <w:rFonts w:hint="eastAsia" w:ascii="仿宋_GB2312" w:eastAsia="仿宋_GB2312"/>
          <w:sz w:val="32"/>
          <w:szCs w:val="32"/>
        </w:rPr>
        <w:t>。</w:t>
      </w:r>
    </w:p>
    <w:p w14:paraId="08A46BD4">
      <w:pPr>
        <w:ind w:firstLine="640" w:firstLineChars="200"/>
        <w:rPr>
          <w:rFonts w:ascii="仿宋_GB2312" w:eastAsia="仿宋_GB2312"/>
          <w:color w:val="auto"/>
          <w:sz w:val="32"/>
          <w:szCs w:val="32"/>
          <w:highlight w:val="none"/>
        </w:rPr>
      </w:pPr>
    </w:p>
    <w:p w14:paraId="4044FBB0">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10.社会保障和就业（类）</w:t>
      </w:r>
      <w:r>
        <w:rPr>
          <w:rFonts w:hint="eastAsia" w:ascii="仿宋_GB2312" w:eastAsia="仿宋_GB2312"/>
          <w:sz w:val="32"/>
          <w:szCs w:val="32"/>
          <w:lang w:val="en-US" w:eastAsia="zh-CN"/>
        </w:rPr>
        <w:t>行政事业单位养老（</w:t>
      </w:r>
      <w:r>
        <w:rPr>
          <w:rFonts w:hint="eastAsia" w:ascii="仿宋_GB2312" w:eastAsia="仿宋_GB2312"/>
          <w:sz w:val="32"/>
          <w:szCs w:val="32"/>
        </w:rPr>
        <w:t>款</w:t>
      </w:r>
      <w:r>
        <w:rPr>
          <w:rFonts w:hint="eastAsia" w:ascii="仿宋_GB2312" w:eastAsia="仿宋_GB2312"/>
          <w:sz w:val="32"/>
          <w:szCs w:val="32"/>
          <w:lang w:val="en-US" w:eastAsia="zh-CN"/>
        </w:rPr>
        <w:t>）机关事业单位基本养老保险缴费（</w:t>
      </w:r>
      <w:r>
        <w:rPr>
          <w:rFonts w:hint="eastAsia" w:ascii="仿宋_GB2312" w:eastAsia="仿宋_GB2312"/>
          <w:sz w:val="32"/>
          <w:szCs w:val="32"/>
        </w:rPr>
        <w:t>项</w:t>
      </w:r>
      <w:r>
        <w:rPr>
          <w:rFonts w:hint="eastAsia" w:ascii="仿宋_GB2312" w:eastAsia="仿宋_GB2312"/>
          <w:sz w:val="32"/>
          <w:szCs w:val="32"/>
          <w:lang w:val="en-US" w:eastAsia="zh-CN"/>
        </w:rPr>
        <w:t>）：</w:t>
      </w:r>
      <w:r>
        <w:rPr>
          <w:rFonts w:hint="eastAsia" w:ascii="仿宋_GB2312" w:eastAsia="仿宋_GB2312"/>
          <w:sz w:val="32"/>
          <w:szCs w:val="32"/>
        </w:rPr>
        <w:t xml:space="preserve"> </w:t>
      </w:r>
      <w:r>
        <w:rPr>
          <w:rFonts w:hint="eastAsia" w:ascii="仿宋_GB2312" w:eastAsia="仿宋_GB2312"/>
          <w:sz w:val="32"/>
          <w:szCs w:val="32"/>
          <w:lang w:val="en-US" w:eastAsia="zh-CN"/>
        </w:rPr>
        <w:t>反映机关事业单位实施养老保险制度由单位缴纳的基本养老保险费支出。</w:t>
      </w:r>
    </w:p>
    <w:p w14:paraId="47847E30">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行政事业单位养老（款）机关事业单位职业年金缴费（项）： 反映机关事业单位实施养老保险制度由单位缴纳的职业年金支出。</w:t>
      </w:r>
    </w:p>
    <w:p w14:paraId="5EA15C3B">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val="en-US" w:eastAsia="zh-CN"/>
        </w:rPr>
        <w:t>社会保障和就业</w:t>
      </w:r>
      <w:r>
        <w:rPr>
          <w:rFonts w:hint="eastAsia" w:ascii="仿宋_GB2312" w:eastAsia="仿宋_GB2312"/>
          <w:sz w:val="32"/>
          <w:szCs w:val="32"/>
          <w:lang w:eastAsia="zh-CN"/>
        </w:rPr>
        <w:t>（</w:t>
      </w:r>
      <w:r>
        <w:rPr>
          <w:rFonts w:hint="eastAsia" w:ascii="仿宋_GB2312" w:eastAsia="仿宋_GB2312"/>
          <w:sz w:val="32"/>
          <w:szCs w:val="32"/>
        </w:rPr>
        <w:t>类</w:t>
      </w:r>
      <w:r>
        <w:rPr>
          <w:rFonts w:hint="eastAsia" w:ascii="仿宋_GB2312" w:eastAsia="仿宋_GB2312"/>
          <w:sz w:val="32"/>
          <w:szCs w:val="32"/>
          <w:lang w:eastAsia="zh-CN"/>
        </w:rPr>
        <w:t>）</w:t>
      </w:r>
      <w:r>
        <w:rPr>
          <w:rFonts w:hint="eastAsia" w:ascii="仿宋_GB2312" w:eastAsia="仿宋_GB2312"/>
          <w:sz w:val="32"/>
          <w:szCs w:val="32"/>
          <w:lang w:val="en-US" w:eastAsia="zh-CN"/>
        </w:rPr>
        <w:t>其他社会保障和就业（</w:t>
      </w:r>
      <w:r>
        <w:rPr>
          <w:rFonts w:hint="eastAsia" w:ascii="仿宋_GB2312" w:eastAsia="仿宋_GB2312"/>
          <w:sz w:val="32"/>
          <w:szCs w:val="32"/>
        </w:rPr>
        <w:t>款</w:t>
      </w:r>
      <w:r>
        <w:rPr>
          <w:rFonts w:hint="eastAsia" w:ascii="仿宋_GB2312" w:eastAsia="仿宋_GB2312"/>
          <w:sz w:val="32"/>
          <w:szCs w:val="32"/>
          <w:lang w:val="en-US" w:eastAsia="zh-CN"/>
        </w:rPr>
        <w:t>）其他社会保障和就业（</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反映其他用于社会保障和就业方面的支出。</w:t>
      </w:r>
    </w:p>
    <w:p w14:paraId="5EAE126D">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13.卫生健康（类）行政事业单位医疗（款）事业单位医疗（项）：反映财政单位安排的事业单位基本医疗保险缴费经费，未参加医疗保险的事业单位的公费医疗经费，按国家规定享受离休人员待遇的医疗经费。</w:t>
      </w:r>
    </w:p>
    <w:p w14:paraId="3D549E72">
      <w:pPr>
        <w:ind w:firstLine="640" w:firstLineChars="200"/>
        <w:rPr>
          <w:rFonts w:ascii="仿宋_GB2312" w:eastAsia="仿宋_GB2312"/>
          <w:color w:val="auto"/>
          <w:sz w:val="32"/>
          <w:szCs w:val="32"/>
          <w:highlight w:val="none"/>
        </w:rPr>
      </w:pPr>
      <w:r>
        <w:rPr>
          <w:rFonts w:hint="eastAsia" w:ascii="仿宋_GB2312" w:eastAsia="仿宋_GB2312"/>
          <w:sz w:val="32"/>
          <w:szCs w:val="32"/>
          <w:lang w:val="en-US" w:eastAsia="zh-CN"/>
        </w:rPr>
        <w:t>14.卫生健康（类）行政事业单位医疗（款）公务员医疗补助（项）：反映财政单位安排的公务员医疗补助经费</w:t>
      </w:r>
      <w:r>
        <w:rPr>
          <w:rFonts w:hint="eastAsia" w:ascii="仿宋_GB2312" w:eastAsia="仿宋_GB2312"/>
          <w:sz w:val="32"/>
          <w:szCs w:val="32"/>
        </w:rPr>
        <w:t>。</w:t>
      </w:r>
    </w:p>
    <w:p w14:paraId="4F55699B">
      <w:pPr>
        <w:ind w:firstLine="640" w:firstLineChars="200"/>
        <w:rPr>
          <w:rFonts w:ascii="仿宋_GB2312" w:eastAsia="仿宋_GB2312"/>
          <w:color w:val="auto"/>
          <w:sz w:val="32"/>
          <w:szCs w:val="32"/>
          <w:highlight w:val="none"/>
        </w:rPr>
      </w:pPr>
      <w:r>
        <w:rPr>
          <w:rFonts w:hint="eastAsia" w:ascii="仿宋_GB2312" w:eastAsia="仿宋_GB2312"/>
          <w:sz w:val="32"/>
          <w:szCs w:val="32"/>
          <w:lang w:val="en-US" w:eastAsia="zh-CN"/>
        </w:rPr>
        <w:t>15.住房保障（类）住房改革（款）住房公积金（项）</w:t>
      </w:r>
      <w:r>
        <w:rPr>
          <w:rFonts w:hint="eastAsia" w:ascii="仿宋_GB2312" w:eastAsia="仿宋_GB2312"/>
          <w:sz w:val="32"/>
          <w:szCs w:val="32"/>
        </w:rPr>
        <w:t>：</w:t>
      </w:r>
      <w:r>
        <w:rPr>
          <w:rFonts w:hint="eastAsia" w:ascii="仿宋_GB2312" w:eastAsia="仿宋_GB2312"/>
          <w:sz w:val="32"/>
          <w:szCs w:val="32"/>
          <w:lang w:val="en-US" w:eastAsia="zh-CN"/>
        </w:rPr>
        <w:t>反映行政事业单位按人力资源和社会保障部、财政部规定的基本工资和津贴补贴以及规定比例为职工缴纳的住房公积金</w:t>
      </w:r>
      <w:r>
        <w:rPr>
          <w:rFonts w:hint="eastAsia" w:ascii="仿宋_GB2312" w:eastAsia="仿宋_GB2312"/>
          <w:sz w:val="32"/>
          <w:szCs w:val="32"/>
        </w:rPr>
        <w:t>。</w:t>
      </w:r>
    </w:p>
    <w:p w14:paraId="6142923F">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.基本支出：指为保障机构正常运转、完成日常工作任务而发生的人员支出和公用支出。</w:t>
      </w:r>
    </w:p>
    <w:p w14:paraId="3A239E25">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 xml:space="preserve">.项目支出：指在基本支出之外为完成特定行政任务和事业发展目标所发生的支出。 </w:t>
      </w:r>
    </w:p>
    <w:p w14:paraId="5AE453D5">
      <w:pPr>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.经营支出：指事业单位在专业业务活动及其辅助活动之外开展非独立核算经营活动发生的支出。</w:t>
      </w:r>
    </w:p>
    <w:p w14:paraId="2AB28B85">
      <w:pPr>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.“三公”经费：指</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394C1CF">
      <w:pPr>
        <w:spacing w:line="600" w:lineRule="exact"/>
        <w:ind w:firstLine="640"/>
        <w:rPr>
          <w:rFonts w:ascii="仿宋" w:hAnsi="仿宋" w:eastAsia="仿宋"/>
          <w:b/>
          <w:color w:val="auto"/>
          <w:sz w:val="32"/>
          <w:szCs w:val="32"/>
          <w:highlight w:val="none"/>
        </w:rPr>
      </w:pPr>
      <w:r>
        <w:rPr>
          <w:rFonts w:hint="eastAsia" w:ascii="仿宋_GB2312" w:eastAsia="仿宋_GB2312"/>
          <w:sz w:val="32"/>
          <w:szCs w:val="32"/>
          <w:lang w:val="en-US" w:eastAsia="zh-CN"/>
        </w:rPr>
        <w:t>20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480E280">
      <w:pPr>
        <w:spacing w:line="600" w:lineRule="exact"/>
        <w:jc w:val="center"/>
        <w:rPr>
          <w:rStyle w:val="31"/>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43"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3"/>
    </w:p>
    <w:p w14:paraId="74E7B6F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FEFF2F4">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6B2E3B32">
      <w:pPr>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峨边彝族自治县产业园区管理委员会</w:t>
      </w:r>
    </w:p>
    <w:p w14:paraId="14ED7BB2">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部门预算绩效评价报告</w:t>
      </w:r>
    </w:p>
    <w:p w14:paraId="7693B66E">
      <w:pPr>
        <w:pStyle w:val="2"/>
        <w:rPr>
          <w:rFonts w:hint="default"/>
        </w:rPr>
      </w:pPr>
    </w:p>
    <w:p w14:paraId="2D4F6865">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14:paraId="52A5B42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（一）机构组成。</w:t>
      </w:r>
    </w:p>
    <w:p w14:paraId="1EF63FD4">
      <w:pPr>
        <w:widowControl/>
        <w:adjustRightInd w:val="0"/>
        <w:snapToGrid w:val="0"/>
        <w:spacing w:line="580" w:lineRule="exact"/>
        <w:ind w:firstLine="620" w:firstLineChars="200"/>
        <w:contextualSpacing/>
        <w:jc w:val="left"/>
        <w:rPr>
          <w:rFonts w:hint="default" w:ascii="楷体_GB2312" w:hAnsi="宋体" w:eastAsia="仿宋_GB2312" w:cs="宋体"/>
          <w:color w:val="000000"/>
          <w:kern w:val="0"/>
          <w:szCs w:val="32"/>
          <w:shd w:val="clear" w:color="auto" w:fill="FFFFFF"/>
          <w:lang w:val="en-US" w:eastAsia="zh-CN"/>
        </w:rPr>
      </w:pPr>
      <w:r>
        <w:rPr>
          <w:rFonts w:ascii="仿宋_GB2312" w:hAnsi="宋体" w:eastAsia="仿宋_GB2312" w:cs="仿宋_GB2312"/>
          <w:color w:val="auto"/>
          <w:kern w:val="0"/>
          <w:sz w:val="31"/>
          <w:szCs w:val="31"/>
          <w:lang w:val="en-US" w:eastAsia="zh-CN" w:bidi="ar"/>
        </w:rPr>
        <w:t>县产业园区</w:t>
      </w:r>
      <w:r>
        <w:rPr>
          <w:rFonts w:hint="eastAsia" w:ascii="仿宋_GB2312" w:hAnsi="宋体" w:eastAsia="仿宋_GB2312" w:cs="仿宋_GB2312"/>
          <w:color w:val="auto"/>
          <w:kern w:val="0"/>
          <w:sz w:val="31"/>
          <w:szCs w:val="31"/>
          <w:lang w:val="en-US" w:eastAsia="zh-CN" w:bidi="ar"/>
        </w:rPr>
        <w:t>管理委员会</w:t>
      </w:r>
      <w:r>
        <w:rPr>
          <w:rFonts w:hint="eastAsia" w:ascii="仿宋_GB2312" w:hAnsi="仿宋" w:eastAsia="仿宋_GB2312"/>
          <w:color w:val="auto"/>
          <w:sz w:val="32"/>
          <w:szCs w:val="32"/>
          <w:lang w:eastAsia="zh-CN"/>
        </w:rPr>
        <w:t>内设</w:t>
      </w:r>
      <w:r>
        <w:rPr>
          <w:rFonts w:hint="eastAsia" w:ascii="仿宋_GB2312" w:hAnsi="仿宋" w:eastAsia="仿宋_GB2312"/>
          <w:color w:val="auto"/>
          <w:sz w:val="32"/>
          <w:szCs w:val="32"/>
          <w:lang w:val="en-US" w:eastAsia="zh-CN"/>
        </w:rPr>
        <w:t>六</w:t>
      </w:r>
      <w:r>
        <w:rPr>
          <w:rFonts w:hint="eastAsia" w:ascii="仿宋_GB2312" w:hAnsi="仿宋" w:eastAsia="仿宋_GB2312"/>
          <w:color w:val="auto"/>
          <w:sz w:val="32"/>
          <w:szCs w:val="32"/>
          <w:lang w:eastAsia="zh-CN"/>
        </w:rPr>
        <w:t>个科室：</w:t>
      </w:r>
      <w:r>
        <w:rPr>
          <w:rFonts w:hint="eastAsia" w:ascii="仿宋_GB2312" w:hAnsi="仿宋" w:eastAsia="仿宋_GB2312"/>
          <w:color w:val="auto"/>
          <w:sz w:val="32"/>
          <w:szCs w:val="32"/>
          <w:lang w:val="en-US" w:eastAsia="zh-CN"/>
        </w:rPr>
        <w:t>综合股（党群工作股）、规划建设股、园区管理一股、园区管理二股、园区管理三股、环保安全法规股。</w:t>
      </w:r>
    </w:p>
    <w:p w14:paraId="546A0F26">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w:t>
      </w:r>
      <w:r>
        <w:rPr>
          <w:rFonts w:hint="eastAsia" w:ascii="楷体_GB2312" w:hAnsi="宋体" w:eastAsia="楷体_GB2312" w:cs="宋体"/>
          <w:color w:val="000000"/>
          <w:kern w:val="0"/>
          <w:sz w:val="32"/>
          <w:szCs w:val="32"/>
          <w:shd w:val="clear" w:color="auto" w:fill="FFFFFF"/>
          <w:lang w:val="en-US" w:eastAsia="zh-CN"/>
        </w:rPr>
        <w:t>二）</w:t>
      </w:r>
      <w:r>
        <w:rPr>
          <w:rFonts w:hint="eastAsia" w:ascii="楷体_GB2312" w:hAnsi="宋体" w:eastAsia="楷体_GB2312" w:cs="宋体"/>
          <w:color w:val="000000"/>
          <w:kern w:val="0"/>
          <w:sz w:val="32"/>
          <w:szCs w:val="32"/>
          <w:shd w:val="clear" w:color="auto" w:fill="FFFFFF"/>
          <w:lang w:val="zh-CN"/>
        </w:rPr>
        <w:t>机构职能和人员概况。</w:t>
      </w:r>
    </w:p>
    <w:p w14:paraId="614F1C7D">
      <w:pPr>
        <w:widowControl/>
        <w:adjustRightInd w:val="0"/>
        <w:snapToGrid w:val="0"/>
        <w:spacing w:line="580" w:lineRule="exact"/>
        <w:ind w:firstLine="640" w:firstLineChars="200"/>
        <w:contextualSpacing/>
        <w:jc w:val="left"/>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机构职能：县委、县政府授权产业园区党工委、管委会对县产业园区（除县委、县政府明确独立运行或由其他部门、乡镇管理的园区外，下同）履行“规划、建设、管理、服务”职能。 依法制定园区管理办法；研究园区的相关重要事务和重大事项，按程序报批后组织实施；负责园区的规划、建设、管理和服务工作；负责编制园区总体规划、控制性详规、产业发展规划、经济社会发展计划及社会事业发展等规划，经批准后组织实施；负责职责范围内的安全生产和职业健康、生态环境保护等工作；履行县政府及相关职能部门授权的相关职能；承担园区内党的建设、党风廉政建设、精神文明建设、社会管理综合治理以及群团工作；承担县委、县政府交办的其他工作事项。</w:t>
      </w:r>
    </w:p>
    <w:p w14:paraId="6A21C75F">
      <w:pPr>
        <w:widowControl/>
        <w:adjustRightInd w:val="0"/>
        <w:snapToGrid w:val="0"/>
        <w:spacing w:line="580" w:lineRule="exact"/>
        <w:ind w:firstLine="640" w:firstLineChars="200"/>
        <w:contextualSpacing/>
        <w:jc w:val="left"/>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人员概况：县产业园区管理委员会截至2024年底有在编在岗工作人员16人，管委会主任1人，副主任2人，专职副书记1人，股室负责人4人，工作人员8人。</w:t>
      </w:r>
    </w:p>
    <w:p w14:paraId="4F28CB10">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eastAsia="zh-CN"/>
        </w:rPr>
      </w:pPr>
      <w:r>
        <w:rPr>
          <w:rFonts w:hint="eastAsia" w:ascii="楷体_GB2312" w:hAnsi="宋体" w:eastAsia="楷体_GB2312" w:cs="宋体"/>
          <w:color w:val="000000"/>
          <w:kern w:val="0"/>
          <w:sz w:val="32"/>
          <w:szCs w:val="32"/>
          <w:shd w:val="clear" w:color="auto" w:fill="FFFFFF"/>
          <w:lang w:val="zh-CN" w:eastAsia="zh-CN"/>
        </w:rPr>
        <w:t>（</w:t>
      </w:r>
      <w:r>
        <w:rPr>
          <w:rFonts w:hint="eastAsia" w:ascii="楷体_GB2312" w:hAnsi="宋体" w:eastAsia="楷体_GB2312" w:cs="宋体"/>
          <w:color w:val="000000"/>
          <w:kern w:val="0"/>
          <w:sz w:val="32"/>
          <w:szCs w:val="32"/>
          <w:shd w:val="clear" w:color="auto" w:fill="FFFFFF"/>
          <w:lang w:val="en-US" w:eastAsia="zh-CN"/>
        </w:rPr>
        <w:t>三）</w:t>
      </w:r>
      <w:r>
        <w:rPr>
          <w:rFonts w:hint="eastAsia" w:ascii="楷体_GB2312" w:hAnsi="宋体" w:eastAsia="楷体_GB2312" w:cs="宋体"/>
          <w:color w:val="000000"/>
          <w:kern w:val="0"/>
          <w:sz w:val="32"/>
          <w:szCs w:val="32"/>
          <w:shd w:val="clear" w:color="auto" w:fill="FFFFFF"/>
          <w:lang w:val="zh-CN" w:eastAsia="zh-CN"/>
        </w:rPr>
        <w:t>年度主要工作任务。</w:t>
      </w:r>
    </w:p>
    <w:p w14:paraId="23E063D3">
      <w:pPr>
        <w:widowControl/>
        <w:numPr>
          <w:ilvl w:val="0"/>
          <w:numId w:val="0"/>
        </w:numPr>
        <w:adjustRightInd w:val="0"/>
        <w:snapToGrid w:val="0"/>
        <w:spacing w:line="580" w:lineRule="exact"/>
        <w:ind w:firstLine="640" w:firstLineChars="200"/>
        <w:contextualSpacing/>
        <w:jc w:val="left"/>
        <w:rPr>
          <w:rFonts w:hint="default" w:ascii="仿宋_GB2312" w:hAnsi="仿宋" w:eastAsia="仿宋_GB2312" w:cs="Times New Roman"/>
          <w:color w:val="auto"/>
          <w:kern w:val="2"/>
          <w:sz w:val="32"/>
          <w:szCs w:val="32"/>
          <w:lang w:val="en-US" w:eastAsia="zh-CN" w:bidi="ar-SA"/>
        </w:rPr>
      </w:pPr>
      <w:r>
        <w:rPr>
          <w:rFonts w:hint="eastAsia" w:ascii="仿宋_GB2312" w:hAnsi="仿宋_GB2312" w:eastAsia="仿宋_GB2312" w:cs="仿宋_GB2312"/>
          <w:sz w:val="32"/>
          <w:szCs w:val="32"/>
          <w:lang w:val="en-US" w:eastAsia="zh-CN"/>
        </w:rPr>
        <w:t>围绕小凉山彝区绿色循环产业园“一港五区”空间布局，完成园区总体规划、</w:t>
      </w:r>
      <w:r>
        <w:rPr>
          <w:rFonts w:hint="eastAsia" w:ascii="仿宋_GB2312" w:hAnsi="仿宋_GB2312" w:eastAsia="仿宋_GB2312" w:cs="仿宋_GB2312"/>
          <w:sz w:val="32"/>
          <w:szCs w:val="32"/>
          <w:lang w:eastAsia="zh-CN"/>
        </w:rPr>
        <w:t>控制性详编制，加快推进核桃坪园区改造提升、共和园区规划建设，完成刘家沟砂石骨料</w:t>
      </w:r>
      <w:r>
        <w:rPr>
          <w:rFonts w:hint="eastAsia" w:ascii="仿宋_GB2312" w:hAnsi="仿宋_GB2312" w:eastAsia="仿宋_GB2312" w:cs="仿宋_GB2312"/>
          <w:color w:val="000000"/>
          <w:sz w:val="32"/>
          <w:szCs w:val="32"/>
          <w:lang w:eastAsia="zh-CN"/>
        </w:rPr>
        <w:t>园区项目建设，</w:t>
      </w:r>
      <w:r>
        <w:rPr>
          <w:rFonts w:hint="eastAsia" w:ascii="仿宋_GB2312" w:hAnsi="仿宋_GB2312" w:eastAsia="仿宋_GB2312" w:cs="仿宋_GB2312"/>
          <w:sz w:val="32"/>
          <w:szCs w:val="32"/>
          <w:lang w:eastAsia="zh-CN"/>
        </w:rPr>
        <w:t>贯通铜河湾特色街区、全面推进大渡河骑游道文创产业园项目建设，</w:t>
      </w:r>
      <w:r>
        <w:rPr>
          <w:rFonts w:hint="eastAsia" w:ascii="仿宋_GB2312" w:hAnsi="仿宋_GB2312" w:eastAsia="仿宋_GB2312" w:cs="仿宋_GB2312"/>
          <w:color w:val="auto"/>
          <w:sz w:val="32"/>
          <w:szCs w:val="32"/>
          <w:lang w:eastAsia="zh-CN"/>
        </w:rPr>
        <w:t>力争完成投资</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亿元；</w:t>
      </w:r>
      <w:r>
        <w:rPr>
          <w:rFonts w:hint="eastAsia" w:ascii="仿宋_GB2312" w:hAnsi="仿宋_GB2312" w:eastAsia="仿宋_GB2312" w:cs="仿宋_GB2312"/>
          <w:bCs/>
          <w:color w:val="000000"/>
          <w:sz w:val="32"/>
          <w:szCs w:val="32"/>
          <w:lang w:val="en-US" w:eastAsia="zh-CN"/>
        </w:rPr>
        <w:t>结合</w:t>
      </w:r>
      <w:r>
        <w:rPr>
          <w:rFonts w:hint="eastAsia" w:ascii="仿宋_GB2312" w:hAnsi="仿宋_GB2312" w:eastAsia="仿宋_GB2312" w:cs="仿宋_GB2312"/>
          <w:bCs/>
          <w:color w:val="000000"/>
          <w:sz w:val="32"/>
          <w:szCs w:val="32"/>
          <w:u w:val="none"/>
          <w:lang w:val="en-US" w:eastAsia="zh-CN"/>
        </w:rPr>
        <w:t>“3+3+3”</w:t>
      </w:r>
      <w:r>
        <w:rPr>
          <w:rFonts w:hint="eastAsia" w:ascii="仿宋_GB2312" w:hAnsi="仿宋_GB2312" w:eastAsia="仿宋_GB2312" w:cs="仿宋_GB2312"/>
          <w:bCs/>
          <w:color w:val="000000"/>
          <w:sz w:val="32"/>
          <w:szCs w:val="32"/>
          <w:lang w:val="en-US" w:eastAsia="zh-CN"/>
        </w:rPr>
        <w:t>大产业、细分工的现代化产业体系，以产业链链长制工作为抓手，</w:t>
      </w:r>
      <w:r>
        <w:rPr>
          <w:rFonts w:hint="eastAsia" w:ascii="仿宋_GB2312" w:hAnsi="仿宋_GB2312" w:eastAsia="仿宋_GB2312" w:cs="仿宋_GB2312"/>
          <w:bCs/>
          <w:sz w:val="32"/>
          <w:szCs w:val="32"/>
          <w:u w:val="none"/>
          <w:lang w:eastAsia="zh-CN"/>
        </w:rPr>
        <w:t>将产业统起来、平台搭起来、项目推起来、制度立起来，</w:t>
      </w:r>
      <w:r>
        <w:rPr>
          <w:rFonts w:hint="eastAsia" w:ascii="仿宋_GB2312" w:hAnsi="仿宋_GB2312" w:eastAsia="仿宋_GB2312" w:cs="仿宋_GB2312"/>
          <w:b w:val="0"/>
          <w:bCs/>
          <w:i w:val="0"/>
          <w:iCs w:val="0"/>
          <w:caps w:val="0"/>
          <w:color w:val="000000"/>
          <w:spacing w:val="0"/>
          <w:sz w:val="32"/>
          <w:szCs w:val="32"/>
          <w:shd w:val="clear" w:color="auto" w:fill="FFFFFF"/>
          <w:lang w:eastAsia="zh-CN"/>
        </w:rPr>
        <w:t>最大限度推进全链条贯通、全过程融合、全要素参与，</w:t>
      </w:r>
      <w:r>
        <w:rPr>
          <w:rFonts w:hint="eastAsia" w:ascii="仿宋_GB2312" w:hAnsi="仿宋_GB2312" w:eastAsia="仿宋_GB2312" w:cs="仿宋_GB2312"/>
          <w:i w:val="0"/>
          <w:iCs w:val="0"/>
          <w:caps w:val="0"/>
          <w:color w:val="000000"/>
          <w:spacing w:val="0"/>
          <w:sz w:val="32"/>
          <w:szCs w:val="32"/>
          <w:u w:val="none"/>
          <w:shd w:val="clear" w:color="auto" w:fill="FFFFFF"/>
        </w:rPr>
        <w:t>力争每季度每个重点产业链引进一批、开</w:t>
      </w:r>
      <w:r>
        <w:rPr>
          <w:rFonts w:hint="eastAsia" w:ascii="仿宋_GB2312" w:hAnsi="仿宋_GB2312" w:eastAsia="仿宋_GB2312" w:cs="仿宋_GB2312"/>
          <w:i w:val="0"/>
          <w:iCs w:val="0"/>
          <w:caps w:val="0"/>
          <w:color w:val="000000"/>
          <w:spacing w:val="0"/>
          <w:sz w:val="32"/>
          <w:szCs w:val="32"/>
          <w:u w:val="none"/>
          <w:shd w:val="clear" w:color="auto" w:fill="FFFFFF"/>
          <w:lang w:eastAsia="zh-CN"/>
        </w:rPr>
        <w:t>工</w:t>
      </w:r>
      <w:r>
        <w:rPr>
          <w:rFonts w:hint="eastAsia" w:ascii="仿宋_GB2312" w:hAnsi="仿宋_GB2312" w:eastAsia="仿宋_GB2312" w:cs="仿宋_GB2312"/>
          <w:i w:val="0"/>
          <w:iCs w:val="0"/>
          <w:caps w:val="0"/>
          <w:color w:val="000000"/>
          <w:spacing w:val="0"/>
          <w:sz w:val="32"/>
          <w:szCs w:val="32"/>
          <w:u w:val="none"/>
          <w:shd w:val="clear" w:color="auto" w:fill="FFFFFF"/>
        </w:rPr>
        <w:t>一批、投产一批重大项目</w:t>
      </w:r>
      <w:r>
        <w:rPr>
          <w:rFonts w:hint="eastAsia" w:ascii="仿宋_GB2312" w:hAnsi="仿宋" w:eastAsia="仿宋_GB2312" w:cs="Times New Roman"/>
          <w:color w:val="auto"/>
          <w:kern w:val="2"/>
          <w:sz w:val="32"/>
          <w:szCs w:val="32"/>
          <w:lang w:val="en-US" w:eastAsia="zh-CN" w:bidi="ar-SA"/>
        </w:rPr>
        <w:t>。</w:t>
      </w:r>
    </w:p>
    <w:p w14:paraId="43FCFAF1">
      <w:pPr>
        <w:widowControl/>
        <w:adjustRightInd w:val="0"/>
        <w:snapToGrid w:val="0"/>
        <w:spacing w:line="580" w:lineRule="exact"/>
        <w:ind w:firstLine="640" w:firstLineChars="200"/>
        <w:contextualSpacing/>
        <w:jc w:val="left"/>
        <w:rPr>
          <w:rFonts w:hint="default" w:ascii="楷体_GB2312" w:hAnsi="宋体" w:eastAsia="楷体_GB2312" w:cs="宋体"/>
          <w:color w:val="000000"/>
          <w:kern w:val="0"/>
          <w:sz w:val="32"/>
          <w:szCs w:val="32"/>
          <w:shd w:val="clear" w:color="auto" w:fill="FFFFFF"/>
          <w:lang w:val="en-US" w:eastAsia="zh-CN"/>
        </w:rPr>
      </w:pPr>
      <w:r>
        <w:rPr>
          <w:rFonts w:hint="eastAsia" w:ascii="楷体_GB2312" w:hAnsi="宋体" w:eastAsia="楷体_GB2312" w:cs="宋体"/>
          <w:color w:val="000000"/>
          <w:kern w:val="0"/>
          <w:sz w:val="32"/>
          <w:szCs w:val="32"/>
          <w:shd w:val="clear" w:color="auto" w:fill="FFFFFF"/>
          <w:lang w:val="zh-CN" w:eastAsia="zh-CN"/>
        </w:rPr>
        <w:t>（</w:t>
      </w:r>
      <w:r>
        <w:rPr>
          <w:rFonts w:hint="eastAsia" w:ascii="楷体_GB2312" w:hAnsi="宋体" w:eastAsia="楷体_GB2312" w:cs="宋体"/>
          <w:color w:val="000000"/>
          <w:kern w:val="0"/>
          <w:sz w:val="32"/>
          <w:szCs w:val="32"/>
          <w:shd w:val="clear" w:color="auto" w:fill="FFFFFF"/>
          <w:lang w:val="en-US" w:eastAsia="zh-CN"/>
        </w:rPr>
        <w:t>四）</w:t>
      </w:r>
      <w:r>
        <w:rPr>
          <w:rFonts w:hint="eastAsia" w:ascii="楷体_GB2312" w:hAnsi="宋体" w:eastAsia="楷体_GB2312" w:cs="宋体"/>
          <w:color w:val="000000"/>
          <w:kern w:val="0"/>
          <w:sz w:val="32"/>
          <w:szCs w:val="32"/>
          <w:shd w:val="clear" w:color="auto" w:fill="FFFFFF"/>
          <w:lang w:val="zh-CN" w:eastAsia="zh-CN"/>
        </w:rPr>
        <w:t>部门整体支出绩效目标。</w:t>
      </w:r>
    </w:p>
    <w:p w14:paraId="24B647F9">
      <w:pPr>
        <w:widowControl/>
        <w:numPr>
          <w:ilvl w:val="0"/>
          <w:numId w:val="0"/>
        </w:numPr>
        <w:adjustRightInd w:val="0"/>
        <w:snapToGrid w:val="0"/>
        <w:spacing w:line="580" w:lineRule="exact"/>
        <w:ind w:firstLine="640" w:firstLineChars="200"/>
        <w:contextualSpacing/>
        <w:jc w:val="left"/>
        <w:rPr>
          <w:rFonts w:hint="default" w:eastAsia="宋体"/>
          <w:lang w:val="en-US" w:eastAsia="zh-CN"/>
        </w:rPr>
      </w:pPr>
      <w:r>
        <w:rPr>
          <w:rFonts w:hint="eastAsia" w:ascii="仿宋_GB2312" w:hAnsi="仿宋" w:eastAsia="仿宋_GB2312" w:cs="Times New Roman"/>
          <w:color w:val="auto"/>
          <w:kern w:val="2"/>
          <w:sz w:val="32"/>
          <w:szCs w:val="32"/>
          <w:lang w:val="en-US" w:eastAsia="zh-CN" w:bidi="ar-SA"/>
        </w:rPr>
        <w:t>全面推进园区经济发展，一是开展省级经开区创建工作，二是大力抓好规划编制和招商引资工作，三是指导园区企业积极申报省级荣誉认证工作；要加强项目建设，一是加力加速推进项目规划编制和项目建设，二是统筹推进园区企业技改和园区土地收储工作；开展园区环保安全能力提升，一是常态化开展安全环保巡查，二是针对性提升安全环保应急能力，三是加强应急物资储备。</w:t>
      </w:r>
    </w:p>
    <w:p w14:paraId="302B0742">
      <w:pPr>
        <w:widowControl/>
        <w:adjustRightInd w:val="0"/>
        <w:snapToGrid w:val="0"/>
        <w:spacing w:line="580" w:lineRule="exact"/>
        <w:ind w:firstLine="640" w:firstLineChars="200"/>
        <w:contextualSpacing/>
        <w:jc w:val="left"/>
        <w:rPr>
          <w:rFonts w:hint="eastAsia"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lang w:val="zh-CN"/>
        </w:rPr>
        <w:t>二、部门财政资金收支情况</w:t>
      </w:r>
    </w:p>
    <w:p w14:paraId="2A8410CC">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eastAsia="zh-CN"/>
        </w:rPr>
      </w:pPr>
      <w:r>
        <w:rPr>
          <w:rFonts w:hint="eastAsia" w:ascii="楷体_GB2312" w:hAnsi="宋体" w:eastAsia="楷体_GB2312" w:cs="宋体"/>
          <w:color w:val="000000"/>
          <w:kern w:val="0"/>
          <w:sz w:val="32"/>
          <w:szCs w:val="32"/>
          <w:shd w:val="clear" w:color="auto" w:fill="FFFFFF"/>
          <w:lang w:val="zh-CN" w:eastAsia="zh-CN"/>
        </w:rPr>
        <w:t>（一）部门财政资金收入情况。</w:t>
      </w:r>
    </w:p>
    <w:p w14:paraId="2E56C234">
      <w:pPr>
        <w:widowControl/>
        <w:adjustRightInd w:val="0"/>
        <w:snapToGrid w:val="0"/>
        <w:spacing w:line="580" w:lineRule="exact"/>
        <w:ind w:firstLine="640" w:firstLineChars="200"/>
        <w:contextualSpacing/>
        <w:jc w:val="left"/>
        <w:rPr>
          <w:rFonts w:hint="default"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2024年</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县产业园区管委会收入合计324.16万元，其中一般公共预算财政拨款收入270.47万元，政府性基金预算财政拨款收入53.69万元。</w:t>
      </w:r>
    </w:p>
    <w:p w14:paraId="0D2DD2EA">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eastAsia="zh-CN"/>
        </w:rPr>
      </w:pPr>
      <w:r>
        <w:rPr>
          <w:rFonts w:hint="eastAsia" w:ascii="楷体_GB2312" w:hAnsi="宋体" w:eastAsia="楷体_GB2312" w:cs="宋体"/>
          <w:color w:val="000000"/>
          <w:kern w:val="0"/>
          <w:sz w:val="32"/>
          <w:szCs w:val="32"/>
          <w:shd w:val="clear" w:color="auto" w:fill="FFFFFF"/>
          <w:lang w:val="zh-CN" w:eastAsia="zh-CN"/>
        </w:rPr>
        <w:t>（</w:t>
      </w:r>
      <w:r>
        <w:rPr>
          <w:rFonts w:hint="eastAsia" w:ascii="楷体_GB2312" w:hAnsi="宋体" w:eastAsia="楷体_GB2312" w:cs="宋体"/>
          <w:color w:val="000000"/>
          <w:kern w:val="0"/>
          <w:sz w:val="32"/>
          <w:szCs w:val="32"/>
          <w:shd w:val="clear" w:color="auto" w:fill="FFFFFF"/>
          <w:lang w:val="en-US" w:eastAsia="zh-CN"/>
        </w:rPr>
        <w:t>二）</w:t>
      </w:r>
      <w:r>
        <w:rPr>
          <w:rFonts w:hint="eastAsia" w:ascii="楷体_GB2312" w:hAnsi="宋体" w:eastAsia="楷体_GB2312" w:cs="宋体"/>
          <w:color w:val="000000"/>
          <w:kern w:val="0"/>
          <w:sz w:val="32"/>
          <w:szCs w:val="32"/>
          <w:shd w:val="clear" w:color="auto" w:fill="FFFFFF"/>
          <w:lang w:val="zh-CN" w:eastAsia="zh-CN"/>
        </w:rPr>
        <w:t>部门财政资金支出情况。</w:t>
      </w:r>
    </w:p>
    <w:p w14:paraId="326479B4">
      <w:pPr>
        <w:widowControl/>
        <w:numPr>
          <w:ilvl w:val="0"/>
          <w:numId w:val="0"/>
        </w:numPr>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仿宋_GB2312" w:hAnsi="仿宋" w:eastAsia="仿宋_GB2312" w:cs="Times New Roman"/>
          <w:color w:val="auto"/>
          <w:kern w:val="2"/>
          <w:sz w:val="32"/>
          <w:szCs w:val="32"/>
          <w:lang w:val="en-US" w:eastAsia="zh-CN" w:bidi="ar-SA"/>
        </w:rPr>
        <w:t>2024年</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县产业园区管委会支出合计324.16万元，其中基本支出270.47万元，项目支出53.69万元。</w:t>
      </w:r>
    </w:p>
    <w:p w14:paraId="3F86556F">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en-US" w:eastAsia="zh-CN"/>
        </w:rPr>
      </w:pPr>
      <w:r>
        <w:rPr>
          <w:rFonts w:hint="eastAsia" w:ascii="楷体_GB2312" w:hAnsi="宋体" w:eastAsia="楷体_GB2312" w:cs="宋体"/>
          <w:color w:val="000000"/>
          <w:kern w:val="0"/>
          <w:sz w:val="32"/>
          <w:szCs w:val="32"/>
          <w:shd w:val="clear" w:color="auto" w:fill="FFFFFF"/>
          <w:lang w:val="zh-CN" w:eastAsia="zh-CN"/>
        </w:rPr>
        <w:t>（</w:t>
      </w:r>
      <w:r>
        <w:rPr>
          <w:rFonts w:hint="eastAsia" w:ascii="楷体_GB2312" w:hAnsi="宋体" w:eastAsia="楷体_GB2312" w:cs="宋体"/>
          <w:color w:val="000000"/>
          <w:kern w:val="0"/>
          <w:sz w:val="32"/>
          <w:szCs w:val="32"/>
          <w:shd w:val="clear" w:color="auto" w:fill="FFFFFF"/>
          <w:lang w:val="en-US" w:eastAsia="zh-CN"/>
        </w:rPr>
        <w:t>三）</w:t>
      </w:r>
      <w:r>
        <w:rPr>
          <w:rFonts w:hint="eastAsia" w:ascii="楷体_GB2312" w:hAnsi="宋体" w:eastAsia="楷体_GB2312" w:cs="宋体"/>
          <w:color w:val="000000"/>
          <w:kern w:val="0"/>
          <w:sz w:val="32"/>
          <w:szCs w:val="32"/>
          <w:shd w:val="clear" w:color="auto" w:fill="FFFFFF"/>
          <w:lang w:val="zh-CN" w:eastAsia="zh-CN"/>
        </w:rPr>
        <w:t>部门财政资金结转结余情况。</w:t>
      </w:r>
    </w:p>
    <w:p w14:paraId="1AC0638E">
      <w:pPr>
        <w:pStyle w:val="2"/>
        <w:ind w:firstLine="640" w:firstLineChars="200"/>
        <w:rPr>
          <w:rFonts w:hint="default" w:ascii="仿宋_GB2312" w:hAnsi="仿宋_GB2312" w:eastAsia="仿宋_GB2312" w:cs="仿宋_GB2312"/>
          <w:i w:val="0"/>
          <w:iCs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2024年产业园区无财政资金结转。</w:t>
      </w:r>
    </w:p>
    <w:p w14:paraId="0E3CA1B9">
      <w:pPr>
        <w:widowControl/>
        <w:adjustRightInd w:val="0"/>
        <w:snapToGrid w:val="0"/>
        <w:spacing w:line="580" w:lineRule="exact"/>
        <w:ind w:firstLine="640" w:firstLineChars="200"/>
        <w:contextualSpacing/>
        <w:jc w:val="left"/>
        <w:rPr>
          <w:rFonts w:hint="eastAsia"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lang w:val="zh-CN"/>
        </w:rPr>
        <w:t>三、部门整体绩效管理情况（根据部门整体支出绩效自评</w:t>
      </w:r>
      <w:r>
        <w:rPr>
          <w:rFonts w:hint="eastAsia" w:ascii="黑体" w:hAnsi="黑体" w:eastAsia="黑体" w:cs="宋体"/>
          <w:color w:val="000000"/>
          <w:kern w:val="0"/>
          <w:sz w:val="32"/>
          <w:szCs w:val="32"/>
          <w:shd w:val="clear" w:color="auto" w:fill="FFFFFF"/>
          <w:lang w:val="zh-CN" w:eastAsia="zh-CN"/>
        </w:rPr>
        <w:t>和部门预算项目支出绩效自评情况</w:t>
      </w:r>
      <w:r>
        <w:rPr>
          <w:rFonts w:hint="eastAsia" w:ascii="黑体" w:hAnsi="黑体" w:eastAsia="黑体" w:cs="宋体"/>
          <w:color w:val="000000"/>
          <w:kern w:val="0"/>
          <w:sz w:val="32"/>
          <w:szCs w:val="32"/>
          <w:shd w:val="clear" w:color="auto" w:fill="FFFFFF"/>
          <w:lang w:val="zh-CN"/>
        </w:rPr>
        <w:t>进行描述）</w:t>
      </w:r>
    </w:p>
    <w:p w14:paraId="05730A22">
      <w:pPr>
        <w:widowControl/>
        <w:adjustRightInd w:val="0"/>
        <w:snapToGrid w:val="0"/>
        <w:spacing w:line="580" w:lineRule="exact"/>
        <w:ind w:firstLine="640" w:firstLineChars="200"/>
        <w:contextualSpacing/>
        <w:jc w:val="left"/>
        <w:rPr>
          <w:rFonts w:hint="eastAsia" w:ascii="仿宋_GB2312" w:hAnsi="仿宋_GB2312" w:eastAsia="仿宋_GB2312" w:cs="仿宋_GB2312"/>
          <w:sz w:val="32"/>
          <w:szCs w:val="32"/>
          <w:lang w:val="zh-CN" w:eastAsia="zh-CN"/>
        </w:rPr>
      </w:pPr>
      <w:r>
        <w:rPr>
          <w:rFonts w:hint="eastAsia" w:ascii="楷体_GB2312" w:hAnsi="宋体" w:eastAsia="楷体_GB2312" w:cs="宋体"/>
          <w:color w:val="000000"/>
          <w:kern w:val="0"/>
          <w:sz w:val="32"/>
          <w:szCs w:val="32"/>
          <w:shd w:val="clear" w:color="auto" w:fill="FFFFFF"/>
          <w:lang w:val="zh-CN" w:eastAsia="zh-CN"/>
        </w:rPr>
        <w:t>（一）部门整体履职绩效分析。</w:t>
      </w:r>
      <w:r>
        <w:rPr>
          <w:rFonts w:hint="eastAsia" w:ascii="仿宋_GB2312" w:hAnsi="仿宋_GB2312" w:eastAsia="仿宋_GB2312" w:cs="仿宋_GB2312"/>
          <w:sz w:val="32"/>
          <w:szCs w:val="32"/>
          <w:lang w:val="en-US" w:eastAsia="zh-CN"/>
        </w:rPr>
        <w:t>县产业园区管委会绩效目标编制科学合理、规范完整，严格把关部门公用经费及非定额公用支出，及时将部门整体绩效自评情况进行公开，按要求及时向财政部门反馈结果应用情况</w:t>
      </w:r>
      <w:r>
        <w:rPr>
          <w:rFonts w:hint="eastAsia" w:ascii="仿宋_GB2312" w:hAnsi="仿宋_GB2312" w:eastAsia="仿宋_GB2312" w:cs="仿宋_GB2312"/>
          <w:sz w:val="32"/>
          <w:szCs w:val="32"/>
          <w:lang w:val="zh-CN" w:eastAsia="zh-CN"/>
        </w:rPr>
        <w:t>。</w:t>
      </w:r>
    </w:p>
    <w:p w14:paraId="6C075592">
      <w:pPr>
        <w:widowControl/>
        <w:adjustRightInd w:val="0"/>
        <w:snapToGrid w:val="0"/>
        <w:spacing w:line="580" w:lineRule="exact"/>
        <w:ind w:firstLine="640" w:firstLineChars="200"/>
        <w:contextualSpacing/>
        <w:jc w:val="left"/>
        <w:rPr>
          <w:rFonts w:hint="eastAsia" w:ascii="仿宋_GB2312" w:hAnsi="仿宋_GB2312" w:eastAsia="仿宋_GB2312" w:cs="仿宋_GB2312"/>
          <w:sz w:val="32"/>
          <w:szCs w:val="32"/>
          <w:lang w:val="zh-CN" w:eastAsia="zh-CN"/>
        </w:rPr>
      </w:pPr>
      <w:r>
        <w:rPr>
          <w:rFonts w:hint="eastAsia" w:ascii="楷体_GB2312" w:hAnsi="宋体" w:eastAsia="楷体_GB2312" w:cs="宋体"/>
          <w:color w:val="000000"/>
          <w:kern w:val="0"/>
          <w:sz w:val="32"/>
          <w:szCs w:val="32"/>
          <w:shd w:val="clear" w:color="auto" w:fill="FFFFFF"/>
          <w:lang w:val="zh-CN" w:eastAsia="zh-CN"/>
        </w:rPr>
        <w:t>（二）特定目标类项目绩效分析。</w:t>
      </w:r>
      <w:r>
        <w:rPr>
          <w:rFonts w:hint="eastAsia" w:ascii="仿宋_GB2312" w:hAnsi="仿宋_GB2312" w:eastAsia="仿宋_GB2312" w:cs="仿宋_GB2312"/>
          <w:sz w:val="32"/>
          <w:szCs w:val="32"/>
          <w:lang w:val="en-US" w:eastAsia="zh-CN"/>
        </w:rPr>
        <w:t>2024年县产业园区管委会无100万元以上项目</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其他项目我委按照项目方案设计了各项绩效目标，严格执行资金划拨规定，保障了项目推进进度和资金拨付进度，按期完成了预算目标，无结余资金和违规记录。</w:t>
      </w:r>
    </w:p>
    <w:p w14:paraId="3028DD89">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sz w:val="32"/>
          <w:szCs w:val="32"/>
          <w:lang w:val="en-US" w:eastAsia="zh-CN"/>
        </w:rPr>
      </w:pPr>
      <w:r>
        <w:rPr>
          <w:rFonts w:hint="eastAsia" w:ascii="楷体_GB2312" w:hAnsi="宋体" w:eastAsia="楷体_GB2312" w:cs="宋体"/>
          <w:color w:val="000000"/>
          <w:kern w:val="0"/>
          <w:sz w:val="32"/>
          <w:szCs w:val="32"/>
          <w:shd w:val="clear" w:color="auto" w:fill="FFFFFF"/>
          <w:lang w:val="zh-CN" w:eastAsia="zh-CN"/>
        </w:rPr>
        <w:t>（三）部门预算项目支出情况分析。</w:t>
      </w:r>
      <w:r>
        <w:rPr>
          <w:rFonts w:hint="eastAsia" w:ascii="仿宋_GB2312" w:hAnsi="仿宋_GB2312" w:eastAsia="仿宋_GB2312" w:cs="仿宋_GB2312"/>
          <w:sz w:val="32"/>
          <w:szCs w:val="32"/>
          <w:lang w:val="en-US" w:eastAsia="zh-CN"/>
        </w:rPr>
        <w:t>2024年县产业园区管委会预算项目为3个，分别是园区及“彝步千年”文旅新寨管理运维工作经费、清理拖欠企业账款、城乡融合重大项目前期工作经费。</w:t>
      </w:r>
    </w:p>
    <w:p w14:paraId="00D24B30">
      <w:pPr>
        <w:widowControl/>
        <w:numPr>
          <w:ilvl w:val="0"/>
          <w:numId w:val="0"/>
        </w:numPr>
        <w:adjustRightInd w:val="0"/>
        <w:snapToGrid w:val="0"/>
        <w:spacing w:line="580" w:lineRule="exact"/>
        <w:ind w:firstLine="640" w:firstLineChars="200"/>
        <w:contextualSpacing/>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园区及“彝步千年”文旅新寨管理运维工作经费：通过“彝步千年”新寨夜间照明系统升级，园区及文旅新寨环境卫生整治，城乡融合发展带范围划定，氛围营造，党建宣传等内容，全面完成项目年度工作目标，各项绩效目标全面实现，资金划拨符合相关规定，拨付进度与项目进度一致。</w:t>
      </w:r>
    </w:p>
    <w:p w14:paraId="4A1A3F3F">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理拖欠企业账款：经过系统排查，财政支持。全面清理了截至2023年底单位累计拖欠的企业账款，缓解企业资金压力，提升了政府形象和企业满意度，各项绩效目标全面实现，资金划拨符合相关规定，资金拨付率100%。</w:t>
      </w:r>
    </w:p>
    <w:p w14:paraId="1FA8BA46">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融合重大项目前期工作经费：通过实施小凉山彝区（峨边）绿色循环产业园总规（一阶段）、核桃坪园区基础设施建设项目一批次评审，有效保障了我委承担的城乡融合重大项目的前期准备工作，各项绩效目标全面实现，资金划拨符合相关规定，拨付进度与项目进度一致。</w:t>
      </w:r>
    </w:p>
    <w:p w14:paraId="36038947">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eastAsia="zh-CN"/>
        </w:rPr>
      </w:pPr>
      <w:r>
        <w:rPr>
          <w:rFonts w:hint="eastAsia" w:ascii="楷体_GB2312" w:hAnsi="宋体" w:eastAsia="楷体_GB2312" w:cs="宋体"/>
          <w:color w:val="000000"/>
          <w:kern w:val="0"/>
          <w:sz w:val="32"/>
          <w:szCs w:val="32"/>
          <w:shd w:val="clear" w:color="auto" w:fill="FFFFFF"/>
          <w:lang w:val="en-US" w:eastAsia="zh-CN"/>
        </w:rPr>
        <w:t>（四）</w:t>
      </w:r>
      <w:r>
        <w:rPr>
          <w:rFonts w:hint="eastAsia" w:ascii="楷体_GB2312" w:hAnsi="宋体" w:eastAsia="楷体_GB2312" w:cs="宋体"/>
          <w:color w:val="000000"/>
          <w:kern w:val="0"/>
          <w:sz w:val="32"/>
          <w:szCs w:val="32"/>
          <w:shd w:val="clear" w:color="auto" w:fill="FFFFFF"/>
          <w:lang w:val="zh-CN" w:eastAsia="zh-CN"/>
        </w:rPr>
        <w:t>结果应用情况。</w:t>
      </w:r>
    </w:p>
    <w:p w14:paraId="799DF242">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1.信息公开。部门整体绩效自评情况和自行组织的评价情况均按财政要求及时公开。</w:t>
      </w:r>
    </w:p>
    <w:p w14:paraId="0D264995">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2.自评质量。严格按照预算管理和支付时效要求，执行进度100%。</w:t>
      </w:r>
    </w:p>
    <w:p w14:paraId="3218A8D5">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3.整改反馈。评价结果整改和应用结果反馈结合实际进行应用</w:t>
      </w:r>
      <w:r>
        <w:rPr>
          <w:rFonts w:hint="eastAsia" w:ascii="仿宋_GB2312" w:hAnsi="仿宋_GB2312" w:eastAsia="仿宋_GB2312" w:cs="仿宋_GB2312"/>
          <w:sz w:val="32"/>
          <w:szCs w:val="32"/>
          <w:lang w:val="zh-CN" w:eastAsia="zh-CN"/>
        </w:rPr>
        <w:t>。</w:t>
      </w:r>
    </w:p>
    <w:p w14:paraId="1C2A3EF1">
      <w:pPr>
        <w:widowControl/>
        <w:adjustRightInd w:val="0"/>
        <w:snapToGrid w:val="0"/>
        <w:spacing w:line="580" w:lineRule="exact"/>
        <w:ind w:firstLine="640" w:firstLineChars="200"/>
        <w:contextualSpacing/>
        <w:jc w:val="left"/>
        <w:rPr>
          <w:rFonts w:hint="eastAsia"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lang w:val="zh-CN" w:eastAsia="zh-CN"/>
        </w:rPr>
        <w:t>五</w:t>
      </w:r>
      <w:r>
        <w:rPr>
          <w:rFonts w:hint="eastAsia" w:ascii="黑体" w:hAnsi="黑体" w:eastAsia="黑体" w:cs="宋体"/>
          <w:color w:val="000000"/>
          <w:kern w:val="0"/>
          <w:sz w:val="32"/>
          <w:szCs w:val="32"/>
          <w:shd w:val="clear" w:color="auto" w:fill="FFFFFF"/>
          <w:lang w:val="zh-CN"/>
        </w:rPr>
        <w:t>、评价结论及建议</w:t>
      </w:r>
    </w:p>
    <w:p w14:paraId="20F96421">
      <w:pPr>
        <w:widowControl/>
        <w:adjustRightInd w:val="0"/>
        <w:snapToGrid w:val="0"/>
        <w:spacing w:line="580" w:lineRule="exact"/>
        <w:ind w:firstLine="640" w:firstLineChars="200"/>
        <w:contextualSpacing/>
        <w:jc w:val="left"/>
        <w:rPr>
          <w:rFonts w:hint="eastAsia" w:ascii="仿宋_GB2312" w:hAnsi="仿宋_GB2312" w:eastAsia="仿宋_GB2312" w:cs="仿宋_GB2312"/>
          <w:sz w:val="32"/>
          <w:szCs w:val="32"/>
          <w:lang w:val="zh-CN" w:eastAsia="zh-CN"/>
        </w:rPr>
      </w:pPr>
      <w:r>
        <w:rPr>
          <w:rFonts w:hint="eastAsia" w:ascii="楷体_GB2312" w:hAnsi="宋体" w:eastAsia="楷体_GB2312" w:cs="宋体"/>
          <w:color w:val="000000"/>
          <w:kern w:val="0"/>
          <w:sz w:val="32"/>
          <w:szCs w:val="32"/>
          <w:shd w:val="clear" w:color="auto" w:fill="FFFFFF"/>
          <w:lang w:val="zh-CN" w:eastAsia="zh-CN"/>
        </w:rPr>
        <w:t>（一）评价结论。</w:t>
      </w:r>
      <w:r>
        <w:rPr>
          <w:rFonts w:hint="eastAsia" w:ascii="仿宋_GB2312" w:hAnsi="仿宋_GB2312" w:eastAsia="仿宋_GB2312" w:cs="仿宋_GB2312"/>
          <w:sz w:val="32"/>
          <w:szCs w:val="32"/>
          <w:lang w:val="zh-CN" w:eastAsia="zh-CN"/>
        </w:rPr>
        <w:t>县</w:t>
      </w:r>
      <w:r>
        <w:rPr>
          <w:rFonts w:hint="eastAsia" w:ascii="仿宋_GB2312" w:hAnsi="仿宋_GB2312" w:eastAsia="仿宋_GB2312" w:cs="仿宋_GB2312"/>
          <w:sz w:val="32"/>
          <w:szCs w:val="32"/>
          <w:lang w:val="en-US" w:eastAsia="zh-CN"/>
        </w:rPr>
        <w:t>产业园区管委会</w:t>
      </w:r>
      <w:r>
        <w:rPr>
          <w:rFonts w:hint="eastAsia" w:ascii="仿宋_GB2312" w:hAnsi="仿宋_GB2312" w:eastAsia="仿宋_GB2312" w:cs="仿宋_GB2312"/>
          <w:sz w:val="32"/>
          <w:szCs w:val="32"/>
          <w:lang w:val="zh-CN" w:eastAsia="zh-CN"/>
        </w:rPr>
        <w:t>认真组织开展了部门整体支出绩效评价工作，绩效评价得分：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分，评价结果：优。</w:t>
      </w:r>
    </w:p>
    <w:p w14:paraId="745126A5">
      <w:pPr>
        <w:widowControl/>
        <w:adjustRightInd w:val="0"/>
        <w:snapToGrid w:val="0"/>
        <w:spacing w:line="580" w:lineRule="exact"/>
        <w:ind w:firstLine="640" w:firstLineChars="200"/>
        <w:contextualSpacing/>
        <w:jc w:val="left"/>
        <w:rPr>
          <w:rFonts w:hint="eastAsia" w:ascii="仿宋_GB2312" w:hAnsi="仿宋_GB2312" w:eastAsia="仿宋_GB2312" w:cs="仿宋_GB2312"/>
          <w:sz w:val="32"/>
          <w:szCs w:val="32"/>
          <w:lang w:val="en-US" w:eastAsia="zh-CN"/>
        </w:rPr>
      </w:pPr>
      <w:r>
        <w:rPr>
          <w:rFonts w:hint="eastAsia" w:ascii="楷体_GB2312" w:hAnsi="宋体" w:eastAsia="楷体_GB2312" w:cs="宋体"/>
          <w:color w:val="000000"/>
          <w:kern w:val="0"/>
          <w:sz w:val="32"/>
          <w:szCs w:val="32"/>
          <w:shd w:val="clear" w:color="auto" w:fill="FFFFFF"/>
          <w:lang w:val="zh-CN" w:eastAsia="zh-CN"/>
        </w:rPr>
        <w:t>（二）存在问题。</w:t>
      </w:r>
      <w:r>
        <w:rPr>
          <w:rFonts w:hint="eastAsia" w:ascii="仿宋_GB2312" w:hAnsi="仿宋_GB2312" w:eastAsia="仿宋_GB2312" w:cs="仿宋_GB2312"/>
          <w:sz w:val="32"/>
          <w:szCs w:val="32"/>
          <w:lang w:val="en-US" w:eastAsia="zh-CN"/>
        </w:rPr>
        <w:t>无</w:t>
      </w:r>
    </w:p>
    <w:p w14:paraId="105B341B">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 w:val="32"/>
          <w:szCs w:val="32"/>
          <w:shd w:val="clear" w:color="auto" w:fill="FFFFFF"/>
          <w:lang w:val="zh-CN" w:eastAsia="zh-CN"/>
        </w:rPr>
        <w:t>（三）改进建议</w:t>
      </w:r>
      <w:r>
        <w:rPr>
          <w:rFonts w:hint="eastAsia" w:ascii="楷体_GB2312" w:hAnsi="宋体" w:eastAsia="楷体_GB2312" w:cs="宋体"/>
          <w:color w:val="000000"/>
          <w:kern w:val="0"/>
          <w:szCs w:val="32"/>
          <w:shd w:val="clear" w:color="auto" w:fill="FFFFFF"/>
          <w:lang w:val="zh-CN"/>
        </w:rPr>
        <w:t>。</w:t>
      </w:r>
      <w:r>
        <w:rPr>
          <w:rFonts w:hint="eastAsia" w:ascii="仿宋_GB2312" w:hAnsi="仿宋_GB2312" w:eastAsia="仿宋_GB2312" w:cs="仿宋_GB2312"/>
          <w:sz w:val="32"/>
          <w:szCs w:val="32"/>
          <w:lang w:val="en-US" w:eastAsia="zh-CN"/>
        </w:rPr>
        <w:t>无</w:t>
      </w:r>
    </w:p>
    <w:p w14:paraId="6163AD2D">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72C650A">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993D795">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40ACEE9">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60CFFBB">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4EF0AC2">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7CC799B">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EBF3AF4">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9AD2129">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5E4E5A9">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DCEB964">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D811882">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1AB68D8">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06B7FA6">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711447D">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4DD3A77">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cs="Times New Roman"/>
          <w:sz w:val="32"/>
          <w:szCs w:val="32"/>
          <w:highlight w:val="none"/>
          <w:lang w:val="en-US" w:eastAsia="zh-CN"/>
        </w:rPr>
      </w:pPr>
    </w:p>
    <w:p w14:paraId="7E9B2416">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cs="Times New Roman"/>
          <w:sz w:val="32"/>
          <w:szCs w:val="32"/>
          <w:highlight w:val="none"/>
          <w:lang w:val="en-US" w:eastAsia="zh-CN"/>
        </w:rPr>
      </w:pPr>
      <w:r>
        <w:rPr>
          <w:rFonts w:hint="eastAsia" w:ascii="黑体" w:hAnsi="黑体" w:eastAsia="黑体" w:cs="黑体"/>
          <w:kern w:val="2"/>
          <w:sz w:val="32"/>
          <w:szCs w:val="32"/>
          <w:u w:val="none"/>
          <w:lang w:val="zh-CN" w:eastAsia="zh-CN" w:bidi="ar"/>
        </w:rPr>
        <w:t>附表：</w:t>
      </w:r>
      <w:r>
        <w:rPr>
          <w:rFonts w:hint="eastAsia" w:ascii="黑体" w:hAnsi="黑体" w:eastAsia="黑体" w:cs="黑体"/>
          <w:kern w:val="2"/>
          <w:sz w:val="32"/>
          <w:szCs w:val="32"/>
          <w:u w:val="none"/>
          <w:lang w:val="en-US" w:eastAsia="zh-CN" w:bidi="ar"/>
        </w:rPr>
        <w:t>部门预算项目支出绩效自评表（2024年度）</w:t>
      </w:r>
    </w:p>
    <w:p w14:paraId="6364B44B">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sz w:val="32"/>
          <w:szCs w:val="32"/>
          <w:highlight w:val="none"/>
          <w:lang w:val="en-US" w:eastAsia="zh-CN"/>
        </w:rPr>
      </w:pPr>
      <w:r>
        <w:rPr>
          <w:rFonts w:hint="eastAsia" w:ascii="Times New Roman" w:cs="Times New Roman"/>
          <w:sz w:val="32"/>
          <w:szCs w:val="32"/>
          <w:highlight w:val="none"/>
          <w:lang w:val="en-US" w:eastAsia="zh-CN"/>
        </w:rPr>
        <w:t>附表1-1</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8"/>
        <w:gridCol w:w="585"/>
        <w:gridCol w:w="931"/>
        <w:gridCol w:w="1200"/>
        <w:gridCol w:w="528"/>
        <w:gridCol w:w="648"/>
        <w:gridCol w:w="528"/>
        <w:gridCol w:w="1174"/>
        <w:gridCol w:w="590"/>
        <w:gridCol w:w="590"/>
        <w:gridCol w:w="770"/>
      </w:tblGrid>
      <w:tr w14:paraId="782B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2663E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FCD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D46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8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65BB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51113224T000011498222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园区及“彝步千年”文旅新寨管理运维工作经费</w:t>
            </w:r>
          </w:p>
        </w:tc>
      </w:tr>
      <w:tr w14:paraId="62A57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238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F6D5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峨边彝族自治县产业园区管理委员会本级</w:t>
            </w:r>
          </w:p>
        </w:tc>
        <w:tc>
          <w:tcPr>
            <w:tcW w:w="688" w:type="pct"/>
            <w:tcBorders>
              <w:top w:val="nil"/>
              <w:left w:val="nil"/>
              <w:bottom w:val="nil"/>
              <w:right w:val="nil"/>
            </w:tcBorders>
            <w:shd w:val="clear" w:color="auto" w:fill="auto"/>
            <w:vAlign w:val="center"/>
          </w:tcPr>
          <w:p w14:paraId="6EB63D0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EF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峨边彝族自治县产业园区管理委员会</w:t>
            </w:r>
          </w:p>
        </w:tc>
      </w:tr>
      <w:tr w14:paraId="54A03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ECB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DDF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15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031DE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0A39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4F12B">
            <w:pPr>
              <w:rPr>
                <w:rFonts w:hint="eastAsia" w:ascii="宋体" w:hAnsi="宋体" w:eastAsia="宋体" w:cs="宋体"/>
                <w:i w:val="0"/>
                <w:iCs w:val="0"/>
                <w:color w:val="000000"/>
                <w:sz w:val="18"/>
                <w:szCs w:val="18"/>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EA6C">
            <w:pPr>
              <w:rPr>
                <w:rFonts w:hint="eastAsia" w:ascii="宋体" w:hAnsi="宋体" w:eastAsia="宋体" w:cs="宋体"/>
                <w:i w:val="0"/>
                <w:iCs w:val="0"/>
                <w:color w:val="000000"/>
                <w:sz w:val="18"/>
                <w:szCs w:val="18"/>
                <w:u w:val="none"/>
              </w:rPr>
            </w:pP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35E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完成园区及“彝步千年”新寨公共设施设备添加及维护，标识标牌完善，重点区域卫生保洁，点位规划编制，环境提升，区域范围应急预案编制等</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788F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通过开展“彝步千年”文旅新寨夜间照明系统提升，环境卫生整治，党建氛围营造等举措，有效完成了年初任务目标</w:t>
            </w:r>
          </w:p>
        </w:tc>
      </w:tr>
      <w:tr w14:paraId="67F6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0BDEA">
            <w:pPr>
              <w:rPr>
                <w:rFonts w:hint="eastAsia" w:ascii="宋体" w:hAnsi="宋体" w:eastAsia="宋体" w:cs="宋体"/>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35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8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CA50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实施完成“彝步千年”新寨夜间照明系统升级，园区及文旅新寨环境卫生整治，城乡融合发展带范围划定，氛围营造，党建宣传等内容有效保障了园区及“彝步千年”文旅新寨高质量发展</w:t>
            </w:r>
          </w:p>
        </w:tc>
      </w:tr>
      <w:tr w14:paraId="251A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35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B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7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F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16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0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D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6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CA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1D0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BD85">
            <w:pPr>
              <w:jc w:val="center"/>
              <w:rPr>
                <w:rFonts w:hint="eastAsia" w:ascii="宋体" w:hAnsi="宋体" w:eastAsia="宋体" w:cs="宋体"/>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5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4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7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19.99</w:t>
            </w:r>
          </w:p>
        </w:tc>
        <w:tc>
          <w:tcPr>
            <w:tcW w:w="9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D2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19.99</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E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9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A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6B0BC">
            <w:pPr>
              <w:rPr>
                <w:rFonts w:hint="eastAsia" w:ascii="黑体" w:hAnsi="黑体" w:eastAsia="黑体" w:cs="黑体"/>
                <w:i/>
                <w:iCs/>
                <w:color w:val="000000"/>
                <w:sz w:val="18"/>
                <w:szCs w:val="18"/>
                <w:u w:val="none"/>
              </w:rPr>
            </w:pPr>
          </w:p>
        </w:tc>
      </w:tr>
      <w:tr w14:paraId="5324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5B73A">
            <w:pPr>
              <w:jc w:val="center"/>
              <w:rPr>
                <w:rFonts w:hint="eastAsia" w:ascii="宋体" w:hAnsi="宋体" w:eastAsia="宋体" w:cs="宋体"/>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BD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C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8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19.99</w:t>
            </w:r>
          </w:p>
        </w:tc>
        <w:tc>
          <w:tcPr>
            <w:tcW w:w="9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62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19.99</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D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5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1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53C4B">
            <w:pPr>
              <w:rPr>
                <w:rFonts w:hint="eastAsia" w:ascii="黑体" w:hAnsi="黑体" w:eastAsia="黑体" w:cs="黑体"/>
                <w:i/>
                <w:iCs/>
                <w:color w:val="000000"/>
                <w:sz w:val="18"/>
                <w:szCs w:val="18"/>
                <w:u w:val="none"/>
              </w:rPr>
            </w:pPr>
          </w:p>
        </w:tc>
      </w:tr>
      <w:tr w14:paraId="3DB3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FF102">
            <w:pPr>
              <w:jc w:val="center"/>
              <w:rPr>
                <w:rFonts w:hint="eastAsia" w:ascii="宋体" w:hAnsi="宋体" w:eastAsia="宋体" w:cs="宋体"/>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0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B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6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FF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C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A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1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EF6A">
            <w:pPr>
              <w:rPr>
                <w:rFonts w:hint="eastAsia" w:ascii="黑体" w:hAnsi="黑体" w:eastAsia="黑体" w:cs="黑体"/>
                <w:i/>
                <w:iCs/>
                <w:color w:val="000000"/>
                <w:sz w:val="18"/>
                <w:szCs w:val="18"/>
                <w:u w:val="none"/>
              </w:rPr>
            </w:pPr>
          </w:p>
        </w:tc>
      </w:tr>
      <w:tr w14:paraId="08C2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B3214">
            <w:pPr>
              <w:jc w:val="center"/>
              <w:rPr>
                <w:rFonts w:hint="eastAsia" w:ascii="宋体" w:hAnsi="宋体" w:eastAsia="宋体" w:cs="宋体"/>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D5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D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F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06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1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A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4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0953B">
            <w:pPr>
              <w:rPr>
                <w:rFonts w:hint="eastAsia" w:ascii="黑体" w:hAnsi="黑体" w:eastAsia="黑体" w:cs="黑体"/>
                <w:i/>
                <w:iCs/>
                <w:color w:val="000000"/>
                <w:sz w:val="18"/>
                <w:szCs w:val="18"/>
                <w:u w:val="none"/>
              </w:rPr>
            </w:pPr>
          </w:p>
        </w:tc>
      </w:tr>
      <w:tr w14:paraId="6443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2A655">
            <w:pPr>
              <w:jc w:val="center"/>
              <w:rPr>
                <w:rFonts w:hint="eastAsia" w:ascii="宋体" w:hAnsi="宋体" w:eastAsia="宋体" w:cs="宋体"/>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C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1DA2">
            <w:pPr>
              <w:jc w:val="center"/>
              <w:rPr>
                <w:rFonts w:hint="eastAsia" w:ascii="微软雅黑" w:hAnsi="微软雅黑" w:eastAsia="微软雅黑" w:cs="微软雅黑"/>
                <w:i/>
                <w:iCs/>
                <w:color w:val="000000"/>
                <w:sz w:val="16"/>
                <w:szCs w:val="16"/>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04BC">
            <w:pPr>
              <w:jc w:val="center"/>
              <w:rPr>
                <w:rFonts w:hint="eastAsia" w:ascii="微软雅黑" w:hAnsi="微软雅黑" w:eastAsia="微软雅黑" w:cs="微软雅黑"/>
                <w:i/>
                <w:iCs/>
                <w:color w:val="000000"/>
                <w:sz w:val="16"/>
                <w:szCs w:val="16"/>
                <w:u w:val="none"/>
              </w:rPr>
            </w:pPr>
          </w:p>
        </w:tc>
        <w:tc>
          <w:tcPr>
            <w:tcW w:w="9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A67AD">
            <w:pPr>
              <w:jc w:val="center"/>
              <w:rPr>
                <w:rFonts w:hint="eastAsia" w:ascii="微软雅黑" w:hAnsi="微软雅黑" w:eastAsia="微软雅黑" w:cs="微软雅黑"/>
                <w:i/>
                <w:iCs/>
                <w:color w:val="000000"/>
                <w:sz w:val="16"/>
                <w:szCs w:val="16"/>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2463">
            <w:pPr>
              <w:jc w:val="center"/>
              <w:rPr>
                <w:rFonts w:hint="eastAsia" w:ascii="微软雅黑" w:hAnsi="微软雅黑" w:eastAsia="微软雅黑" w:cs="微软雅黑"/>
                <w:i/>
                <w:iCs/>
                <w:color w:val="000000"/>
                <w:sz w:val="16"/>
                <w:szCs w:val="16"/>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79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A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087F3">
            <w:pPr>
              <w:rPr>
                <w:rFonts w:hint="eastAsia" w:ascii="黑体" w:hAnsi="黑体" w:eastAsia="黑体" w:cs="黑体"/>
                <w:i/>
                <w:iCs/>
                <w:color w:val="000000"/>
                <w:sz w:val="18"/>
                <w:szCs w:val="18"/>
                <w:u w:val="none"/>
              </w:rPr>
            </w:pPr>
          </w:p>
        </w:tc>
      </w:tr>
      <w:tr w14:paraId="05739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69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1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B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E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5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8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5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0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A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5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D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866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8FFBD">
            <w:pPr>
              <w:jc w:val="center"/>
              <w:rPr>
                <w:rFonts w:hint="eastAsia" w:ascii="宋体" w:hAnsi="宋体" w:eastAsia="宋体" w:cs="宋体"/>
                <w:i w:val="0"/>
                <w:iCs w:val="0"/>
                <w:color w:val="000000"/>
                <w:sz w:val="18"/>
                <w:szCs w:val="18"/>
                <w:u w:val="none"/>
              </w:rPr>
            </w:pP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5C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69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F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综合管理服务质量</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0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8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F4EC">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4EFA">
            <w:pPr>
              <w:jc w:val="center"/>
              <w:rPr>
                <w:rFonts w:hint="eastAsia" w:ascii="微软雅黑" w:hAnsi="微软雅黑" w:eastAsia="微软雅黑" w:cs="微软雅黑"/>
                <w:i/>
                <w:iCs/>
                <w:color w:val="000000"/>
                <w:sz w:val="16"/>
                <w:szCs w:val="16"/>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F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7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9FD7">
            <w:pPr>
              <w:jc w:val="center"/>
              <w:rPr>
                <w:rFonts w:hint="eastAsia" w:ascii="微软雅黑" w:hAnsi="微软雅黑" w:eastAsia="微软雅黑" w:cs="微软雅黑"/>
                <w:i/>
                <w:iCs/>
                <w:color w:val="000000"/>
                <w:sz w:val="16"/>
                <w:szCs w:val="16"/>
                <w:u w:val="none"/>
              </w:rPr>
            </w:pPr>
          </w:p>
        </w:tc>
      </w:tr>
      <w:tr w14:paraId="6CF5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E62BB">
            <w:pPr>
              <w:jc w:val="center"/>
              <w:rPr>
                <w:rFonts w:hint="eastAsia" w:ascii="宋体" w:hAnsi="宋体" w:eastAsia="宋体" w:cs="宋体"/>
                <w:i w:val="0"/>
                <w:iCs w:val="0"/>
                <w:color w:val="000000"/>
                <w:sz w:val="18"/>
                <w:szCs w:val="18"/>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30D06">
            <w:pPr>
              <w:jc w:val="center"/>
              <w:rPr>
                <w:rFonts w:hint="eastAsia" w:ascii="宋体" w:hAnsi="宋体" w:eastAsia="宋体" w:cs="宋体"/>
                <w:i w:val="0"/>
                <w:iCs w:val="0"/>
                <w:color w:val="000000"/>
                <w:sz w:val="18"/>
                <w:szCs w:val="18"/>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F063D">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5A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园区及“彝步千年”新寨卫生环境质量</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7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A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BC40">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732B">
            <w:pPr>
              <w:jc w:val="center"/>
              <w:rPr>
                <w:rFonts w:hint="eastAsia" w:ascii="微软雅黑" w:hAnsi="微软雅黑" w:eastAsia="微软雅黑" w:cs="微软雅黑"/>
                <w:i/>
                <w:iCs/>
                <w:color w:val="000000"/>
                <w:sz w:val="16"/>
                <w:szCs w:val="16"/>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1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6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89F1">
            <w:pPr>
              <w:jc w:val="center"/>
              <w:rPr>
                <w:rFonts w:hint="eastAsia" w:ascii="微软雅黑" w:hAnsi="微软雅黑" w:eastAsia="微软雅黑" w:cs="微软雅黑"/>
                <w:i/>
                <w:iCs/>
                <w:color w:val="000000"/>
                <w:sz w:val="16"/>
                <w:szCs w:val="16"/>
                <w:u w:val="none"/>
              </w:rPr>
            </w:pPr>
          </w:p>
        </w:tc>
      </w:tr>
      <w:tr w14:paraId="2F22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5F196">
            <w:pPr>
              <w:jc w:val="center"/>
              <w:rPr>
                <w:rFonts w:hint="eastAsia" w:ascii="宋体" w:hAnsi="宋体" w:eastAsia="宋体" w:cs="宋体"/>
                <w:i w:val="0"/>
                <w:iCs w:val="0"/>
                <w:color w:val="000000"/>
                <w:sz w:val="18"/>
                <w:szCs w:val="18"/>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2EA50">
            <w:pPr>
              <w:jc w:val="center"/>
              <w:rPr>
                <w:rFonts w:hint="eastAsia" w:ascii="宋体" w:hAnsi="宋体" w:eastAsia="宋体" w:cs="宋体"/>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8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8E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综合管理时限</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BA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1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8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9C72">
            <w:pPr>
              <w:jc w:val="center"/>
              <w:rPr>
                <w:rFonts w:hint="eastAsia" w:ascii="微软雅黑" w:hAnsi="微软雅黑" w:eastAsia="微软雅黑" w:cs="微软雅黑"/>
                <w:i/>
                <w:iCs/>
                <w:color w:val="000000"/>
                <w:sz w:val="16"/>
                <w:szCs w:val="16"/>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9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68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09C8">
            <w:pPr>
              <w:jc w:val="center"/>
              <w:rPr>
                <w:rFonts w:hint="eastAsia" w:ascii="微软雅黑" w:hAnsi="微软雅黑" w:eastAsia="微软雅黑" w:cs="微软雅黑"/>
                <w:i/>
                <w:iCs/>
                <w:color w:val="000000"/>
                <w:sz w:val="16"/>
                <w:szCs w:val="16"/>
                <w:u w:val="none"/>
              </w:rPr>
            </w:pPr>
          </w:p>
        </w:tc>
      </w:tr>
      <w:tr w14:paraId="2271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2D8CF">
            <w:pPr>
              <w:jc w:val="center"/>
              <w:rPr>
                <w:rFonts w:hint="eastAsia" w:ascii="宋体" w:hAnsi="宋体" w:eastAsia="宋体" w:cs="宋体"/>
                <w:i w:val="0"/>
                <w:iCs w:val="0"/>
                <w:color w:val="000000"/>
                <w:sz w:val="18"/>
                <w:szCs w:val="18"/>
                <w:u w:val="none"/>
              </w:rPr>
            </w:pP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2D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5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6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新增就业岗位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7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0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3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19D6">
            <w:pPr>
              <w:jc w:val="center"/>
              <w:rPr>
                <w:rFonts w:hint="eastAsia" w:ascii="微软雅黑" w:hAnsi="微软雅黑" w:eastAsia="微软雅黑" w:cs="微软雅黑"/>
                <w:i/>
                <w:iCs/>
                <w:color w:val="000000"/>
                <w:sz w:val="16"/>
                <w:szCs w:val="16"/>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A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D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5E85">
            <w:pPr>
              <w:jc w:val="center"/>
              <w:rPr>
                <w:rFonts w:hint="eastAsia" w:ascii="微软雅黑" w:hAnsi="微软雅黑" w:eastAsia="微软雅黑" w:cs="微软雅黑"/>
                <w:i/>
                <w:iCs/>
                <w:color w:val="000000"/>
                <w:sz w:val="16"/>
                <w:szCs w:val="16"/>
                <w:u w:val="none"/>
              </w:rPr>
            </w:pPr>
          </w:p>
        </w:tc>
      </w:tr>
      <w:tr w14:paraId="18B3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D3E7F">
            <w:pPr>
              <w:jc w:val="center"/>
              <w:rPr>
                <w:rFonts w:hint="eastAsia" w:ascii="宋体" w:hAnsi="宋体" w:eastAsia="宋体" w:cs="宋体"/>
                <w:i w:val="0"/>
                <w:iCs w:val="0"/>
                <w:color w:val="000000"/>
                <w:sz w:val="18"/>
                <w:szCs w:val="18"/>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76657">
            <w:pPr>
              <w:jc w:val="center"/>
              <w:rPr>
                <w:rFonts w:hint="eastAsia" w:ascii="宋体" w:hAnsi="宋体" w:eastAsia="宋体" w:cs="宋体"/>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6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E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园区及“彝步千年”新寨发展效益</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0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4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73B4">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FA06">
            <w:pPr>
              <w:jc w:val="center"/>
              <w:rPr>
                <w:rFonts w:hint="eastAsia" w:ascii="微软雅黑" w:hAnsi="微软雅黑" w:eastAsia="微软雅黑" w:cs="微软雅黑"/>
                <w:i/>
                <w:iCs/>
                <w:color w:val="000000"/>
                <w:sz w:val="16"/>
                <w:szCs w:val="16"/>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8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5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686F">
            <w:pPr>
              <w:jc w:val="center"/>
              <w:rPr>
                <w:rFonts w:hint="eastAsia" w:ascii="微软雅黑" w:hAnsi="微软雅黑" w:eastAsia="微软雅黑" w:cs="微软雅黑"/>
                <w:i/>
                <w:iCs/>
                <w:color w:val="000000"/>
                <w:sz w:val="16"/>
                <w:szCs w:val="16"/>
                <w:u w:val="none"/>
              </w:rPr>
            </w:pPr>
          </w:p>
        </w:tc>
      </w:tr>
      <w:tr w14:paraId="298BC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783C0">
            <w:pPr>
              <w:jc w:val="center"/>
              <w:rPr>
                <w:rFonts w:hint="eastAsia" w:ascii="宋体" w:hAnsi="宋体" w:eastAsia="宋体" w:cs="宋体"/>
                <w:i w:val="0"/>
                <w:iCs w:val="0"/>
                <w:color w:val="000000"/>
                <w:sz w:val="18"/>
                <w:szCs w:val="18"/>
                <w:u w:val="none"/>
              </w:rPr>
            </w:pP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6C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88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9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企业满意度</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3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3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5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8DEF">
            <w:pPr>
              <w:jc w:val="center"/>
              <w:rPr>
                <w:rFonts w:hint="eastAsia" w:ascii="微软雅黑" w:hAnsi="微软雅黑" w:eastAsia="微软雅黑" w:cs="微软雅黑"/>
                <w:i/>
                <w:iCs/>
                <w:color w:val="000000"/>
                <w:sz w:val="16"/>
                <w:szCs w:val="16"/>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7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E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2505">
            <w:pPr>
              <w:jc w:val="center"/>
              <w:rPr>
                <w:rFonts w:hint="eastAsia" w:ascii="微软雅黑" w:hAnsi="微软雅黑" w:eastAsia="微软雅黑" w:cs="微软雅黑"/>
                <w:i/>
                <w:iCs/>
                <w:color w:val="000000"/>
                <w:sz w:val="16"/>
                <w:szCs w:val="16"/>
                <w:u w:val="none"/>
              </w:rPr>
            </w:pPr>
          </w:p>
        </w:tc>
      </w:tr>
      <w:tr w14:paraId="24FF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61BA9">
            <w:pPr>
              <w:jc w:val="center"/>
              <w:rPr>
                <w:rFonts w:hint="eastAsia" w:ascii="宋体" w:hAnsi="宋体" w:eastAsia="宋体" w:cs="宋体"/>
                <w:i w:val="0"/>
                <w:iCs w:val="0"/>
                <w:color w:val="000000"/>
                <w:sz w:val="18"/>
                <w:szCs w:val="18"/>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7D62B">
            <w:pPr>
              <w:jc w:val="center"/>
              <w:rPr>
                <w:rFonts w:hint="eastAsia" w:ascii="宋体" w:hAnsi="宋体" w:eastAsia="宋体" w:cs="宋体"/>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9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0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C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1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0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AA278">
            <w:pPr>
              <w:jc w:val="center"/>
              <w:rPr>
                <w:rFonts w:hint="eastAsia" w:ascii="微软雅黑" w:hAnsi="微软雅黑" w:eastAsia="微软雅黑" w:cs="微软雅黑"/>
                <w:i/>
                <w:iCs/>
                <w:color w:val="000000"/>
                <w:sz w:val="16"/>
                <w:szCs w:val="16"/>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8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C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7DC6">
            <w:pPr>
              <w:jc w:val="center"/>
              <w:rPr>
                <w:rFonts w:hint="eastAsia" w:ascii="微软雅黑" w:hAnsi="微软雅黑" w:eastAsia="微软雅黑" w:cs="微软雅黑"/>
                <w:i/>
                <w:iCs/>
                <w:color w:val="000000"/>
                <w:sz w:val="16"/>
                <w:szCs w:val="16"/>
                <w:u w:val="none"/>
              </w:rPr>
            </w:pPr>
          </w:p>
        </w:tc>
      </w:tr>
      <w:tr w14:paraId="1B018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D1667">
            <w:pPr>
              <w:jc w:val="center"/>
              <w:rPr>
                <w:rFonts w:hint="eastAsia" w:ascii="宋体" w:hAnsi="宋体" w:eastAsia="宋体" w:cs="宋体"/>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C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4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5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运维管理成本</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4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4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4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8752">
            <w:pPr>
              <w:jc w:val="center"/>
              <w:rPr>
                <w:rFonts w:hint="eastAsia" w:ascii="微软雅黑" w:hAnsi="微软雅黑" w:eastAsia="微软雅黑" w:cs="微软雅黑"/>
                <w:i/>
                <w:iCs/>
                <w:color w:val="000000"/>
                <w:sz w:val="16"/>
                <w:szCs w:val="16"/>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8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0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DAFD">
            <w:pPr>
              <w:jc w:val="center"/>
              <w:rPr>
                <w:rFonts w:hint="eastAsia" w:ascii="微软雅黑" w:hAnsi="微软雅黑" w:eastAsia="微软雅黑" w:cs="微软雅黑"/>
                <w:i/>
                <w:iCs/>
                <w:color w:val="000000"/>
                <w:sz w:val="16"/>
                <w:szCs w:val="16"/>
                <w:u w:val="none"/>
              </w:rPr>
            </w:pPr>
          </w:p>
        </w:tc>
      </w:tr>
      <w:tr w14:paraId="09FB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615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3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CA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3495">
            <w:pPr>
              <w:rPr>
                <w:rFonts w:hint="eastAsia" w:ascii="宋体" w:hAnsi="宋体" w:eastAsia="宋体" w:cs="宋体"/>
                <w:i w:val="0"/>
                <w:iCs w:val="0"/>
                <w:color w:val="000000"/>
                <w:sz w:val="18"/>
                <w:szCs w:val="18"/>
                <w:u w:val="none"/>
              </w:rPr>
            </w:pPr>
          </w:p>
        </w:tc>
      </w:tr>
      <w:tr w14:paraId="607B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D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4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7FDA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实施“彝步千年”新寨夜间照明系统升级，园区及文旅新寨环境卫生整治，城乡融合发展带范围划定，氛围营造，党建宣传等措施，全面完成项目年度工作目标，各项绩效目标全面实现，资金划拨符合相关规定，拨付进度与项目进度一致。</w:t>
            </w:r>
          </w:p>
        </w:tc>
      </w:tr>
      <w:tr w14:paraId="5FA3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EB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4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5C454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318F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9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4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A0950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16CF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8A9D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项目负责人：丁伟</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7276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财务负责人：陈世骄</w:t>
            </w:r>
          </w:p>
        </w:tc>
      </w:tr>
    </w:tbl>
    <w:p w14:paraId="7A36432B">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031479E">
      <w:pPr>
        <w:pStyle w:val="2"/>
        <w:rPr>
          <w:rFonts w:hint="eastAsia" w:ascii="Times New Roman" w:hAnsi="Times New Roman" w:cs="宋体"/>
          <w:color w:val="FF0000"/>
          <w:kern w:val="0"/>
          <w:sz w:val="32"/>
          <w:szCs w:val="32"/>
          <w:highlight w:val="yellow"/>
          <w:shd w:val="clear" w:color="auto" w:fill="FFFFFF"/>
          <w:lang w:val="zh-CN"/>
        </w:rPr>
      </w:pPr>
    </w:p>
    <w:p w14:paraId="4A632D06">
      <w:pPr>
        <w:rPr>
          <w:rFonts w:hint="eastAsia" w:ascii="Times New Roman" w:hAnsi="Times New Roman" w:eastAsia="黑体" w:cs="黑体"/>
          <w:color w:val="auto"/>
          <w:kern w:val="0"/>
          <w:sz w:val="32"/>
          <w:szCs w:val="32"/>
          <w:highlight w:val="none"/>
          <w:shd w:val="clear" w:color="auto" w:fill="FFFFFF"/>
          <w:lang w:val="zh-CN"/>
        </w:rPr>
      </w:pPr>
    </w:p>
    <w:p w14:paraId="66DB57CF">
      <w:pPr>
        <w:rPr>
          <w:rFonts w:hint="eastAsia" w:ascii="Times New Roman" w:hAnsi="Times New Roman" w:eastAsia="黑体" w:cs="黑体"/>
          <w:color w:val="auto"/>
          <w:kern w:val="0"/>
          <w:sz w:val="32"/>
          <w:szCs w:val="32"/>
          <w:highlight w:val="none"/>
          <w:shd w:val="clear" w:color="auto" w:fill="FFFFFF"/>
          <w:lang w:val="zh-CN"/>
        </w:rPr>
      </w:pPr>
    </w:p>
    <w:p w14:paraId="0F6BD2A2">
      <w:pPr>
        <w:rPr>
          <w:rFonts w:hint="eastAsia" w:ascii="Times New Roman" w:hAnsi="Times New Roman" w:eastAsia="黑体" w:cs="黑体"/>
          <w:color w:val="auto"/>
          <w:kern w:val="0"/>
          <w:sz w:val="32"/>
          <w:szCs w:val="32"/>
          <w:highlight w:val="none"/>
          <w:shd w:val="clear" w:color="auto" w:fill="FFFFFF"/>
          <w:lang w:val="zh-CN"/>
        </w:rPr>
      </w:pPr>
    </w:p>
    <w:p w14:paraId="58260AF2">
      <w:pPr>
        <w:rPr>
          <w:rFonts w:hint="eastAsia" w:ascii="Times New Roman" w:hAnsi="Times New Roman" w:eastAsia="黑体" w:cs="黑体"/>
          <w:color w:val="auto"/>
          <w:kern w:val="0"/>
          <w:sz w:val="32"/>
          <w:szCs w:val="32"/>
          <w:highlight w:val="none"/>
          <w:shd w:val="clear" w:color="auto" w:fill="FFFFFF"/>
          <w:lang w:val="zh-CN"/>
        </w:rPr>
      </w:pPr>
    </w:p>
    <w:p w14:paraId="4E8409A5">
      <w:pPr>
        <w:rPr>
          <w:rFonts w:hint="eastAsia" w:ascii="Times New Roman" w:hAnsi="Times New Roman" w:eastAsia="黑体" w:cs="黑体"/>
          <w:color w:val="auto"/>
          <w:kern w:val="0"/>
          <w:sz w:val="32"/>
          <w:szCs w:val="32"/>
          <w:highlight w:val="none"/>
          <w:shd w:val="clear" w:color="auto" w:fill="FFFFFF"/>
          <w:lang w:val="zh-CN"/>
        </w:rPr>
      </w:pPr>
    </w:p>
    <w:p w14:paraId="494AE20F">
      <w:pPr>
        <w:rPr>
          <w:rFonts w:hint="eastAsia" w:ascii="Times New Roman" w:hAnsi="Times New Roman" w:eastAsia="黑体" w:cs="黑体"/>
          <w:color w:val="auto"/>
          <w:kern w:val="0"/>
          <w:sz w:val="32"/>
          <w:szCs w:val="32"/>
          <w:highlight w:val="none"/>
          <w:shd w:val="clear" w:color="auto" w:fill="FFFFFF"/>
          <w:lang w:val="zh-CN"/>
        </w:rPr>
      </w:pPr>
    </w:p>
    <w:p w14:paraId="0C84C3A6">
      <w:pPr>
        <w:rPr>
          <w:rFonts w:hint="eastAsia" w:ascii="Times New Roman" w:hAnsi="Times New Roman" w:eastAsia="黑体" w:cs="黑体"/>
          <w:color w:val="auto"/>
          <w:kern w:val="0"/>
          <w:sz w:val="32"/>
          <w:szCs w:val="32"/>
          <w:highlight w:val="none"/>
          <w:shd w:val="clear" w:color="auto" w:fill="FFFFFF"/>
          <w:lang w:val="zh-CN"/>
        </w:rPr>
      </w:pPr>
    </w:p>
    <w:p w14:paraId="6C6C297D">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cs="Times New Roman"/>
          <w:sz w:val="32"/>
          <w:szCs w:val="32"/>
          <w:highlight w:val="none"/>
          <w:lang w:val="en-US" w:eastAsia="zh-CN"/>
        </w:rPr>
      </w:pPr>
      <w:r>
        <w:rPr>
          <w:rFonts w:hint="eastAsia" w:ascii="Times New Roman" w:cs="Times New Roman"/>
          <w:sz w:val="32"/>
          <w:szCs w:val="32"/>
          <w:highlight w:val="none"/>
          <w:lang w:val="en-US" w:eastAsia="zh-CN"/>
        </w:rPr>
        <w:t>附表1-2</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7"/>
        <w:gridCol w:w="586"/>
        <w:gridCol w:w="907"/>
        <w:gridCol w:w="1202"/>
        <w:gridCol w:w="399"/>
        <w:gridCol w:w="849"/>
        <w:gridCol w:w="396"/>
        <w:gridCol w:w="850"/>
        <w:gridCol w:w="486"/>
        <w:gridCol w:w="396"/>
        <w:gridCol w:w="1394"/>
      </w:tblGrid>
      <w:tr w14:paraId="13F5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496C5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F73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AE3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8128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51113224T000011795179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清理拖欠企业账款</w:t>
            </w:r>
          </w:p>
        </w:tc>
      </w:tr>
      <w:tr w14:paraId="64B3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F2B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D1AC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峨边彝族自治县产业园区管理委员会本级</w:t>
            </w:r>
          </w:p>
        </w:tc>
        <w:tc>
          <w:tcPr>
            <w:tcW w:w="498" w:type="pct"/>
            <w:tcBorders>
              <w:top w:val="nil"/>
              <w:left w:val="nil"/>
              <w:bottom w:val="nil"/>
              <w:right w:val="nil"/>
            </w:tcBorders>
            <w:shd w:val="clear" w:color="auto" w:fill="auto"/>
            <w:vAlign w:val="center"/>
          </w:tcPr>
          <w:p w14:paraId="0083DF1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15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峨边彝族自治县产业园区管理委员会</w:t>
            </w:r>
          </w:p>
        </w:tc>
      </w:tr>
      <w:tr w14:paraId="0703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C0A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B14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0D8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C4980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46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8511B">
            <w:pPr>
              <w:rPr>
                <w:rFonts w:hint="eastAsia" w:ascii="宋体" w:hAnsi="宋体" w:eastAsia="宋体" w:cs="宋体"/>
                <w:i w:val="0"/>
                <w:iCs w:val="0"/>
                <w:color w:val="000000"/>
                <w:sz w:val="18"/>
                <w:szCs w:val="18"/>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60943">
            <w:pPr>
              <w:rPr>
                <w:rFonts w:hint="eastAsia" w:ascii="宋体" w:hAnsi="宋体" w:eastAsia="宋体" w:cs="宋体"/>
                <w:i w:val="0"/>
                <w:iCs w:val="0"/>
                <w:color w:val="000000"/>
                <w:sz w:val="18"/>
                <w:szCs w:val="18"/>
                <w:u w:val="none"/>
              </w:rPr>
            </w:pPr>
          </w:p>
        </w:tc>
        <w:tc>
          <w:tcPr>
            <w:tcW w:w="2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CD65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清理2023年拖欠企业账款</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54B7F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全面清理了单位拖欠的企业账款</w:t>
            </w:r>
          </w:p>
        </w:tc>
      </w:tr>
      <w:tr w14:paraId="3439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408A4">
            <w:pPr>
              <w:rPr>
                <w:rFonts w:hint="eastAsia" w:ascii="宋体" w:hAnsi="宋体" w:eastAsia="宋体" w:cs="宋体"/>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60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724E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全面清理2023年拖欠企业账款</w:t>
            </w:r>
          </w:p>
        </w:tc>
      </w:tr>
      <w:tr w14:paraId="70EC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4C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3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7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7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0A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9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19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6E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B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43E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0A447">
            <w:pPr>
              <w:jc w:val="center"/>
              <w:rPr>
                <w:rFonts w:hint="eastAsia" w:ascii="宋体" w:hAnsi="宋体" w:eastAsia="宋体" w:cs="宋体"/>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7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B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9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EF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9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0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4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180EB">
            <w:pPr>
              <w:rPr>
                <w:rFonts w:hint="eastAsia" w:ascii="黑体" w:hAnsi="黑体" w:eastAsia="黑体" w:cs="黑体"/>
                <w:i/>
                <w:iCs/>
                <w:color w:val="000000"/>
                <w:sz w:val="18"/>
                <w:szCs w:val="18"/>
                <w:u w:val="none"/>
              </w:rPr>
            </w:pPr>
          </w:p>
        </w:tc>
      </w:tr>
      <w:tr w14:paraId="3225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705BE">
            <w:pPr>
              <w:jc w:val="center"/>
              <w:rPr>
                <w:rFonts w:hint="eastAsia" w:ascii="宋体" w:hAnsi="宋体" w:eastAsia="宋体" w:cs="宋体"/>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7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1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06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7A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8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6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A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D3621">
            <w:pPr>
              <w:rPr>
                <w:rFonts w:hint="eastAsia" w:ascii="黑体" w:hAnsi="黑体" w:eastAsia="黑体" w:cs="黑体"/>
                <w:i/>
                <w:iCs/>
                <w:color w:val="000000"/>
                <w:sz w:val="18"/>
                <w:szCs w:val="18"/>
                <w:u w:val="none"/>
              </w:rPr>
            </w:pPr>
          </w:p>
        </w:tc>
      </w:tr>
      <w:tr w14:paraId="0F98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890E5">
            <w:pPr>
              <w:jc w:val="center"/>
              <w:rPr>
                <w:rFonts w:hint="eastAsia" w:ascii="宋体" w:hAnsi="宋体" w:eastAsia="宋体" w:cs="宋体"/>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E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4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F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77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3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5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3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77ECB">
            <w:pPr>
              <w:rPr>
                <w:rFonts w:hint="eastAsia" w:ascii="黑体" w:hAnsi="黑体" w:eastAsia="黑体" w:cs="黑体"/>
                <w:i/>
                <w:iCs/>
                <w:color w:val="000000"/>
                <w:sz w:val="18"/>
                <w:szCs w:val="18"/>
                <w:u w:val="none"/>
              </w:rPr>
            </w:pPr>
          </w:p>
        </w:tc>
      </w:tr>
      <w:tr w14:paraId="426E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74D3D">
            <w:pPr>
              <w:jc w:val="center"/>
              <w:rPr>
                <w:rFonts w:hint="eastAsia" w:ascii="宋体" w:hAnsi="宋体" w:eastAsia="宋体" w:cs="宋体"/>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6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0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0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BF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3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E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0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987A">
            <w:pPr>
              <w:rPr>
                <w:rFonts w:hint="eastAsia" w:ascii="黑体" w:hAnsi="黑体" w:eastAsia="黑体" w:cs="黑体"/>
                <w:i/>
                <w:iCs/>
                <w:color w:val="000000"/>
                <w:sz w:val="18"/>
                <w:szCs w:val="18"/>
                <w:u w:val="none"/>
              </w:rPr>
            </w:pPr>
          </w:p>
        </w:tc>
      </w:tr>
      <w:tr w14:paraId="2604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10391">
            <w:pPr>
              <w:jc w:val="center"/>
              <w:rPr>
                <w:rFonts w:hint="eastAsia" w:ascii="宋体" w:hAnsi="宋体" w:eastAsia="宋体" w:cs="宋体"/>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8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311A">
            <w:pPr>
              <w:jc w:val="center"/>
              <w:rPr>
                <w:rFonts w:hint="eastAsia" w:ascii="微软雅黑" w:hAnsi="微软雅黑" w:eastAsia="微软雅黑" w:cs="微软雅黑"/>
                <w:i/>
                <w:iCs/>
                <w:color w:val="000000"/>
                <w:sz w:val="16"/>
                <w:szCs w:val="16"/>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336E">
            <w:pPr>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45F15">
            <w:pPr>
              <w:jc w:val="center"/>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401A">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6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0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74CF7">
            <w:pPr>
              <w:rPr>
                <w:rFonts w:hint="eastAsia" w:ascii="黑体" w:hAnsi="黑体" w:eastAsia="黑体" w:cs="黑体"/>
                <w:i/>
                <w:iCs/>
                <w:color w:val="000000"/>
                <w:sz w:val="18"/>
                <w:szCs w:val="18"/>
                <w:u w:val="none"/>
              </w:rPr>
            </w:pPr>
          </w:p>
        </w:tc>
      </w:tr>
      <w:tr w14:paraId="5793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96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3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8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8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6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8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5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7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5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D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7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4BB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5717">
            <w:pPr>
              <w:jc w:val="center"/>
              <w:rPr>
                <w:rFonts w:hint="eastAsia" w:ascii="宋体" w:hAnsi="宋体" w:eastAsia="宋体" w:cs="宋体"/>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B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D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7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清理2023年欠款</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03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3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全面完成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46C6">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AD937">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6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2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B8DD">
            <w:pPr>
              <w:jc w:val="center"/>
              <w:rPr>
                <w:rFonts w:hint="eastAsia" w:ascii="微软雅黑" w:hAnsi="微软雅黑" w:eastAsia="微软雅黑" w:cs="微软雅黑"/>
                <w:i/>
                <w:iCs/>
                <w:color w:val="000000"/>
                <w:sz w:val="16"/>
                <w:szCs w:val="16"/>
                <w:u w:val="none"/>
              </w:rPr>
            </w:pPr>
          </w:p>
        </w:tc>
      </w:tr>
      <w:tr w14:paraId="13D3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26F3F">
            <w:pPr>
              <w:jc w:val="center"/>
              <w:rPr>
                <w:rFonts w:hint="eastAsia" w:ascii="宋体" w:hAnsi="宋体" w:eastAsia="宋体" w:cs="宋体"/>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B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1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2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政府公信力</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F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F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493C">
            <w:pPr>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75E86">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E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9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F3B3">
            <w:pPr>
              <w:jc w:val="center"/>
              <w:rPr>
                <w:rFonts w:hint="eastAsia" w:ascii="微软雅黑" w:hAnsi="微软雅黑" w:eastAsia="微软雅黑" w:cs="微软雅黑"/>
                <w:i/>
                <w:iCs/>
                <w:color w:val="000000"/>
                <w:sz w:val="16"/>
                <w:szCs w:val="16"/>
                <w:u w:val="none"/>
              </w:rPr>
            </w:pPr>
          </w:p>
        </w:tc>
      </w:tr>
      <w:tr w14:paraId="0E97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E538D">
            <w:pPr>
              <w:jc w:val="center"/>
              <w:rPr>
                <w:rFonts w:hint="eastAsia" w:ascii="宋体" w:hAnsi="宋体" w:eastAsia="宋体" w:cs="宋体"/>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C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2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E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欠款企业满意度</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C6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9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C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BBEC">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1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F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F601">
            <w:pPr>
              <w:jc w:val="center"/>
              <w:rPr>
                <w:rFonts w:hint="eastAsia" w:ascii="微软雅黑" w:hAnsi="微软雅黑" w:eastAsia="微软雅黑" w:cs="微软雅黑"/>
                <w:i/>
                <w:iCs/>
                <w:color w:val="000000"/>
                <w:sz w:val="16"/>
                <w:szCs w:val="16"/>
                <w:u w:val="none"/>
              </w:rPr>
            </w:pPr>
          </w:p>
        </w:tc>
      </w:tr>
      <w:tr w14:paraId="6382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A57A">
            <w:pPr>
              <w:jc w:val="center"/>
              <w:rPr>
                <w:rFonts w:hint="eastAsia" w:ascii="宋体" w:hAnsi="宋体" w:eastAsia="宋体" w:cs="宋体"/>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3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5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5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资金成本</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C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0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6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1BE34">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A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C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157E">
            <w:pPr>
              <w:jc w:val="center"/>
              <w:rPr>
                <w:rFonts w:hint="eastAsia" w:ascii="微软雅黑" w:hAnsi="微软雅黑" w:eastAsia="微软雅黑" w:cs="微软雅黑"/>
                <w:i/>
                <w:iCs/>
                <w:color w:val="000000"/>
                <w:sz w:val="16"/>
                <w:szCs w:val="16"/>
                <w:u w:val="none"/>
              </w:rPr>
            </w:pPr>
          </w:p>
        </w:tc>
      </w:tr>
      <w:tr w14:paraId="3478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CE2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6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2D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EF51">
            <w:pPr>
              <w:rPr>
                <w:rFonts w:hint="eastAsia" w:ascii="宋体" w:hAnsi="宋体" w:eastAsia="宋体" w:cs="宋体"/>
                <w:i w:val="0"/>
                <w:iCs w:val="0"/>
                <w:color w:val="000000"/>
                <w:sz w:val="18"/>
                <w:szCs w:val="18"/>
                <w:u w:val="none"/>
              </w:rPr>
            </w:pPr>
          </w:p>
        </w:tc>
      </w:tr>
      <w:tr w14:paraId="6ACB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1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3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E19A0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全面清理单位截至2023年底拖欠企业账款，各项绩效目标全面实现，资金划拨符合相关规定，资金拨付率100%。</w:t>
            </w:r>
          </w:p>
        </w:tc>
      </w:tr>
      <w:tr w14:paraId="5E36E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F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3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C9FF6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E63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7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3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DEC3F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7D7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F1F8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项目负责人：彭林兵</w:t>
            </w:r>
          </w:p>
        </w:tc>
        <w:tc>
          <w:tcPr>
            <w:tcW w:w="25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ABAE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财务负责人：陈世骄</w:t>
            </w:r>
          </w:p>
        </w:tc>
      </w:tr>
    </w:tbl>
    <w:p w14:paraId="0B9557ED">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315A7012">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cs="Times New Roman"/>
          <w:sz w:val="32"/>
          <w:szCs w:val="32"/>
          <w:highlight w:val="none"/>
          <w:lang w:val="en-US" w:eastAsia="zh-CN"/>
        </w:rPr>
      </w:pPr>
      <w:r>
        <w:rPr>
          <w:rFonts w:hint="eastAsia" w:ascii="Times New Roman" w:cs="Times New Roman"/>
          <w:sz w:val="32"/>
          <w:szCs w:val="32"/>
          <w:highlight w:val="none"/>
          <w:lang w:val="en-US" w:eastAsia="zh-CN"/>
        </w:rPr>
        <w:t>附表1-3</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3"/>
        <w:gridCol w:w="695"/>
        <w:gridCol w:w="907"/>
        <w:gridCol w:w="1202"/>
        <w:gridCol w:w="397"/>
        <w:gridCol w:w="849"/>
        <w:gridCol w:w="397"/>
        <w:gridCol w:w="849"/>
        <w:gridCol w:w="486"/>
        <w:gridCol w:w="396"/>
        <w:gridCol w:w="1391"/>
      </w:tblGrid>
      <w:tr w14:paraId="7408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FE3D7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FE5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0C2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1E6A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51113225T000012303728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城乡融合重大项目前期工作经费</w:t>
            </w:r>
          </w:p>
        </w:tc>
      </w:tr>
      <w:tr w14:paraId="6E2A5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FAC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C01C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峨边彝族自治县产业园区管理委员会本级</w:t>
            </w:r>
          </w:p>
        </w:tc>
        <w:tc>
          <w:tcPr>
            <w:tcW w:w="496" w:type="pct"/>
            <w:tcBorders>
              <w:top w:val="nil"/>
              <w:left w:val="nil"/>
              <w:bottom w:val="nil"/>
              <w:right w:val="nil"/>
            </w:tcBorders>
            <w:shd w:val="clear" w:color="auto" w:fill="auto"/>
            <w:vAlign w:val="center"/>
          </w:tcPr>
          <w:p w14:paraId="7A065C5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10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峨边彝族自治县产业园区管理委员会</w:t>
            </w:r>
          </w:p>
        </w:tc>
      </w:tr>
      <w:tr w14:paraId="44CA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0E6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E7C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F82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7B536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CF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F0A73">
            <w:pPr>
              <w:rPr>
                <w:rFonts w:hint="eastAsia" w:ascii="宋体" w:hAnsi="宋体" w:eastAsia="宋体" w:cs="宋体"/>
                <w:i w:val="0"/>
                <w:iCs w:val="0"/>
                <w:color w:val="000000"/>
                <w:sz w:val="18"/>
                <w:szCs w:val="18"/>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24C0E">
            <w:pPr>
              <w:rPr>
                <w:rFonts w:hint="eastAsia" w:ascii="宋体" w:hAnsi="宋体" w:eastAsia="宋体" w:cs="宋体"/>
                <w:i w:val="0"/>
                <w:iCs w:val="0"/>
                <w:color w:val="000000"/>
                <w:sz w:val="18"/>
                <w:szCs w:val="18"/>
                <w:u w:val="none"/>
              </w:rPr>
            </w:pPr>
          </w:p>
        </w:tc>
        <w:tc>
          <w:tcPr>
            <w:tcW w:w="2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3E2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全面保障城乡融合重大项目的前期准备工作</w:t>
            </w:r>
          </w:p>
        </w:tc>
        <w:tc>
          <w:tcPr>
            <w:tcW w:w="18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0C96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有效保障了城乡融合重大项目的前期推进工作</w:t>
            </w:r>
          </w:p>
        </w:tc>
      </w:tr>
      <w:tr w14:paraId="3D5C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482FE">
            <w:pP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83B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88D9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小凉山彝区（峨边）绿色循环产业园总规（一阶段）、 核桃坪园区基础设施建设项目一批次评审</w:t>
            </w:r>
          </w:p>
        </w:tc>
      </w:tr>
      <w:tr w14:paraId="0078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7C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2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F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3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43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9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C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D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2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A3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DF822">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7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F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1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CC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BD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3E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64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E728B">
            <w:pPr>
              <w:rPr>
                <w:rFonts w:hint="eastAsia" w:ascii="黑体" w:hAnsi="黑体" w:eastAsia="黑体" w:cs="黑体"/>
                <w:i/>
                <w:iCs/>
                <w:color w:val="000000"/>
                <w:sz w:val="18"/>
                <w:szCs w:val="18"/>
                <w:u w:val="none"/>
              </w:rPr>
            </w:pPr>
          </w:p>
        </w:tc>
      </w:tr>
      <w:tr w14:paraId="22E3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1450B">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E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2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0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93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C0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4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5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B68CD">
            <w:pPr>
              <w:rPr>
                <w:rFonts w:hint="eastAsia" w:ascii="黑体" w:hAnsi="黑体" w:eastAsia="黑体" w:cs="黑体"/>
                <w:i/>
                <w:iCs/>
                <w:color w:val="000000"/>
                <w:sz w:val="18"/>
                <w:szCs w:val="18"/>
                <w:u w:val="none"/>
              </w:rPr>
            </w:pPr>
          </w:p>
        </w:tc>
      </w:tr>
      <w:tr w14:paraId="5EEB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523EE">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5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5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3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D1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3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97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3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FB657">
            <w:pPr>
              <w:rPr>
                <w:rFonts w:hint="eastAsia" w:ascii="黑体" w:hAnsi="黑体" w:eastAsia="黑体" w:cs="黑体"/>
                <w:i/>
                <w:iCs/>
                <w:color w:val="000000"/>
                <w:sz w:val="18"/>
                <w:szCs w:val="18"/>
                <w:u w:val="none"/>
              </w:rPr>
            </w:pPr>
          </w:p>
        </w:tc>
      </w:tr>
      <w:tr w14:paraId="6991F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C937B">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2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B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9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EA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8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C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1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A748E">
            <w:pPr>
              <w:rPr>
                <w:rFonts w:hint="eastAsia" w:ascii="黑体" w:hAnsi="黑体" w:eastAsia="黑体" w:cs="黑体"/>
                <w:i/>
                <w:iCs/>
                <w:color w:val="000000"/>
                <w:sz w:val="18"/>
                <w:szCs w:val="18"/>
                <w:u w:val="none"/>
              </w:rPr>
            </w:pPr>
          </w:p>
        </w:tc>
      </w:tr>
      <w:tr w14:paraId="4309C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AB1C9">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4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398A">
            <w:pPr>
              <w:jc w:val="center"/>
              <w:rPr>
                <w:rFonts w:hint="eastAsia" w:ascii="微软雅黑" w:hAnsi="微软雅黑" w:eastAsia="微软雅黑" w:cs="微软雅黑"/>
                <w:i/>
                <w:iCs/>
                <w:color w:val="000000"/>
                <w:sz w:val="16"/>
                <w:szCs w:val="16"/>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393B">
            <w:pPr>
              <w:jc w:val="center"/>
              <w:rPr>
                <w:rFonts w:hint="eastAsia" w:ascii="微软雅黑" w:hAnsi="微软雅黑" w:eastAsia="微软雅黑" w:cs="微软雅黑"/>
                <w:i/>
                <w:iCs/>
                <w:color w:val="000000"/>
                <w:sz w:val="16"/>
                <w:szCs w:val="16"/>
                <w:u w:val="none"/>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1851A">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5C2D">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0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3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17C41">
            <w:pPr>
              <w:rPr>
                <w:rFonts w:hint="eastAsia" w:ascii="黑体" w:hAnsi="黑体" w:eastAsia="黑体" w:cs="黑体"/>
                <w:i/>
                <w:iCs/>
                <w:color w:val="000000"/>
                <w:sz w:val="18"/>
                <w:szCs w:val="18"/>
                <w:u w:val="none"/>
              </w:rPr>
            </w:pPr>
          </w:p>
        </w:tc>
      </w:tr>
      <w:tr w14:paraId="4EBA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CD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6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9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8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D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D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B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9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6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F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3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58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45BF3">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1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8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C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保障重大项目前期准备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9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0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全面完成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B8F8">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4695">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8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B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060D">
            <w:pPr>
              <w:jc w:val="center"/>
              <w:rPr>
                <w:rFonts w:hint="eastAsia" w:ascii="宋体" w:hAnsi="宋体" w:eastAsia="宋体" w:cs="宋体"/>
                <w:i w:val="0"/>
                <w:iCs w:val="0"/>
                <w:color w:val="000000"/>
                <w:sz w:val="18"/>
                <w:szCs w:val="18"/>
                <w:u w:val="none"/>
              </w:rPr>
            </w:pPr>
          </w:p>
        </w:tc>
      </w:tr>
      <w:tr w14:paraId="07ED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D803">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E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8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B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园区发展情况</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C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E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F47E">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6E22">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5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F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3BAF">
            <w:pPr>
              <w:jc w:val="center"/>
              <w:rPr>
                <w:rFonts w:hint="eastAsia" w:ascii="宋体" w:hAnsi="宋体" w:eastAsia="宋体" w:cs="宋体"/>
                <w:i w:val="0"/>
                <w:iCs w:val="0"/>
                <w:color w:val="000000"/>
                <w:sz w:val="18"/>
                <w:szCs w:val="18"/>
                <w:u w:val="none"/>
              </w:rPr>
            </w:pPr>
          </w:p>
        </w:tc>
      </w:tr>
      <w:tr w14:paraId="3E330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476DC">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4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F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B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园区企业</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B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D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C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1DF46">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15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9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37E3">
            <w:pPr>
              <w:jc w:val="center"/>
              <w:rPr>
                <w:rFonts w:hint="eastAsia" w:ascii="宋体" w:hAnsi="宋体" w:eastAsia="宋体" w:cs="宋体"/>
                <w:i w:val="0"/>
                <w:iCs w:val="0"/>
                <w:color w:val="000000"/>
                <w:sz w:val="18"/>
                <w:szCs w:val="18"/>
                <w:u w:val="none"/>
              </w:rPr>
            </w:pPr>
          </w:p>
        </w:tc>
      </w:tr>
      <w:tr w14:paraId="358E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D7883">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C1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B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7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8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D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F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E289">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4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D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84C2">
            <w:pPr>
              <w:jc w:val="center"/>
              <w:rPr>
                <w:rFonts w:hint="eastAsia" w:ascii="微软雅黑" w:hAnsi="微软雅黑" w:eastAsia="微软雅黑" w:cs="微软雅黑"/>
                <w:i/>
                <w:iCs/>
                <w:color w:val="000000"/>
                <w:sz w:val="16"/>
                <w:szCs w:val="16"/>
                <w:u w:val="none"/>
              </w:rPr>
            </w:pPr>
          </w:p>
        </w:tc>
      </w:tr>
      <w:tr w14:paraId="6367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32C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C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15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923D">
            <w:pPr>
              <w:rPr>
                <w:rFonts w:hint="eastAsia" w:ascii="宋体" w:hAnsi="宋体" w:eastAsia="宋体" w:cs="宋体"/>
                <w:i w:val="0"/>
                <w:iCs w:val="0"/>
                <w:color w:val="000000"/>
                <w:sz w:val="18"/>
                <w:szCs w:val="18"/>
                <w:u w:val="none"/>
              </w:rPr>
            </w:pPr>
          </w:p>
        </w:tc>
      </w:tr>
      <w:tr w14:paraId="47F6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F9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43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E9E73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通过实施 小凉山彝区（峨边）绿色循环产业园总规（一阶段）、 核桃坪园区基础设施建设项目一批次评审，有效保障了我委承担的重大项目前期准备，各项绩效目标全面实现，资金划拨符合相关规定，拨付进度和项目进度一致。</w:t>
            </w:r>
          </w:p>
        </w:tc>
      </w:tr>
      <w:tr w14:paraId="6D5D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8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43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94808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414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3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43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7BC38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20CA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82E5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项目负责人：彭林兵</w:t>
            </w:r>
          </w:p>
        </w:tc>
        <w:tc>
          <w:tcPr>
            <w:tcW w:w="256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CEFD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财务负责人：陈世骄</w:t>
            </w:r>
          </w:p>
        </w:tc>
      </w:tr>
    </w:tbl>
    <w:p w14:paraId="0A453112">
      <w:pPr>
        <w:pStyle w:val="2"/>
        <w:rPr>
          <w:rFonts w:hint="eastAsia" w:ascii="Times New Roman" w:hAnsi="Times New Roman" w:eastAsia="黑体" w:cs="黑体"/>
          <w:color w:val="auto"/>
          <w:kern w:val="0"/>
          <w:sz w:val="32"/>
          <w:szCs w:val="32"/>
          <w:highlight w:val="none"/>
          <w:shd w:val="clear" w:color="auto" w:fill="FFFFFF"/>
          <w:lang w:val="zh-CN"/>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p>
    <w:p w14:paraId="755ED8BC">
      <w:pPr>
        <w:pStyle w:val="2"/>
        <w:rPr>
          <w:rFonts w:hint="eastAsia" w:ascii="Times New Roman" w:hAnsi="Times New Roman" w:eastAsia="黑体" w:cs="黑体"/>
          <w:color w:val="auto"/>
          <w:kern w:val="0"/>
          <w:sz w:val="32"/>
          <w:szCs w:val="32"/>
          <w:highlight w:val="none"/>
          <w:shd w:val="clear" w:color="auto" w:fill="FFFFFF"/>
          <w:lang w:val="zh-CN"/>
        </w:rPr>
      </w:pPr>
    </w:p>
    <w:p w14:paraId="13A1117B">
      <w:pPr>
        <w:pStyle w:val="2"/>
        <w:rPr>
          <w:rFonts w:hint="eastAsia" w:ascii="Times New Roman" w:hAnsi="Times New Roman" w:eastAsia="黑体" w:cs="黑体"/>
          <w:color w:val="auto"/>
          <w:kern w:val="0"/>
          <w:sz w:val="32"/>
          <w:szCs w:val="32"/>
          <w:highlight w:val="none"/>
          <w:shd w:val="clear" w:color="auto" w:fill="FFFFFF"/>
          <w:lang w:val="zh-CN"/>
        </w:rPr>
      </w:pPr>
    </w:p>
    <w:p w14:paraId="6172E7C7">
      <w:pPr>
        <w:pStyle w:val="2"/>
        <w:rPr>
          <w:rFonts w:hint="eastAsia" w:ascii="Times New Roman" w:hAnsi="Times New Roman" w:eastAsia="黑体" w:cs="黑体"/>
          <w:color w:val="auto"/>
          <w:kern w:val="0"/>
          <w:sz w:val="32"/>
          <w:szCs w:val="32"/>
          <w:highlight w:val="none"/>
          <w:shd w:val="clear" w:color="auto" w:fill="FFFFFF"/>
          <w:lang w:val="zh-CN"/>
        </w:rPr>
      </w:pPr>
    </w:p>
    <w:p w14:paraId="05E19C6B">
      <w:pPr>
        <w:pStyle w:val="2"/>
        <w:rPr>
          <w:rFonts w:hint="eastAsia" w:ascii="Times New Roman" w:hAnsi="Times New Roman" w:eastAsia="黑体" w:cs="黑体"/>
          <w:color w:val="auto"/>
          <w:kern w:val="0"/>
          <w:sz w:val="32"/>
          <w:szCs w:val="32"/>
          <w:highlight w:val="none"/>
          <w:shd w:val="clear" w:color="auto" w:fill="FFFFFF"/>
          <w:lang w:val="zh-CN"/>
        </w:rPr>
      </w:pPr>
    </w:p>
    <w:p w14:paraId="7747E5D6">
      <w:pPr>
        <w:pStyle w:val="2"/>
        <w:rPr>
          <w:rFonts w:hint="eastAsia" w:ascii="Times New Roman" w:hAnsi="Times New Roman" w:eastAsia="黑体" w:cs="黑体"/>
          <w:color w:val="auto"/>
          <w:kern w:val="0"/>
          <w:sz w:val="32"/>
          <w:szCs w:val="32"/>
          <w:highlight w:val="none"/>
          <w:shd w:val="clear" w:color="auto" w:fill="FFFFFF"/>
          <w:lang w:val="zh-CN"/>
        </w:rPr>
      </w:pPr>
    </w:p>
    <w:p w14:paraId="5BF13AA5">
      <w:pPr>
        <w:pStyle w:val="2"/>
        <w:rPr>
          <w:rFonts w:hint="eastAsia" w:ascii="Times New Roman" w:hAnsi="Times New Roman" w:eastAsia="黑体" w:cs="黑体"/>
          <w:color w:val="auto"/>
          <w:kern w:val="0"/>
          <w:sz w:val="32"/>
          <w:szCs w:val="32"/>
          <w:highlight w:val="none"/>
          <w:shd w:val="clear" w:color="auto" w:fill="FFFFFF"/>
          <w:lang w:val="zh-CN"/>
        </w:rPr>
      </w:pPr>
    </w:p>
    <w:p w14:paraId="7C177EBE">
      <w:pPr>
        <w:pStyle w:val="2"/>
        <w:rPr>
          <w:rFonts w:hint="eastAsia" w:ascii="Times New Roman" w:hAnsi="Times New Roman" w:eastAsia="黑体" w:cs="黑体"/>
          <w:color w:val="auto"/>
          <w:kern w:val="0"/>
          <w:sz w:val="32"/>
          <w:szCs w:val="32"/>
          <w:highlight w:val="none"/>
          <w:shd w:val="clear" w:color="auto" w:fill="FFFFFF"/>
          <w:lang w:val="zh-CN"/>
        </w:rPr>
      </w:pPr>
    </w:p>
    <w:p w14:paraId="11553FD9">
      <w:pPr>
        <w:pStyle w:val="2"/>
        <w:rPr>
          <w:rFonts w:hint="eastAsia" w:ascii="Times New Roman" w:hAnsi="Times New Roman" w:eastAsia="黑体" w:cs="黑体"/>
          <w:color w:val="auto"/>
          <w:kern w:val="0"/>
          <w:sz w:val="32"/>
          <w:szCs w:val="32"/>
          <w:highlight w:val="none"/>
          <w:shd w:val="clear" w:color="auto" w:fill="FFFFFF"/>
          <w:lang w:val="zh-CN"/>
        </w:rPr>
      </w:pPr>
    </w:p>
    <w:p w14:paraId="28B936D7">
      <w:pPr>
        <w:pStyle w:val="2"/>
        <w:rPr>
          <w:rFonts w:hint="eastAsia" w:ascii="Times New Roman" w:hAnsi="Times New Roman" w:eastAsia="黑体" w:cs="黑体"/>
          <w:color w:val="auto"/>
          <w:kern w:val="0"/>
          <w:sz w:val="32"/>
          <w:szCs w:val="32"/>
          <w:highlight w:val="none"/>
          <w:shd w:val="clear" w:color="auto" w:fill="FFFFFF"/>
          <w:lang w:val="zh-CN"/>
        </w:rPr>
      </w:pPr>
    </w:p>
    <w:p w14:paraId="6FE6782A">
      <w:pPr>
        <w:pStyle w:val="2"/>
        <w:rPr>
          <w:rFonts w:hint="eastAsia" w:ascii="Times New Roman" w:hAnsi="Times New Roman" w:eastAsia="黑体" w:cs="黑体"/>
          <w:color w:val="auto"/>
          <w:kern w:val="0"/>
          <w:sz w:val="32"/>
          <w:szCs w:val="32"/>
          <w:highlight w:val="none"/>
          <w:shd w:val="clear" w:color="auto" w:fill="FFFFFF"/>
          <w:lang w:val="zh-CN"/>
        </w:rPr>
      </w:pPr>
    </w:p>
    <w:p w14:paraId="418E6741">
      <w:pPr>
        <w:pStyle w:val="2"/>
        <w:rPr>
          <w:rFonts w:hint="eastAsia" w:ascii="Times New Roman" w:hAnsi="Times New Roman" w:eastAsia="黑体" w:cs="黑体"/>
          <w:color w:val="auto"/>
          <w:kern w:val="0"/>
          <w:sz w:val="32"/>
          <w:szCs w:val="32"/>
          <w:highlight w:val="none"/>
          <w:shd w:val="clear" w:color="auto" w:fill="FFFFFF"/>
          <w:lang w:val="zh-CN"/>
        </w:rPr>
      </w:pPr>
    </w:p>
    <w:p w14:paraId="355AF073">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仿宋"/>
          <w:b w:val="0"/>
          <w:color w:val="auto"/>
          <w:highlight w:val="none"/>
        </w:rPr>
      </w:pPr>
      <w:bookmarkStart w:id="44" w:name="_Toc15396618"/>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42"/>
      <w:bookmarkEnd w:id="44"/>
      <w:bookmarkStart w:id="45" w:name="_Toc15396619"/>
    </w:p>
    <w:p w14:paraId="381F7BC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30903C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5"/>
    </w:p>
    <w:p w14:paraId="174C441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6" w:name="_Toc15396620"/>
      <w:r>
        <w:rPr>
          <w:rFonts w:hint="eastAsia" w:ascii="Times New Roman" w:hAnsi="Times New Roman" w:eastAsia="仿宋_GB2312" w:cs="仿宋_GB2312"/>
          <w:color w:val="auto"/>
          <w:sz w:val="32"/>
          <w:szCs w:val="32"/>
          <w:highlight w:val="none"/>
        </w:rPr>
        <w:t>二、收入决算表</w:t>
      </w:r>
      <w:bookmarkEnd w:id="46"/>
    </w:p>
    <w:p w14:paraId="5F0A119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7" w:name="_Toc15396621"/>
      <w:r>
        <w:rPr>
          <w:rFonts w:hint="eastAsia" w:ascii="Times New Roman" w:hAnsi="Times New Roman" w:eastAsia="仿宋_GB2312" w:cs="仿宋_GB2312"/>
          <w:color w:val="auto"/>
          <w:sz w:val="32"/>
          <w:szCs w:val="32"/>
          <w:highlight w:val="none"/>
        </w:rPr>
        <w:t>三、支出决算表</w:t>
      </w:r>
      <w:bookmarkEnd w:id="47"/>
    </w:p>
    <w:p w14:paraId="3A63284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8" w:name="_Toc15396622"/>
      <w:r>
        <w:rPr>
          <w:rFonts w:hint="eastAsia" w:ascii="Times New Roman" w:hAnsi="Times New Roman" w:eastAsia="仿宋_GB2312" w:cs="仿宋_GB2312"/>
          <w:color w:val="auto"/>
          <w:sz w:val="32"/>
          <w:szCs w:val="32"/>
          <w:highlight w:val="none"/>
        </w:rPr>
        <w:t>四、财政拨款收入支出决算总表</w:t>
      </w:r>
      <w:bookmarkEnd w:id="48"/>
    </w:p>
    <w:p w14:paraId="5D6C805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3"/>
      <w:r>
        <w:rPr>
          <w:rFonts w:hint="eastAsia" w:ascii="Times New Roman" w:hAnsi="Times New Roman" w:eastAsia="仿宋_GB2312" w:cs="仿宋_GB2312"/>
          <w:color w:val="auto"/>
          <w:sz w:val="32"/>
          <w:szCs w:val="32"/>
          <w:highlight w:val="none"/>
        </w:rPr>
        <w:t>五、财政拨款支出决算明细表</w:t>
      </w:r>
      <w:bookmarkEnd w:id="49"/>
      <w:bookmarkStart w:id="50" w:name="_Toc15396624"/>
    </w:p>
    <w:p w14:paraId="566B6B3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0"/>
    </w:p>
    <w:p w14:paraId="1CC2B6B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5"/>
      <w:r>
        <w:rPr>
          <w:rFonts w:hint="eastAsia" w:ascii="Times New Roman" w:hAnsi="Times New Roman" w:eastAsia="仿宋_GB2312" w:cs="仿宋_GB2312"/>
          <w:color w:val="auto"/>
          <w:sz w:val="32"/>
          <w:szCs w:val="32"/>
          <w:highlight w:val="none"/>
        </w:rPr>
        <w:t>七、一般公共预算财政拨款支出决算明细表</w:t>
      </w:r>
      <w:bookmarkEnd w:id="51"/>
    </w:p>
    <w:p w14:paraId="1567CC1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6"/>
      <w:r>
        <w:rPr>
          <w:rFonts w:hint="eastAsia" w:ascii="Times New Roman" w:hAnsi="Times New Roman" w:eastAsia="仿宋_GB2312" w:cs="仿宋_GB2312"/>
          <w:color w:val="auto"/>
          <w:sz w:val="32"/>
          <w:szCs w:val="32"/>
          <w:highlight w:val="none"/>
        </w:rPr>
        <w:t>八、一般公共预算财政拨款基本支出决算表</w:t>
      </w:r>
      <w:bookmarkEnd w:id="52"/>
    </w:p>
    <w:p w14:paraId="135FAFB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7"/>
      <w:r>
        <w:rPr>
          <w:rFonts w:hint="eastAsia" w:ascii="Times New Roman" w:hAnsi="Times New Roman" w:eastAsia="仿宋_GB2312" w:cs="仿宋_GB2312"/>
          <w:color w:val="auto"/>
          <w:sz w:val="32"/>
          <w:szCs w:val="32"/>
          <w:highlight w:val="none"/>
        </w:rPr>
        <w:t>九、一般公共预算财政拨款项目支出决算表</w:t>
      </w:r>
      <w:bookmarkEnd w:id="53"/>
    </w:p>
    <w:p w14:paraId="093F51B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8"/>
      <w:r>
        <w:rPr>
          <w:rFonts w:hint="eastAsia" w:ascii="Times New Roman" w:hAnsi="Times New Roman" w:eastAsia="仿宋_GB2312" w:cs="仿宋_GB2312"/>
          <w:color w:val="auto"/>
          <w:sz w:val="32"/>
          <w:szCs w:val="32"/>
          <w:highlight w:val="none"/>
        </w:rPr>
        <w:t>十、</w:t>
      </w:r>
      <w:bookmarkEnd w:id="54"/>
      <w:r>
        <w:rPr>
          <w:rFonts w:hint="eastAsia" w:ascii="Times New Roman" w:hAnsi="Times New Roman" w:eastAsia="仿宋_GB2312" w:cs="仿宋_GB2312"/>
          <w:color w:val="auto"/>
          <w:sz w:val="32"/>
          <w:szCs w:val="32"/>
          <w:highlight w:val="none"/>
        </w:rPr>
        <w:t>政府性基金预算财政拨款收入支出决算表</w:t>
      </w:r>
    </w:p>
    <w:p w14:paraId="2E252AD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9"/>
      <w:r>
        <w:rPr>
          <w:rFonts w:hint="eastAsia" w:ascii="Times New Roman" w:hAnsi="Times New Roman" w:eastAsia="仿宋_GB2312" w:cs="仿宋_GB2312"/>
          <w:color w:val="auto"/>
          <w:sz w:val="32"/>
          <w:szCs w:val="32"/>
          <w:highlight w:val="none"/>
        </w:rPr>
        <w:t>十一、</w:t>
      </w:r>
      <w:bookmarkEnd w:id="5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8780FD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30"/>
      <w:r>
        <w:rPr>
          <w:rFonts w:hint="eastAsia" w:ascii="Times New Roman" w:hAnsi="Times New Roman" w:eastAsia="仿宋_GB2312" w:cs="仿宋_GB2312"/>
          <w:color w:val="auto"/>
          <w:sz w:val="32"/>
          <w:szCs w:val="32"/>
          <w:highlight w:val="none"/>
        </w:rPr>
        <w:t>十二、</w:t>
      </w:r>
      <w:bookmarkEnd w:id="56"/>
      <w:r>
        <w:rPr>
          <w:rFonts w:hint="eastAsia" w:ascii="Times New Roman" w:hAnsi="Times New Roman" w:eastAsia="仿宋_GB2312" w:cs="仿宋_GB2312"/>
          <w:color w:val="auto"/>
          <w:sz w:val="32"/>
          <w:szCs w:val="32"/>
          <w:highlight w:val="none"/>
          <w:lang w:eastAsia="zh-CN"/>
        </w:rPr>
        <w:t>国有资本经营预算财政拨款支出决算表</w:t>
      </w:r>
    </w:p>
    <w:p w14:paraId="595FC43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7" w:name="_Toc15396631"/>
      <w:r>
        <w:rPr>
          <w:rFonts w:hint="eastAsia" w:ascii="Times New Roman" w:hAnsi="Times New Roman" w:eastAsia="仿宋_GB2312" w:cs="仿宋_GB2312"/>
          <w:color w:val="auto"/>
          <w:sz w:val="32"/>
          <w:szCs w:val="32"/>
          <w:highlight w:val="none"/>
        </w:rPr>
        <w:t>十三、</w:t>
      </w:r>
      <w:bookmarkEnd w:id="57"/>
      <w:r>
        <w:rPr>
          <w:rFonts w:hint="eastAsia" w:ascii="Times New Roman" w:hAnsi="Times New Roman" w:eastAsia="仿宋_GB2312" w:cs="仿宋_GB2312"/>
          <w:color w:val="auto"/>
          <w:sz w:val="32"/>
          <w:szCs w:val="32"/>
          <w:highlight w:val="none"/>
          <w:lang w:eastAsia="zh-CN"/>
        </w:rPr>
        <w:t>财政拨款“三公”经费支出决算表</w:t>
      </w:r>
    </w:p>
    <w:p w14:paraId="64357D44">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decimal"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3B0D2">
    <w:pPr>
      <w:pStyle w:val="12"/>
      <w:jc w:val="both"/>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9F465">
    <w:pPr>
      <w:pStyle w:val="12"/>
      <w:jc w:val="both"/>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DCA43">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0DCA43">
                    <w:pPr>
                      <w:pStyle w:val="1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FD4E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1AF41">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01AF41">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49B7B">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9C44F9"/>
    <w:multiLevelType w:val="singleLevel"/>
    <w:tmpl w:val="1A9C44F9"/>
    <w:lvl w:ilvl="0" w:tentative="0">
      <w:start w:val="1"/>
      <w:numFmt w:val="decimal"/>
      <w:lvlText w:val="%1."/>
      <w:lvlJc w:val="left"/>
      <w:pPr>
        <w:tabs>
          <w:tab w:val="left" w:pos="312"/>
        </w:tabs>
      </w:pPr>
    </w:lvl>
  </w:abstractNum>
  <w:abstractNum w:abstractNumId="1">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MjkzNWY3OTJhYjY3YjA4Zjc2OWY3NTEwZmE2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7F04F3"/>
    <w:rsid w:val="07996F6E"/>
    <w:rsid w:val="07DFD8BA"/>
    <w:rsid w:val="07FD0C0F"/>
    <w:rsid w:val="097C160A"/>
    <w:rsid w:val="09867E8F"/>
    <w:rsid w:val="0A2032A3"/>
    <w:rsid w:val="0A487DFE"/>
    <w:rsid w:val="0CA8290A"/>
    <w:rsid w:val="0D2450BE"/>
    <w:rsid w:val="0D35B1ED"/>
    <w:rsid w:val="0E254B6B"/>
    <w:rsid w:val="0EE02FCE"/>
    <w:rsid w:val="0EE26B34"/>
    <w:rsid w:val="0F98263C"/>
    <w:rsid w:val="101860EC"/>
    <w:rsid w:val="101F47CC"/>
    <w:rsid w:val="10B73912"/>
    <w:rsid w:val="10C055FF"/>
    <w:rsid w:val="115D20B8"/>
    <w:rsid w:val="11694EBD"/>
    <w:rsid w:val="11772AA4"/>
    <w:rsid w:val="118107EC"/>
    <w:rsid w:val="12E24EE2"/>
    <w:rsid w:val="13D50BC4"/>
    <w:rsid w:val="14B17F78"/>
    <w:rsid w:val="15B50D11"/>
    <w:rsid w:val="165E0673"/>
    <w:rsid w:val="16B831D5"/>
    <w:rsid w:val="16BB723D"/>
    <w:rsid w:val="17E50567"/>
    <w:rsid w:val="186504BB"/>
    <w:rsid w:val="19A445FC"/>
    <w:rsid w:val="1BE8440E"/>
    <w:rsid w:val="1D155CEE"/>
    <w:rsid w:val="1D1638FE"/>
    <w:rsid w:val="1E312DEB"/>
    <w:rsid w:val="1E740ACF"/>
    <w:rsid w:val="1FF35744"/>
    <w:rsid w:val="1FF6BC77"/>
    <w:rsid w:val="2186353C"/>
    <w:rsid w:val="218E54B2"/>
    <w:rsid w:val="221B063A"/>
    <w:rsid w:val="23860B96"/>
    <w:rsid w:val="240371BF"/>
    <w:rsid w:val="244F3473"/>
    <w:rsid w:val="24C97D99"/>
    <w:rsid w:val="25A718F0"/>
    <w:rsid w:val="25BB59F6"/>
    <w:rsid w:val="260F557C"/>
    <w:rsid w:val="265F63EE"/>
    <w:rsid w:val="26970054"/>
    <w:rsid w:val="281408E2"/>
    <w:rsid w:val="292A6EC8"/>
    <w:rsid w:val="29680339"/>
    <w:rsid w:val="29C16C1B"/>
    <w:rsid w:val="29FD04D3"/>
    <w:rsid w:val="2BFF7BC6"/>
    <w:rsid w:val="2C7C0AE7"/>
    <w:rsid w:val="2C8A61B5"/>
    <w:rsid w:val="2DF04E50"/>
    <w:rsid w:val="2E586DFA"/>
    <w:rsid w:val="2F040D46"/>
    <w:rsid w:val="2F6B035B"/>
    <w:rsid w:val="2FAE5751"/>
    <w:rsid w:val="2FB1A395"/>
    <w:rsid w:val="2FD9A7D8"/>
    <w:rsid w:val="2FDBF714"/>
    <w:rsid w:val="30AB6865"/>
    <w:rsid w:val="31750675"/>
    <w:rsid w:val="319F7F4E"/>
    <w:rsid w:val="32847C00"/>
    <w:rsid w:val="32BD1EF1"/>
    <w:rsid w:val="3304709D"/>
    <w:rsid w:val="333578CC"/>
    <w:rsid w:val="33A773CB"/>
    <w:rsid w:val="349D6851"/>
    <w:rsid w:val="35A56086"/>
    <w:rsid w:val="3687595A"/>
    <w:rsid w:val="36AA5135"/>
    <w:rsid w:val="36BE0DA7"/>
    <w:rsid w:val="36CB787C"/>
    <w:rsid w:val="376B6AA6"/>
    <w:rsid w:val="376D39B2"/>
    <w:rsid w:val="37E16F03"/>
    <w:rsid w:val="37F53A3B"/>
    <w:rsid w:val="38995751"/>
    <w:rsid w:val="389B6C89"/>
    <w:rsid w:val="38D469F0"/>
    <w:rsid w:val="39627CCD"/>
    <w:rsid w:val="397BAF1F"/>
    <w:rsid w:val="39C2031E"/>
    <w:rsid w:val="3AB79AF3"/>
    <w:rsid w:val="3AE834C0"/>
    <w:rsid w:val="3B7EF35A"/>
    <w:rsid w:val="3B9FDB6C"/>
    <w:rsid w:val="3BF5BC2F"/>
    <w:rsid w:val="3CEBA265"/>
    <w:rsid w:val="3D1837B0"/>
    <w:rsid w:val="3D863781"/>
    <w:rsid w:val="3D98207C"/>
    <w:rsid w:val="3DD82F3F"/>
    <w:rsid w:val="3DEE7CF3"/>
    <w:rsid w:val="3E300D5F"/>
    <w:rsid w:val="3E740A63"/>
    <w:rsid w:val="3E78745D"/>
    <w:rsid w:val="3EE17838"/>
    <w:rsid w:val="3F55381A"/>
    <w:rsid w:val="3F7F7599"/>
    <w:rsid w:val="3FDE3AA0"/>
    <w:rsid w:val="3FF4CAE0"/>
    <w:rsid w:val="3FF7B227"/>
    <w:rsid w:val="3FFE1B7D"/>
    <w:rsid w:val="42703746"/>
    <w:rsid w:val="43615785"/>
    <w:rsid w:val="43C97954"/>
    <w:rsid w:val="44E268DA"/>
    <w:rsid w:val="450D13D7"/>
    <w:rsid w:val="45506656"/>
    <w:rsid w:val="46D97FBC"/>
    <w:rsid w:val="486A6C7A"/>
    <w:rsid w:val="4A627F82"/>
    <w:rsid w:val="4B0E749A"/>
    <w:rsid w:val="4B2477C4"/>
    <w:rsid w:val="4B4F25DA"/>
    <w:rsid w:val="4BE068DB"/>
    <w:rsid w:val="4D577224"/>
    <w:rsid w:val="4D793BC7"/>
    <w:rsid w:val="4D8602C2"/>
    <w:rsid w:val="4DBF1CEB"/>
    <w:rsid w:val="4DF0007C"/>
    <w:rsid w:val="4E7F7BF0"/>
    <w:rsid w:val="4EAB630A"/>
    <w:rsid w:val="4ECE2238"/>
    <w:rsid w:val="4F833267"/>
    <w:rsid w:val="4FB14DB7"/>
    <w:rsid w:val="4FE9BD67"/>
    <w:rsid w:val="4FFB052F"/>
    <w:rsid w:val="537E6D0A"/>
    <w:rsid w:val="53A70F92"/>
    <w:rsid w:val="53F74C96"/>
    <w:rsid w:val="55170BA8"/>
    <w:rsid w:val="553218C9"/>
    <w:rsid w:val="566E75D8"/>
    <w:rsid w:val="567E1AA5"/>
    <w:rsid w:val="56A47A0A"/>
    <w:rsid w:val="56E47B74"/>
    <w:rsid w:val="57175D52"/>
    <w:rsid w:val="57297DEA"/>
    <w:rsid w:val="57BD3DD4"/>
    <w:rsid w:val="59F82547"/>
    <w:rsid w:val="5AF92295"/>
    <w:rsid w:val="5B250254"/>
    <w:rsid w:val="5BDD79E6"/>
    <w:rsid w:val="5BF561CA"/>
    <w:rsid w:val="5BFF5DFC"/>
    <w:rsid w:val="5CD71FC4"/>
    <w:rsid w:val="5D1F11B5"/>
    <w:rsid w:val="5D695134"/>
    <w:rsid w:val="5D872A7F"/>
    <w:rsid w:val="5DAE1B18"/>
    <w:rsid w:val="5DE7D9E5"/>
    <w:rsid w:val="5E880948"/>
    <w:rsid w:val="5ECC69D0"/>
    <w:rsid w:val="5ECEC941"/>
    <w:rsid w:val="5EF97F4F"/>
    <w:rsid w:val="5F2525CE"/>
    <w:rsid w:val="5F902FDB"/>
    <w:rsid w:val="5FBF9FF3"/>
    <w:rsid w:val="5FCD4E2C"/>
    <w:rsid w:val="5FEF394A"/>
    <w:rsid w:val="5FF67715"/>
    <w:rsid w:val="629F3BF1"/>
    <w:rsid w:val="62BF3928"/>
    <w:rsid w:val="63B3701E"/>
    <w:rsid w:val="647F5392"/>
    <w:rsid w:val="65E66580"/>
    <w:rsid w:val="664B1D71"/>
    <w:rsid w:val="664B4E8E"/>
    <w:rsid w:val="67277B67"/>
    <w:rsid w:val="67AA3209"/>
    <w:rsid w:val="698D0931"/>
    <w:rsid w:val="6A7FE5F3"/>
    <w:rsid w:val="6B053271"/>
    <w:rsid w:val="6BB35FF6"/>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D62D16"/>
    <w:rsid w:val="72233669"/>
    <w:rsid w:val="72734D90"/>
    <w:rsid w:val="73160E6D"/>
    <w:rsid w:val="7332FE48"/>
    <w:rsid w:val="73AB61DA"/>
    <w:rsid w:val="73AD73D5"/>
    <w:rsid w:val="73B6EB34"/>
    <w:rsid w:val="73FA497D"/>
    <w:rsid w:val="744731E5"/>
    <w:rsid w:val="74BBD01D"/>
    <w:rsid w:val="74E4399C"/>
    <w:rsid w:val="74ED5379"/>
    <w:rsid w:val="75DEEEC2"/>
    <w:rsid w:val="75E32345"/>
    <w:rsid w:val="76E3355F"/>
    <w:rsid w:val="76FF5125"/>
    <w:rsid w:val="77334767"/>
    <w:rsid w:val="776F6FFA"/>
    <w:rsid w:val="778769C8"/>
    <w:rsid w:val="77A75DCA"/>
    <w:rsid w:val="77DC22F5"/>
    <w:rsid w:val="783E271A"/>
    <w:rsid w:val="78616DE9"/>
    <w:rsid w:val="78DF05A0"/>
    <w:rsid w:val="78E875D7"/>
    <w:rsid w:val="79086DAD"/>
    <w:rsid w:val="79D7FD79"/>
    <w:rsid w:val="79EE5BA4"/>
    <w:rsid w:val="7A894339"/>
    <w:rsid w:val="7AD284E8"/>
    <w:rsid w:val="7AFF7572"/>
    <w:rsid w:val="7B6C7DFB"/>
    <w:rsid w:val="7BBFBED0"/>
    <w:rsid w:val="7BC3E394"/>
    <w:rsid w:val="7C1F3737"/>
    <w:rsid w:val="7CBFC87B"/>
    <w:rsid w:val="7CC571A4"/>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qFormat/>
    <w:uiPriority w:val="99"/>
    <w:pPr>
      <w:spacing w:beforeLines="30"/>
    </w:pPr>
    <w:rPr>
      <w:rFonts w:ascii="仿宋_GB2312" w:eastAsia="仿宋_GB2312"/>
      <w:kern w:val="0"/>
      <w:sz w:val="30"/>
    </w:rPr>
  </w:style>
  <w:style w:type="paragraph" w:styleId="3">
    <w:name w:val="Body Text First Indent"/>
    <w:basedOn w:val="2"/>
    <w:next w:val="1"/>
    <w:qFormat/>
    <w:uiPriority w:val="99"/>
  </w:style>
  <w:style w:type="paragraph" w:styleId="7">
    <w:name w:val="Normal Indent"/>
    <w:basedOn w:val="1"/>
    <w:unhideWhenUsed/>
    <w:qFormat/>
    <w:uiPriority w:val="99"/>
    <w:pPr>
      <w:ind w:firstLine="420" w:firstLineChars="200"/>
    </w:p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Title"/>
    <w:basedOn w:val="1"/>
    <w:next w:val="1"/>
    <w:qFormat/>
    <w:uiPriority w:val="0"/>
    <w:pPr>
      <w:spacing w:before="240" w:after="60"/>
      <w:jc w:val="center"/>
      <w:outlineLvl w:val="0"/>
    </w:pPr>
    <w:rPr>
      <w:rFonts w:ascii="Arial" w:hAnsi="Arial" w:eastAsia="宋体" w:cs="Arial"/>
      <w:b/>
      <w:szCs w:val="32"/>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4"/>
    <w:qFormat/>
    <w:uiPriority w:val="9"/>
    <w:rPr>
      <w:rFonts w:ascii="Times New Roman" w:hAnsi="Times New Roman"/>
      <w:b/>
      <w:bCs/>
      <w:kern w:val="44"/>
      <w:sz w:val="44"/>
      <w:szCs w:val="44"/>
    </w:rPr>
  </w:style>
  <w:style w:type="character" w:customStyle="1" w:styleId="32">
    <w:name w:val="标题 2 Char"/>
    <w:basedOn w:val="19"/>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6"/>
    <w:qFormat/>
    <w:uiPriority w:val="9"/>
    <w:rPr>
      <w:rFonts w:ascii="Times New Roman" w:hAnsi="Times New Roman"/>
      <w:b/>
      <w:bCs/>
      <w:kern w:val="2"/>
      <w:sz w:val="32"/>
      <w:szCs w:val="32"/>
    </w:r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标题 2 字符"/>
    <w:basedOn w:val="19"/>
    <w:link w:val="5"/>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SUS-3\Desktop\&#20915;&#31639;\2023&#20915;&#31639;\&#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SUS-3\Desktop\&#20915;&#31639;\2023&#20915;&#31639;\&#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SUS-3\Desktop\&#20915;&#31639;\2023&#20915;&#31639;\&#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SUS-3\Desktop\&#20915;&#31639;\2023&#20915;&#31639;\&#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SUS-3\Desktop\&#20915;&#31639;\2023&#20915;&#31639;\&#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SUS-3\Desktop\&#20915;&#31639;\2023&#20915;&#31639;\&#2227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4037;&#20316;&#34920;%20&#22312;%20&#65288;&#23450;&#65289;2023&#24180;&#20116;&#28193;&#20013;&#23398;&#20915;&#31639;&#20844;&#24320;&#32534;&#21046;&#35828;&#26126;%20-.doc"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[图.xlsx]Sheet1!$B$2:$B$3</c:f>
              <c:strCache>
                <c:ptCount val="2"/>
                <c:pt idx="0">
                  <c:v>2023年</c:v>
                </c:pt>
                <c:pt idx="1">
                  <c:v>2024年</c:v>
                </c:pt>
              </c:strCache>
            </c:strRef>
          </c:cat>
          <c:val>
            <c:numRef>
              <c:f>[图.xlsx]Sheet1!$C$2:$C$3</c:f>
              <c:numCache>
                <c:formatCode>General"万""元"</c:formatCode>
                <c:ptCount val="2"/>
                <c:pt idx="0">
                  <c:v>19314.05</c:v>
                </c:pt>
                <c:pt idx="1">
                  <c:v>324.16</c:v>
                </c:pt>
              </c:numCache>
            </c:numRef>
          </c:val>
        </c:ser>
        <c:dLbls>
          <c:showLegendKey val="0"/>
          <c:showVal val="1"/>
          <c:showCatName val="0"/>
          <c:showSerName val="0"/>
          <c:showPercent val="0"/>
          <c:showBubbleSize val="0"/>
        </c:dLbls>
        <c:gapWidth val="219"/>
        <c:overlap val="-27"/>
        <c:axId val="343754706"/>
        <c:axId val="877367373"/>
      </c:barChart>
      <c:catAx>
        <c:axId val="3437547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7367373"/>
        <c:crosses val="autoZero"/>
        <c:auto val="1"/>
        <c:lblAlgn val="ctr"/>
        <c:lblOffset val="100"/>
        <c:noMultiLvlLbl val="0"/>
      </c:catAx>
      <c:valAx>
        <c:axId val="877367373"/>
        <c:scaling>
          <c:orientation val="minMax"/>
        </c:scaling>
        <c:delete val="0"/>
        <c:axPos val="l"/>
        <c:majorGridlines>
          <c:spPr>
            <a:ln w="9525" cap="flat" cmpd="sng" algn="ctr">
              <a:solidFill>
                <a:schemeClr val="tx1">
                  <a:lumMod val="15000"/>
                  <a:lumOff val="85000"/>
                </a:schemeClr>
              </a:solidFill>
              <a:round/>
            </a:ln>
            <a:effectLst/>
          </c:spPr>
        </c:majorGridlines>
        <c:numFmt formatCode="General&quot;万&quot;&quot;元&quot;"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547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957882f-d4fd-4141-a3fb-b195d7d4b36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manualLayout>
          <c:xMode val="edge"/>
          <c:yMode val="edge"/>
          <c:x val="0.386772499694712"/>
          <c:y val="0.0277777777777778"/>
        </c:manualLayout>
      </c:layout>
      <c:overlay val="0"/>
      <c:spPr>
        <a:noFill/>
        <a:ln>
          <a:noFill/>
        </a:ln>
        <a:effectLst/>
      </c:spPr>
    </c:title>
    <c:autoTitleDeleted val="0"/>
    <c:plotArea>
      <c:layout>
        <c:manualLayout>
          <c:layoutTarget val="inner"/>
          <c:xMode val="edge"/>
          <c:yMode val="edge"/>
          <c:x val="0.355774087190133"/>
          <c:y val="0.186657685167965"/>
          <c:w val="0.334052631578947"/>
          <c:h val="0.587685185185185"/>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[图.xlsx]Sheet3!$B$6:$B$7</c:f>
              <c:strCache>
                <c:ptCount val="2"/>
                <c:pt idx="0">
                  <c:v>一般公共预算财政拨款收入</c:v>
                </c:pt>
                <c:pt idx="1">
                  <c:v>政府性基金预算财政拨款收入</c:v>
                </c:pt>
              </c:strCache>
            </c:strRef>
          </c:cat>
          <c:val>
            <c:numRef>
              <c:f>[图.xlsx]Sheet3!$C$6:$C$7</c:f>
              <c:numCache>
                <c:formatCode>0.00%</c:formatCode>
                <c:ptCount val="2"/>
                <c:pt idx="0">
                  <c:v>0.896</c:v>
                </c:pt>
                <c:pt idx="1">
                  <c:v>0.104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165641561851263"/>
          <c:y val="0.80807976704619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274ace2-9fe8-4797-bf2b-436966db00b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[图.xlsx]Sheet3!$B$6:$B$7</c:f>
              <c:strCache>
                <c:ptCount val="2"/>
                <c:pt idx="0">
                  <c:v>基本支出</c:v>
                </c:pt>
                <c:pt idx="1">
                  <c:v>项目支出</c:v>
                </c:pt>
              </c:strCache>
            </c:strRef>
          </c:cat>
          <c:val>
            <c:numRef>
              <c:f>[图.xlsx]Sheet3!$C$6:$C$7</c:f>
              <c:numCache>
                <c:formatCode>0.00%</c:formatCode>
                <c:ptCount val="2"/>
                <c:pt idx="0">
                  <c:v>0.8344</c:v>
                </c:pt>
                <c:pt idx="1">
                  <c:v>0.1656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370460526315789"/>
          <c:y val="0.1428240740740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275033e-0993-4080-83f7-546074bf59f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[图.xlsx]Sheet1!$B$2:$B$3</c:f>
              <c:strCache>
                <c:ptCount val="2"/>
                <c:pt idx="0">
                  <c:v>2023年</c:v>
                </c:pt>
                <c:pt idx="1">
                  <c:v>2024年</c:v>
                </c:pt>
              </c:strCache>
            </c:strRef>
          </c:cat>
          <c:val>
            <c:numRef>
              <c:f>[图.xlsx]Sheet1!$C$2:$C$3</c:f>
              <c:numCache>
                <c:formatCode>General"万""元"</c:formatCode>
                <c:ptCount val="2"/>
                <c:pt idx="0">
                  <c:v>19314.05</c:v>
                </c:pt>
                <c:pt idx="1">
                  <c:v>324.16</c:v>
                </c:pt>
              </c:numCache>
            </c:numRef>
          </c:val>
        </c:ser>
        <c:dLbls>
          <c:showLegendKey val="0"/>
          <c:showVal val="1"/>
          <c:showCatName val="0"/>
          <c:showSerName val="0"/>
          <c:showPercent val="0"/>
          <c:showBubbleSize val="0"/>
        </c:dLbls>
        <c:gapWidth val="219"/>
        <c:overlap val="-27"/>
        <c:axId val="343754706"/>
        <c:axId val="877367373"/>
      </c:barChart>
      <c:catAx>
        <c:axId val="3437547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7367373"/>
        <c:crosses val="autoZero"/>
        <c:auto val="1"/>
        <c:lblAlgn val="ctr"/>
        <c:lblOffset val="100"/>
        <c:noMultiLvlLbl val="0"/>
      </c:catAx>
      <c:valAx>
        <c:axId val="877367373"/>
        <c:scaling>
          <c:orientation val="minMax"/>
        </c:scaling>
        <c:delete val="0"/>
        <c:axPos val="l"/>
        <c:majorGridlines>
          <c:spPr>
            <a:ln w="9525" cap="flat" cmpd="sng" algn="ctr">
              <a:solidFill>
                <a:schemeClr val="tx1">
                  <a:lumMod val="15000"/>
                  <a:lumOff val="85000"/>
                </a:schemeClr>
              </a:solidFill>
              <a:round/>
            </a:ln>
            <a:effectLst/>
          </c:spPr>
        </c:majorGridlines>
        <c:numFmt formatCode="General&quot;万&quot;&quot;元&quot;"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547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6f3dc85-1252-4341-979a-638614a633b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[图.xlsx]Sheet4!$B$6:$B$7</c:f>
              <c:strCache>
                <c:ptCount val="2"/>
                <c:pt idx="0">
                  <c:v>2023年</c:v>
                </c:pt>
                <c:pt idx="1">
                  <c:v>2024年</c:v>
                </c:pt>
              </c:strCache>
            </c:strRef>
          </c:cat>
          <c:val>
            <c:numRef>
              <c:f>[图.xlsx]Sheet4!$C$6:$C$7</c:f>
              <c:numCache>
                <c:formatCode>General"万""元"</c:formatCode>
                <c:ptCount val="2"/>
                <c:pt idx="0">
                  <c:v>228.54</c:v>
                </c:pt>
                <c:pt idx="1">
                  <c:v>290.46</c:v>
                </c:pt>
              </c:numCache>
            </c:numRef>
          </c:val>
        </c:ser>
        <c:dLbls>
          <c:showLegendKey val="0"/>
          <c:showVal val="1"/>
          <c:showCatName val="0"/>
          <c:showSerName val="0"/>
          <c:showPercent val="0"/>
          <c:showBubbleSize val="0"/>
        </c:dLbls>
        <c:gapWidth val="246"/>
        <c:overlap val="-28"/>
        <c:axId val="451373288"/>
        <c:axId val="196722019"/>
      </c:barChart>
      <c:catAx>
        <c:axId val="4513732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722019"/>
        <c:crosses val="autoZero"/>
        <c:auto val="1"/>
        <c:lblAlgn val="ctr"/>
        <c:lblOffset val="100"/>
        <c:noMultiLvlLbl val="0"/>
      </c:catAx>
      <c:valAx>
        <c:axId val="196722019"/>
        <c:scaling>
          <c:orientation val="minMax"/>
        </c:scaling>
        <c:delete val="0"/>
        <c:axPos val="l"/>
        <c:majorGridlines>
          <c:spPr>
            <a:ln w="9525" cap="flat" cmpd="sng" algn="ctr">
              <a:solidFill>
                <a:schemeClr val="bg1">
                  <a:lumMod val="90200"/>
                </a:schemeClr>
              </a:solidFill>
              <a:round/>
            </a:ln>
            <a:effectLst/>
          </c:spPr>
        </c:majorGridlines>
        <c:numFmt formatCode="General&quot;万&quot;&quot;元&quot;"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3732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d12fe4e-f248-4b5c-9b1b-ee763a974f8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2"/>
              <c:layout>
                <c:manualLayout>
                  <c:x val="-0.00817888653792106"/>
                  <c:y val="0.0028221306864754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[图.xlsx]Sheet5!$C$7:$C$10</c:f>
              <c:strCache>
                <c:ptCount val="4"/>
                <c:pt idx="0">
                  <c:v>一般公共服务支出</c:v>
                </c:pt>
                <c:pt idx="1">
                  <c:v>社会保障就业支出</c:v>
                </c:pt>
                <c:pt idx="2">
                  <c:v>卫生健康支出</c:v>
                </c:pt>
                <c:pt idx="3">
                  <c:v>住房保障支出</c:v>
                </c:pt>
              </c:strCache>
            </c:strRef>
          </c:cat>
          <c:val>
            <c:numRef>
              <c:f>[图.xlsx]Sheet5!$D$7:$D$10</c:f>
              <c:numCache>
                <c:formatCode>0.00%</c:formatCode>
                <c:ptCount val="4"/>
                <c:pt idx="0">
                  <c:v>0.7797</c:v>
                </c:pt>
                <c:pt idx="1">
                  <c:v>0.1301</c:v>
                </c:pt>
                <c:pt idx="2">
                  <c:v>0.023</c:v>
                </c:pt>
                <c:pt idx="3">
                  <c:v>0.0672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1d1aabe-9170-477c-8b2d-8862f72ce0e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'[工作表 在 （定）2023年五渡中学决算公开编制说明 -.doc]Sheet1'!$B$1</c:f>
              <c:strCache>
                <c:ptCount val="1"/>
                <c:pt idx="0">
                  <c:v>列1</c:v>
                </c:pt>
              </c:strCache>
            </c:strRef>
          </c:tx>
          <c:explosion val="0"/>
          <c:dPt>
            <c:idx val="0"/>
            <c:bubble3D val="0"/>
            <c:explosion val="0"/>
            <c:spPr>
              <a:solidFill>
                <a:srgbClr val="4F81BD"/>
              </a:solidFill>
              <a:ln w="19050">
                <a:solidFill>
                  <a:srgbClr val="FFFFFF"/>
                </a:solidFill>
              </a:ln>
              <a:effectLst/>
            </c:spPr>
          </c:dPt>
          <c:dPt>
            <c:idx val="1"/>
            <c:bubble3D val="0"/>
            <c:explosion val="0"/>
            <c:spPr>
              <a:solidFill>
                <a:srgbClr val="C0504D"/>
              </a:solidFill>
              <a:ln w="19050">
                <a:solidFill>
                  <a:srgbClr val="FFFFFF"/>
                </a:solidFill>
              </a:ln>
              <a:effectLst/>
            </c:spPr>
          </c:dPt>
          <c:dPt>
            <c:idx val="2"/>
            <c:bubble3D val="0"/>
            <c:explosion val="0"/>
            <c:spPr>
              <a:solidFill>
                <a:srgbClr val="9BBB59"/>
              </a:solidFill>
              <a:ln w="19050">
                <a:solidFill>
                  <a:srgbClr val="FFFFFF"/>
                </a:solidFill>
              </a:ln>
              <a:effectLst/>
            </c:spPr>
          </c:dPt>
          <c:dLbls>
            <c:dLbl>
              <c:idx val="0"/>
              <c:layout>
                <c:manualLayout>
                  <c:x val="0.0883960279315258"/>
                  <c:y val="0.0236309205494108"/>
                </c:manualLayout>
              </c:layout>
              <c:numFmt formatCode="0.00%"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8576350210888"/>
                  <c:y val="-0.130976404279004"/>
                </c:manualLayout>
              </c:layout>
              <c:numFmt formatCode="0.00%"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127391052161585"/>
                  <c:y val="0.055302931436135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0%</a:t>
                    </a:r>
                    <a:endParaRPr lang="zh-CN" sz="900" b="0" i="0" u="none" strike="noStrike" kern="1200" baseline="0">
                      <a:solidFill>
                        <a:srgbClr val="404040">
                          <a:lumMod val="75000"/>
                          <a:lumOff val="25000"/>
                        </a:srgbClr>
                      </a:solidFill>
                      <a:latin typeface="+mn-lt"/>
                      <a:ea typeface="+mn-ea"/>
                      <a:cs typeface="+mn-cs"/>
                    </a:endParaRPr>
                  </a:p>
                </c:rich>
              </c:tx>
              <c:numFmt formatCode="0.00%"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[4c40223c1]Sheet1!$A$2:$A$4</c:f>
              <c:strCache>
                <c:ptCount val="3"/>
                <c:pt idx="0">
                  <c:v>因公出国费</c:v>
                </c:pt>
                <c:pt idx="1">
                  <c:v>公务用车购置及运行维护费</c:v>
                </c:pt>
                <c:pt idx="2">
                  <c:v>公务接待费</c:v>
                </c:pt>
              </c:strCache>
            </c:strRef>
          </c:cat>
          <c:val>
            <c:numRef>
              <c:f>[4c40223c1]Sheet1!$B$2:$B$4</c:f>
              <c:numCache>
                <c:formatCode>General</c:formatCode>
                <c:ptCount val="3"/>
                <c:pt idx="0">
                  <c:v>0</c:v>
                </c:pt>
                <c:pt idx="1">
                  <c:v>0</c:v>
                </c:pt>
                <c:pt idx="2">
                  <c:v>0.19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418bf57f-53ac-4d72-91d6-91ed28174492}"/>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94b75-ab0c-4eee-a22d-a446e2c6267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9257</Words>
  <Characters>11169</Characters>
  <Lines>61</Lines>
  <Paragraphs>17</Paragraphs>
  <TotalTime>74</TotalTime>
  <ScaleCrop>false</ScaleCrop>
  <LinksUpToDate>false</LinksUpToDate>
  <CharactersWithSpaces>11242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2025-10-29T06:36:00Z</cp:lastPrinted>
  <dcterms:modified xsi:type="dcterms:W3CDTF">2025-12-01T01:32:38Z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7855715FA12A4031A473F0472A6E6FCF</vt:lpwstr>
  </property>
  <property fmtid="{D5CDD505-2E9C-101B-9397-08002B2CF9AE}" pid="4" name="KSOTemplateDocerSaveRecord">
    <vt:lpwstr>eyJoZGlkIjoiNzI2ZGI0OGUzMDAzMzk0YmE1OTYyMDVlZGMwMmYyODYiLCJ1c2VySWQiOiIxMTM5NjM2MTk5In0=</vt:lpwstr>
  </property>
</Properties>
</file>