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1F7B">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04EA0DAE">
      <w:pPr>
        <w:tabs>
          <w:tab w:val="left" w:pos="1440"/>
        </w:tabs>
        <w:spacing w:line="600" w:lineRule="exact"/>
        <w:rPr>
          <w:rFonts w:ascii="宋体" w:hAnsi="宋体" w:eastAsia="宋体"/>
          <w:sz w:val="30"/>
          <w:szCs w:val="30"/>
        </w:rPr>
      </w:pPr>
    </w:p>
    <w:p w14:paraId="38FF2E3E">
      <w:pPr>
        <w:pStyle w:val="1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峨边彝族自治县核桃坪产业园区及基础设施建设项目支出绩效自评报告</w:t>
      </w:r>
    </w:p>
    <w:p w14:paraId="1498F394">
      <w:pPr>
        <w:pStyle w:val="10"/>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6FB0B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4D6C69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en-US" w:eastAsia="zh-CN"/>
        </w:rPr>
        <w:t>项目具体内容为</w:t>
      </w:r>
      <w:r>
        <w:rPr>
          <w:rFonts w:hint="eastAsia" w:ascii="仿宋_GB2312" w:hAnsi="宋体"/>
          <w:lang w:val="zh-CN"/>
        </w:rPr>
        <w:t>新建研发用房25000平方米，辅助用房20000平方米，人才基地20000平方米，企业研发厂房及附属设施30000平方米，停车场4500平方米，配套安装充电桩，配套园区管网、道路等其他基础设施。</w:t>
      </w:r>
    </w:p>
    <w:p w14:paraId="417C254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en-US" w:eastAsia="zh-CN"/>
        </w:rPr>
        <w:t>根据县委、县政府工作安排，为保障</w:t>
      </w:r>
      <w:r>
        <w:rPr>
          <w:rFonts w:hint="eastAsia" w:ascii="仿宋_GB2312" w:hAnsi="宋体" w:cs="Times New Roman"/>
          <w:lang w:val="en-US" w:eastAsia="zh-CN"/>
        </w:rPr>
        <w:t>核桃坪产业园区及基础设施建设，由县工投公司为项目业主，我单位为主管部门申请专项债</w:t>
      </w:r>
      <w:r>
        <w:rPr>
          <w:rFonts w:hint="eastAsia" w:ascii="仿宋_GB2312" w:hAnsi="宋体"/>
          <w:lang w:val="en-US" w:eastAsia="zh-CN"/>
        </w:rPr>
        <w:t>开展项目建设，待批复后执行</w:t>
      </w:r>
      <w:r>
        <w:rPr>
          <w:rFonts w:hint="eastAsia" w:ascii="仿宋_GB2312" w:hAnsi="宋体"/>
          <w:lang w:val="zh-CN"/>
        </w:rPr>
        <w:t>。</w:t>
      </w:r>
    </w:p>
    <w:p w14:paraId="25BB8E7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楷体_GB2312"/>
          <w:lang w:val="en-US" w:eastAsia="zh-CN"/>
        </w:rPr>
      </w:pPr>
      <w:r>
        <w:rPr>
          <w:rFonts w:hint="eastAsia" w:ascii="楷体_GB2312" w:hAnsi="宋体" w:eastAsia="楷体_GB2312"/>
          <w:b/>
          <w:lang w:val="zh-CN"/>
        </w:rPr>
        <w:t>（二）项目绩效目标。</w:t>
      </w:r>
      <w:r>
        <w:rPr>
          <w:rFonts w:hint="eastAsia" w:ascii="仿宋_GB2312" w:hAnsi="宋体" w:cs="Times New Roman"/>
          <w:lang w:val="en-US" w:eastAsia="zh-CN"/>
        </w:rPr>
        <w:t>项目总体目标为保障核桃坪产业园区及基础设施建设。细化目标为建设研发用房25000平方米，停车场4500平方米，截至目前均按期完成。</w:t>
      </w:r>
    </w:p>
    <w:p w14:paraId="2F58E6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仿宋_GB2312" w:eastAsia="仿宋_GB2312" w:cs="仿宋_GB2312"/>
          <w:sz w:val="32"/>
          <w:szCs w:val="32"/>
        </w:rPr>
        <w:t>项目评价申报内容与实际相符，申报目标切实可行。</w:t>
      </w:r>
    </w:p>
    <w:p w14:paraId="7BC0DD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0A14490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02A49D65">
      <w:pPr>
        <w:adjustRightInd w:val="0"/>
        <w:snapToGrid w:val="0"/>
        <w:spacing w:line="600" w:lineRule="exact"/>
        <w:ind w:firstLine="640" w:firstLineChars="200"/>
        <w:rPr>
          <w:rFonts w:ascii="仿宋_GB2312" w:hAnsi="宋体"/>
          <w:lang w:val="zh-CN"/>
        </w:rPr>
      </w:pPr>
      <w:r>
        <w:rPr>
          <w:rFonts w:hint="eastAsia" w:ascii="楷体_GB2312" w:hAnsi="宋体" w:eastAsia="楷体_GB2312"/>
          <w:lang w:val="zh-CN"/>
        </w:rPr>
        <w:t>1．资金计划及到位。</w:t>
      </w:r>
      <w:r>
        <w:rPr>
          <w:rFonts w:hint="eastAsia" w:ascii="仿宋_GB2312" w:hAnsi="仿宋_GB2312" w:eastAsia="仿宋_GB2312" w:cs="仿宋_GB2312"/>
          <w:sz w:val="32"/>
          <w:szCs w:val="32"/>
          <w:lang w:val="zh-CN"/>
        </w:rPr>
        <w:t>项目资金</w:t>
      </w:r>
      <w:r>
        <w:rPr>
          <w:rFonts w:hint="eastAsia" w:ascii="仿宋_GB2312" w:hAnsi="仿宋_GB2312" w:cs="仿宋_GB2312"/>
          <w:sz w:val="32"/>
          <w:szCs w:val="32"/>
          <w:lang w:val="zh-CN"/>
        </w:rPr>
        <w:t>来源主要</w:t>
      </w:r>
      <w:r>
        <w:rPr>
          <w:rFonts w:hint="eastAsia" w:ascii="仿宋_GB2312" w:hAnsi="仿宋_GB2312" w:eastAsia="仿宋_GB2312" w:cs="仿宋_GB2312"/>
          <w:sz w:val="32"/>
          <w:szCs w:val="32"/>
          <w:lang w:val="zh-CN"/>
        </w:rPr>
        <w:t>通过本单位年初</w:t>
      </w:r>
      <w:r>
        <w:rPr>
          <w:rFonts w:hint="eastAsia" w:ascii="仿宋_GB2312" w:hAnsi="仿宋_GB2312" w:cs="仿宋_GB2312"/>
          <w:sz w:val="32"/>
          <w:szCs w:val="32"/>
          <w:lang w:val="en-US" w:eastAsia="zh-CN"/>
        </w:rPr>
        <w:t>申报的专项债</w:t>
      </w:r>
      <w:r>
        <w:rPr>
          <w:rFonts w:hint="eastAsia" w:ascii="仿宋_GB2312" w:hAnsi="仿宋_GB2312" w:cs="仿宋_GB2312"/>
          <w:sz w:val="32"/>
          <w:szCs w:val="32"/>
          <w:lang w:val="zh-CN"/>
        </w:rPr>
        <w:t>，</w:t>
      </w:r>
      <w:r>
        <w:rPr>
          <w:rFonts w:hint="eastAsia" w:ascii="仿宋_GB2312" w:hAnsi="仿宋_GB2312" w:cs="仿宋_GB2312"/>
          <w:sz w:val="32"/>
          <w:szCs w:val="32"/>
          <w:lang w:val="en-US" w:eastAsia="zh-CN"/>
        </w:rPr>
        <w:t>待审核通过后</w:t>
      </w:r>
      <w:r>
        <w:rPr>
          <w:rFonts w:hint="eastAsia" w:ascii="仿宋_GB2312" w:hAnsi="仿宋_GB2312" w:eastAsia="仿宋_GB2312" w:cs="仿宋_GB2312"/>
          <w:sz w:val="32"/>
          <w:szCs w:val="32"/>
          <w:lang w:val="zh-CN"/>
        </w:rPr>
        <w:t>由</w:t>
      </w:r>
      <w:r>
        <w:rPr>
          <w:rFonts w:hint="eastAsia" w:ascii="仿宋_GB2312" w:hAnsi="仿宋_GB2312" w:cs="仿宋_GB2312"/>
          <w:sz w:val="32"/>
          <w:szCs w:val="32"/>
          <w:lang w:val="zh-CN"/>
        </w:rPr>
        <w:t>县级</w:t>
      </w:r>
      <w:r>
        <w:rPr>
          <w:rFonts w:hint="eastAsia" w:ascii="仿宋_GB2312" w:hAnsi="仿宋_GB2312" w:eastAsia="仿宋_GB2312" w:cs="仿宋_GB2312"/>
          <w:sz w:val="32"/>
          <w:szCs w:val="32"/>
          <w:lang w:val="zh-CN"/>
        </w:rPr>
        <w:t>财政统一</w:t>
      </w:r>
      <w:r>
        <w:rPr>
          <w:rFonts w:hint="eastAsia" w:ascii="仿宋_GB2312" w:hAnsi="仿宋_GB2312" w:cs="仿宋_GB2312"/>
          <w:sz w:val="32"/>
          <w:szCs w:val="32"/>
          <w:lang w:val="en-US" w:eastAsia="zh-CN"/>
        </w:rPr>
        <w:t>划拨</w:t>
      </w:r>
      <w:r>
        <w:rPr>
          <w:rFonts w:hint="eastAsia" w:ascii="仿宋_GB2312" w:hAnsi="仿宋_GB2312" w:eastAsia="仿宋_GB2312" w:cs="仿宋_GB2312"/>
          <w:sz w:val="32"/>
          <w:szCs w:val="32"/>
          <w:lang w:val="zh-CN"/>
        </w:rPr>
        <w:t>资金</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rPr>
        <w:t>年初预算资金为</w:t>
      </w:r>
      <w:r>
        <w:rPr>
          <w:rFonts w:hint="eastAsia" w:ascii="仿宋_GB2312" w:hAnsi="仿宋_GB2312" w:cs="仿宋_GB2312"/>
          <w:sz w:val="32"/>
          <w:szCs w:val="32"/>
          <w:lang w:val="en-US" w:eastAsia="zh-CN"/>
        </w:rPr>
        <w:t>25500</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后期调整为19100万元</w:t>
      </w:r>
      <w:r>
        <w:rPr>
          <w:rFonts w:hint="eastAsia" w:ascii="仿宋_GB2312" w:hAnsi="仿宋_GB2312" w:eastAsia="仿宋_GB2312" w:cs="仿宋_GB2312"/>
          <w:sz w:val="32"/>
          <w:szCs w:val="32"/>
          <w:lang w:val="zh-CN"/>
        </w:rPr>
        <w:t>。</w:t>
      </w:r>
      <w:r>
        <w:rPr>
          <w:rFonts w:hint="eastAsia" w:ascii="仿宋_GB2312" w:hAnsi="仿宋_GB2312" w:cs="仿宋_GB2312"/>
          <w:sz w:val="32"/>
          <w:szCs w:val="32"/>
          <w:lang w:val="zh-CN"/>
        </w:rPr>
        <w:t>根据</w:t>
      </w:r>
      <w:r>
        <w:rPr>
          <w:rFonts w:hint="eastAsia" w:ascii="仿宋_GB2312" w:hAnsi="仿宋_GB2312" w:cs="仿宋_GB2312"/>
          <w:sz w:val="32"/>
          <w:szCs w:val="32"/>
          <w:lang w:val="en-US" w:eastAsia="zh-CN"/>
        </w:rPr>
        <w:t>专项债管理办法存入专项账户，按</w:t>
      </w:r>
      <w:r>
        <w:rPr>
          <w:rFonts w:hint="eastAsia" w:ascii="仿宋_GB2312" w:hAnsi="仿宋_GB2312" w:cs="仿宋_GB2312"/>
          <w:sz w:val="32"/>
          <w:szCs w:val="32"/>
          <w:lang w:val="zh-CN"/>
        </w:rPr>
        <w:t>项目实施进度</w:t>
      </w:r>
      <w:r>
        <w:rPr>
          <w:rFonts w:hint="eastAsia" w:ascii="仿宋_GB2312" w:hAnsi="仿宋_GB2312" w:eastAsia="仿宋_GB2312" w:cs="仿宋_GB2312"/>
          <w:sz w:val="32"/>
          <w:szCs w:val="32"/>
          <w:lang w:val="zh-CN"/>
        </w:rPr>
        <w:t>，通过申请由县财政拨付项目资金。</w:t>
      </w:r>
    </w:p>
    <w:p w14:paraId="2590660A">
      <w:pPr>
        <w:adjustRightInd w:val="0"/>
        <w:snapToGrid w:val="0"/>
        <w:spacing w:line="600" w:lineRule="exact"/>
        <w:ind w:firstLine="640" w:firstLineChars="200"/>
        <w:rPr>
          <w:rFonts w:ascii="仿宋_GB2312" w:hAnsi="宋体"/>
          <w:lang w:val="zh-CN"/>
        </w:rPr>
      </w:pPr>
      <w:r>
        <w:rPr>
          <w:rFonts w:hint="eastAsia" w:ascii="楷体_GB2312" w:hAnsi="宋体" w:eastAsia="楷体_GB2312"/>
          <w:lang w:val="zh-CN"/>
        </w:rPr>
        <w:t>2．资金使用。</w:t>
      </w:r>
      <w:r>
        <w:rPr>
          <w:rFonts w:hint="eastAsia" w:ascii="仿宋_GB2312" w:hAnsi="仿宋_GB2312" w:eastAsia="仿宋_GB2312" w:cs="仿宋_GB2312"/>
          <w:sz w:val="32"/>
          <w:szCs w:val="32"/>
          <w:lang w:val="en-US" w:eastAsia="zh-CN"/>
        </w:rPr>
        <w:t>按照完成情况，按进度支付款项，</w:t>
      </w:r>
      <w:r>
        <w:rPr>
          <w:rFonts w:hint="eastAsia" w:ascii="仿宋_GB2312" w:hAnsi="仿宋_GB2312" w:eastAsia="仿宋_GB2312" w:cs="仿宋_GB2312"/>
          <w:sz w:val="32"/>
          <w:szCs w:val="32"/>
          <w:lang w:val="zh-CN"/>
        </w:rPr>
        <w:t>项目资金达到专款专</w:t>
      </w:r>
      <w:r>
        <w:rPr>
          <w:rFonts w:hint="eastAsia" w:ascii="仿宋_GB2312" w:hAnsi="仿宋_GB2312" w:cs="仿宋_GB2312"/>
          <w:sz w:val="32"/>
          <w:szCs w:val="32"/>
          <w:lang w:val="en-US" w:eastAsia="zh-CN"/>
        </w:rPr>
        <w:t>用</w:t>
      </w:r>
      <w:r>
        <w:rPr>
          <w:rFonts w:hint="eastAsia" w:ascii="仿宋_GB2312" w:hAnsi="仿宋_GB2312" w:eastAsia="仿宋_GB2312" w:cs="仿宋_GB2312"/>
          <w:sz w:val="32"/>
          <w:szCs w:val="32"/>
          <w:lang w:val="zh-CN"/>
        </w:rPr>
        <w:t>合理支付</w:t>
      </w:r>
      <w:r>
        <w:rPr>
          <w:rFonts w:hint="eastAsia" w:ascii="仿宋_GB2312" w:hAnsi="仿宋_GB2312" w:eastAsia="仿宋_GB2312" w:cs="仿宋_GB2312"/>
          <w:sz w:val="32"/>
          <w:szCs w:val="32"/>
          <w:lang w:val="zh-CN" w:eastAsia="zh-CN"/>
        </w:rPr>
        <w:t>。</w:t>
      </w:r>
    </w:p>
    <w:p w14:paraId="20F81A7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01F2CD29">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我单位一直以来结合工作实际在不断完善财务管理制度，逐步建立健全财务管理制度，并严格执行财务管理制度，做到账务处理准确、及时，会计核算规范等。</w:t>
      </w:r>
    </w:p>
    <w:p w14:paraId="2E9CBC6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115BEE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仿宋_GB2312" w:cs="仿宋_GB2312"/>
          <w:sz w:val="32"/>
          <w:szCs w:val="32"/>
          <w:lang w:val="en-US" w:eastAsia="zh-CN"/>
        </w:rPr>
        <w:t>按照项目建设进度，业主单位主要负责人审核上报，主管部门和财政复核后支付相关款项。</w:t>
      </w:r>
    </w:p>
    <w:p w14:paraId="149420F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03788BF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782D2F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仿宋_GB2312" w:eastAsia="仿宋_GB2312" w:cs="仿宋_GB2312"/>
          <w:sz w:val="32"/>
          <w:szCs w:val="32"/>
          <w:lang w:val="zh-CN"/>
        </w:rPr>
        <w:t>1工程桩943根、支护桩188根；塔吊桩12根全部完成；2承台总数286个，开挖完成138个；钢筋绑扎完成118个；砼浇筑完成110个；3完成4台塔吊基础及设备进场安装；南侧临时进场道路路基铺设工作；4桩基础静载检测已完成，设备退场完成；5支护桩开挖完成155根；桩头破除155根；冠梁完成40米（全长268米）；6完成2区一层柱、二层梁板砼浇筑完成；二层柱、屋面梁板砼浇筑；合计3200m²</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7完成1区二层柱、屋面梁、板砼浇筑（1800m²）；8完成9区一层柱、二层梁砼浇筑（3500m²）；9完成钢柱进</w:t>
      </w:r>
      <w:r>
        <w:rPr>
          <w:rFonts w:hint="eastAsia" w:ascii="仿宋_GB2312" w:hAnsi="宋体"/>
          <w:lang w:val="zh-CN"/>
        </w:rPr>
        <w:t>场18根；安装完成15根。</w:t>
      </w:r>
    </w:p>
    <w:p w14:paraId="6F4FC3A3">
      <w:pPr>
        <w:bidi w:val="0"/>
        <w:ind w:firstLine="643" w:firstLineChars="200"/>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cs="Times New Roman"/>
          <w:lang w:val="en-US" w:eastAsia="zh-CN"/>
        </w:rPr>
        <w:t>对峨边彝族自治县产业园及基础</w:t>
      </w:r>
      <w:r>
        <w:rPr>
          <w:rFonts w:hint="eastAsia" w:ascii="仿宋_GB2312" w:hAnsi="宋体" w:cs="Times New Roman"/>
          <w:lang w:val="zh-CN"/>
        </w:rPr>
        <w:t>设施不断完善、发展</w:t>
      </w:r>
      <w:r>
        <w:rPr>
          <w:rFonts w:hint="eastAsia" w:ascii="仿宋_GB2312" w:hAnsi="宋体" w:cs="Times New Roman"/>
          <w:lang w:val="en-US" w:eastAsia="zh-CN"/>
        </w:rPr>
        <w:t>起到了促进作用</w:t>
      </w:r>
      <w:r>
        <w:rPr>
          <w:rFonts w:hint="eastAsia" w:ascii="仿宋_GB2312" w:hAnsi="宋体" w:cs="Times New Roman"/>
          <w:lang w:val="zh-CN"/>
        </w:rPr>
        <w:t>。项目建设具有较好的社会</w:t>
      </w:r>
      <w:r>
        <w:rPr>
          <w:rFonts w:hint="eastAsia" w:ascii="仿宋_GB2312" w:hAnsi="宋体" w:cs="Times New Roman"/>
          <w:lang w:val="en-US" w:eastAsia="zh-CN"/>
        </w:rPr>
        <w:t>经济生态</w:t>
      </w:r>
      <w:r>
        <w:rPr>
          <w:rFonts w:hint="eastAsia" w:ascii="仿宋_GB2312" w:hAnsi="宋体" w:cs="Times New Roman"/>
          <w:lang w:val="zh-CN"/>
        </w:rPr>
        <w:t>效益。项目的实施，将能够不断促进峨边彝族自治县</w:t>
      </w:r>
      <w:bookmarkStart w:id="0" w:name="_GoBack"/>
      <w:bookmarkEnd w:id="0"/>
      <w:r>
        <w:rPr>
          <w:rFonts w:hint="eastAsia" w:ascii="仿宋_GB2312" w:hAnsi="宋体" w:cs="Times New Roman"/>
          <w:lang w:val="en-US" w:eastAsia="zh-CN"/>
        </w:rPr>
        <w:t>绿色工业</w:t>
      </w:r>
      <w:r>
        <w:rPr>
          <w:rFonts w:hint="eastAsia" w:ascii="仿宋_GB2312" w:hAnsi="宋体" w:cs="Times New Roman"/>
          <w:lang w:val="zh-CN"/>
        </w:rPr>
        <w:t>的</w:t>
      </w:r>
      <w:r>
        <w:rPr>
          <w:rFonts w:hint="eastAsia" w:ascii="仿宋_GB2312" w:hAnsi="宋体" w:cs="Times New Roman"/>
          <w:lang w:val="en-US" w:eastAsia="zh-CN"/>
        </w:rPr>
        <w:t>发展</w:t>
      </w:r>
      <w:r>
        <w:rPr>
          <w:rFonts w:hint="eastAsia" w:ascii="仿宋_GB2312" w:hAnsi="宋体" w:cs="Times New Roman"/>
          <w:lang w:val="zh-CN"/>
        </w:rPr>
        <w:t>，使得</w:t>
      </w:r>
      <w:r>
        <w:rPr>
          <w:rFonts w:hint="eastAsia" w:ascii="仿宋_GB2312" w:hAnsi="宋体" w:cs="Times New Roman"/>
          <w:lang w:val="en-US" w:eastAsia="zh-CN"/>
        </w:rPr>
        <w:t>绿色工业富县的目标</w:t>
      </w:r>
      <w:r>
        <w:rPr>
          <w:rFonts w:hint="eastAsia" w:ascii="仿宋_GB2312" w:hAnsi="宋体" w:cs="Times New Roman"/>
          <w:lang w:val="zh-CN"/>
        </w:rPr>
        <w:t>更加</w:t>
      </w:r>
      <w:r>
        <w:rPr>
          <w:rFonts w:hint="eastAsia" w:ascii="仿宋_GB2312" w:hAnsi="宋体" w:cs="Times New Roman"/>
          <w:lang w:val="en-US" w:eastAsia="zh-CN"/>
        </w:rPr>
        <w:t>落地做实</w:t>
      </w:r>
      <w:r>
        <w:rPr>
          <w:rFonts w:hint="eastAsia" w:ascii="仿宋_GB2312" w:hAnsi="宋体" w:cs="Times New Roman"/>
          <w:lang w:val="zh-CN"/>
        </w:rPr>
        <w:t>，对构建社会主义和谐社会具有重要意义。</w:t>
      </w:r>
    </w:p>
    <w:p w14:paraId="6557B6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7F2372D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38785295">
      <w:pPr>
        <w:adjustRightInd w:val="0"/>
        <w:snapToGrid w:val="0"/>
        <w:spacing w:line="600" w:lineRule="exact"/>
        <w:ind w:firstLine="720"/>
        <w:rPr>
          <w:rFonts w:hint="eastAsia" w:ascii="Times New Roman" w:hAnsi="Times New Roman" w:cs="Times New Roman"/>
          <w:lang w:val="en-US" w:eastAsia="zh-CN"/>
        </w:rPr>
      </w:pPr>
      <w:r>
        <w:rPr>
          <w:rFonts w:hint="eastAsia" w:ascii="Times New Roman" w:hAnsi="Times New Roman" w:cs="Times New Roman"/>
          <w:lang w:val="en-US" w:eastAsia="zh-CN"/>
        </w:rPr>
        <w:t>无</w:t>
      </w:r>
    </w:p>
    <w:p w14:paraId="69E61E9D">
      <w:pPr>
        <w:pStyle w:val="7"/>
        <w:rPr>
          <w:rFonts w:hint="eastAsia"/>
          <w:lang w:val="en-US" w:eastAsia="zh-CN"/>
        </w:rPr>
      </w:pPr>
    </w:p>
    <w:p w14:paraId="4C9803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p>
    <w:p w14:paraId="3CCBD09F">
      <w:pPr>
        <w:adjustRightInd w:val="0"/>
        <w:snapToGrid w:val="0"/>
        <w:spacing w:line="600" w:lineRule="exact"/>
        <w:ind w:firstLine="720"/>
        <w:rPr>
          <w:rFonts w:hint="eastAsia" w:eastAsia="仿宋_GB2312"/>
          <w:lang w:val="en-US" w:eastAsia="zh-CN"/>
        </w:rPr>
      </w:pPr>
      <w:r>
        <w:rPr>
          <w:rFonts w:hint="eastAsia"/>
          <w:lang w:val="en-US" w:eastAsia="zh-CN"/>
        </w:rPr>
        <w:t>无</w:t>
      </w:r>
    </w:p>
    <w:p w14:paraId="66E7ECCF">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B42415-E36F-461C-8791-39D6561F3F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65FFF7A-816E-4E1A-8890-EFBDE97DA40A}"/>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ADB1E1F8-CE5D-4064-9A71-924B24639A75}"/>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D2C20042-3649-4AA2-AED7-CF6617E79DC0}"/>
  </w:font>
  <w:font w:name="楷体_GB2312">
    <w:panose1 w:val="02010609030101010101"/>
    <w:charset w:val="86"/>
    <w:family w:val="modern"/>
    <w:pitch w:val="default"/>
    <w:sig w:usb0="00000001" w:usb1="080E0000" w:usb2="00000000" w:usb3="00000000" w:csb0="00040000" w:csb1="00000000"/>
    <w:embedRegular r:id="rId5" w:fontKey="{50F5D7D4-7D03-478B-912E-F17C9F22CD0E}"/>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D466608"/>
    <w:rsid w:val="0D850CC5"/>
    <w:rsid w:val="13722809"/>
    <w:rsid w:val="19B536B9"/>
    <w:rsid w:val="1E0A5785"/>
    <w:rsid w:val="291C455A"/>
    <w:rsid w:val="2A502512"/>
    <w:rsid w:val="2A564591"/>
    <w:rsid w:val="36926D0C"/>
    <w:rsid w:val="414A628B"/>
    <w:rsid w:val="41875C29"/>
    <w:rsid w:val="539454CB"/>
    <w:rsid w:val="53F76EA2"/>
    <w:rsid w:val="58C072AF"/>
    <w:rsid w:val="5FF3634E"/>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spacing w:after="120" w:line="480" w:lineRule="auto"/>
    </w:pPr>
    <w:rPr>
      <w:szCs w:val="20"/>
    </w:rPr>
  </w:style>
  <w:style w:type="paragraph" w:styleId="7">
    <w:name w:val="Title"/>
    <w:basedOn w:val="1"/>
    <w:next w:val="1"/>
    <w:qFormat/>
    <w:uiPriority w:val="0"/>
    <w:pPr>
      <w:spacing w:before="240" w:after="60" w:line="320" w:lineRule="atLeast"/>
      <w:ind w:firstLine="200" w:firstLineChars="200"/>
      <w:outlineLvl w:val="0"/>
    </w:pPr>
    <w:rPr>
      <w:rFonts w:ascii="Cambria" w:hAnsi="Cambria" w:eastAsia="黑体"/>
      <w:bCs/>
      <w:sz w:val="32"/>
      <w:szCs w:val="32"/>
    </w:rPr>
  </w:style>
  <w:style w:type="paragraph" w:customStyle="1" w:styleId="10">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1016</Words>
  <Characters>1090</Characters>
  <Lines>9</Lines>
  <Paragraphs>2</Paragraphs>
  <TotalTime>1</TotalTime>
  <ScaleCrop>false</ScaleCrop>
  <LinksUpToDate>false</LinksUpToDate>
  <CharactersWithSpaces>1092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2024-10-22T01:43:29Z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2295F6004E7C4908A6170C90E5C595B7</vt:lpwstr>
  </property>
</Properties>
</file>