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1F7B">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04EA0DAE">
      <w:pPr>
        <w:tabs>
          <w:tab w:val="left" w:pos="1440"/>
        </w:tabs>
        <w:spacing w:line="600" w:lineRule="exact"/>
        <w:rPr>
          <w:rFonts w:ascii="宋体" w:hAnsi="宋体" w:eastAsia="宋体"/>
          <w:sz w:val="30"/>
          <w:szCs w:val="30"/>
        </w:rPr>
      </w:pPr>
    </w:p>
    <w:p w14:paraId="38FF2E3E">
      <w:pPr>
        <w:pStyle w:val="1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产城融合串珠发展示范区重大项目暨产业绿色振兴</w:t>
      </w:r>
      <w:r>
        <w:rPr>
          <w:rFonts w:hint="eastAsia" w:ascii="方正小标宋简体" w:hAnsi="宋体" w:eastAsia="方正小标宋简体"/>
          <w:sz w:val="44"/>
          <w:szCs w:val="44"/>
        </w:rPr>
        <w:t>项目支出绩效自评报告</w:t>
      </w:r>
    </w:p>
    <w:p w14:paraId="1498F394">
      <w:pPr>
        <w:pStyle w:val="10"/>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76FB0B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4D6C69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en-US" w:eastAsia="zh-CN"/>
        </w:rPr>
        <w:t>项目具体内容为产城融合串珠发展示范区重大项目暨产业绿色振兴项目前期工作保障</w:t>
      </w:r>
      <w:r>
        <w:rPr>
          <w:rFonts w:hint="eastAsia" w:ascii="仿宋_GB2312" w:hAnsi="宋体"/>
          <w:lang w:val="zh-CN" w:eastAsia="zh-CN"/>
        </w:rPr>
        <w:t>。</w:t>
      </w:r>
    </w:p>
    <w:p w14:paraId="1478F8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en-US" w:eastAsia="zh-CN"/>
        </w:rPr>
        <w:t>按照县财政要求先编制2023年度预算，待批复后执行。</w:t>
      </w:r>
    </w:p>
    <w:p w14:paraId="25BB8E7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楷体_GB2312"/>
          <w:lang w:val="en-US" w:eastAsia="zh-CN"/>
        </w:rPr>
      </w:pPr>
      <w:r>
        <w:rPr>
          <w:rFonts w:hint="eastAsia" w:ascii="楷体_GB2312" w:hAnsi="宋体" w:eastAsia="楷体_GB2312"/>
          <w:b/>
          <w:lang w:val="zh-CN"/>
        </w:rPr>
        <w:t>（二）项目绩效目标。</w:t>
      </w:r>
      <w:r>
        <w:rPr>
          <w:rFonts w:hint="eastAsia" w:ascii="仿宋_GB2312" w:hAnsi="宋体" w:cs="Times New Roman"/>
          <w:lang w:val="en-US" w:eastAsia="zh-CN"/>
        </w:rPr>
        <w:t>保障</w:t>
      </w:r>
      <w:r>
        <w:rPr>
          <w:rFonts w:hint="eastAsia" w:ascii="仿宋_GB2312" w:hAnsi="宋体"/>
          <w:lang w:val="en-US" w:eastAsia="zh-CN"/>
        </w:rPr>
        <w:t>产城融合串珠发展示范区重大项目暨产业绿色振兴项目库中18个子项目前期推进</w:t>
      </w:r>
      <w:r>
        <w:rPr>
          <w:rFonts w:hint="eastAsia" w:ascii="仿宋_GB2312" w:hAnsi="宋体" w:cs="Times New Roman"/>
          <w:lang w:val="en-US" w:eastAsia="zh-CN"/>
        </w:rPr>
        <w:t>，截至目前均保障完成。</w:t>
      </w:r>
    </w:p>
    <w:p w14:paraId="2F58E60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仿宋_GB2312" w:eastAsia="仿宋_GB2312" w:cs="仿宋_GB2312"/>
          <w:sz w:val="32"/>
          <w:szCs w:val="32"/>
        </w:rPr>
        <w:t>项目评价申报内容与实际相符，申报目标切实可行。</w:t>
      </w:r>
    </w:p>
    <w:p w14:paraId="7BC0DD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0A14490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0E5E99A5">
      <w:pPr>
        <w:adjustRightInd w:val="0"/>
        <w:snapToGrid w:val="0"/>
        <w:spacing w:line="600" w:lineRule="exact"/>
        <w:ind w:firstLine="640" w:firstLineChars="200"/>
        <w:rPr>
          <w:rFonts w:ascii="仿宋_GB2312" w:hAnsi="宋体"/>
          <w:lang w:val="zh-CN"/>
        </w:rPr>
      </w:pPr>
      <w:r>
        <w:rPr>
          <w:rFonts w:hint="eastAsia" w:ascii="楷体_GB2312" w:hAnsi="宋体" w:eastAsia="楷体_GB2312"/>
          <w:lang w:val="zh-CN"/>
        </w:rPr>
        <w:t>1．资金计划及到位。</w:t>
      </w:r>
      <w:r>
        <w:rPr>
          <w:rFonts w:hint="eastAsia" w:ascii="仿宋_GB2312" w:hAnsi="仿宋_GB2312" w:eastAsia="仿宋_GB2312" w:cs="仿宋_GB2312"/>
          <w:sz w:val="32"/>
          <w:szCs w:val="32"/>
          <w:lang w:val="zh-CN"/>
        </w:rPr>
        <w:t>项目资金</w:t>
      </w:r>
      <w:r>
        <w:rPr>
          <w:rFonts w:hint="eastAsia" w:ascii="仿宋_GB2312" w:hAnsi="仿宋_GB2312" w:cs="仿宋_GB2312"/>
          <w:sz w:val="32"/>
          <w:szCs w:val="32"/>
          <w:lang w:val="zh-CN"/>
        </w:rPr>
        <w:t>来源主要</w:t>
      </w:r>
      <w:r>
        <w:rPr>
          <w:rFonts w:hint="eastAsia" w:ascii="仿宋_GB2312" w:hAnsi="仿宋_GB2312" w:eastAsia="仿宋_GB2312" w:cs="仿宋_GB2312"/>
          <w:sz w:val="32"/>
          <w:szCs w:val="32"/>
          <w:lang w:val="zh-CN"/>
        </w:rPr>
        <w:t>通过本单位年初预算</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由</w:t>
      </w:r>
      <w:r>
        <w:rPr>
          <w:rFonts w:hint="eastAsia" w:ascii="仿宋_GB2312" w:hAnsi="仿宋_GB2312" w:cs="仿宋_GB2312"/>
          <w:sz w:val="32"/>
          <w:szCs w:val="32"/>
          <w:lang w:val="zh-CN"/>
        </w:rPr>
        <w:t>县级</w:t>
      </w:r>
      <w:r>
        <w:rPr>
          <w:rFonts w:hint="eastAsia" w:ascii="仿宋_GB2312" w:hAnsi="仿宋_GB2312" w:eastAsia="仿宋_GB2312" w:cs="仿宋_GB2312"/>
          <w:sz w:val="32"/>
          <w:szCs w:val="32"/>
          <w:lang w:val="zh-CN"/>
        </w:rPr>
        <w:t>财政统一安排资金</w:t>
      </w:r>
      <w:r>
        <w:rPr>
          <w:rFonts w:hint="eastAsia" w:ascii="仿宋_GB2312" w:hAnsi="仿宋_GB2312" w:cs="仿宋_GB2312"/>
          <w:sz w:val="32"/>
          <w:szCs w:val="32"/>
          <w:lang w:val="zh-CN"/>
        </w:rPr>
        <w:t>，</w:t>
      </w:r>
      <w:bookmarkStart w:id="0" w:name="_GoBack"/>
      <w:bookmarkEnd w:id="0"/>
      <w:r>
        <w:rPr>
          <w:rFonts w:hint="eastAsia" w:ascii="仿宋_GB2312" w:hAnsi="仿宋_GB2312" w:eastAsia="仿宋_GB2312" w:cs="仿宋_GB2312"/>
          <w:sz w:val="32"/>
          <w:szCs w:val="32"/>
        </w:rPr>
        <w:t>年初预算资金为</w:t>
      </w:r>
      <w:r>
        <w:rPr>
          <w:rFonts w:hint="eastAsia" w:ascii="仿宋_GB2312" w:hAnsi="仿宋_GB2312" w:cs="仿宋_GB2312"/>
          <w:sz w:val="32"/>
          <w:szCs w:val="32"/>
          <w:lang w:val="en-US" w:eastAsia="zh-CN"/>
        </w:rPr>
        <w:t>500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w:t>
      </w:r>
      <w:r>
        <w:rPr>
          <w:rFonts w:hint="eastAsia" w:ascii="仿宋_GB2312" w:hAnsi="仿宋_GB2312" w:cs="仿宋_GB2312"/>
          <w:sz w:val="32"/>
          <w:szCs w:val="32"/>
          <w:lang w:val="zh-CN"/>
        </w:rPr>
        <w:t>根据项目实施进度</w:t>
      </w:r>
      <w:r>
        <w:rPr>
          <w:rFonts w:hint="eastAsia" w:ascii="仿宋_GB2312" w:hAnsi="仿宋_GB2312" w:eastAsia="仿宋_GB2312" w:cs="仿宋_GB2312"/>
          <w:sz w:val="32"/>
          <w:szCs w:val="32"/>
          <w:lang w:val="zh-CN"/>
        </w:rPr>
        <w:t>，通过申请由县财政拨付项目资金。</w:t>
      </w:r>
    </w:p>
    <w:p w14:paraId="2590660A">
      <w:pPr>
        <w:adjustRightInd w:val="0"/>
        <w:snapToGrid w:val="0"/>
        <w:spacing w:line="600" w:lineRule="exact"/>
        <w:ind w:firstLine="640" w:firstLineChars="200"/>
        <w:rPr>
          <w:rFonts w:ascii="仿宋_GB2312" w:hAnsi="宋体"/>
          <w:lang w:val="zh-CN"/>
        </w:rPr>
      </w:pPr>
      <w:r>
        <w:rPr>
          <w:rFonts w:hint="eastAsia" w:ascii="楷体_GB2312" w:hAnsi="宋体" w:eastAsia="楷体_GB2312"/>
          <w:lang w:val="zh-CN"/>
        </w:rPr>
        <w:t>2．资金使用。</w:t>
      </w:r>
      <w:r>
        <w:rPr>
          <w:rFonts w:hint="eastAsia" w:ascii="仿宋_GB2312" w:hAnsi="仿宋_GB2312" w:eastAsia="仿宋_GB2312" w:cs="仿宋_GB2312"/>
          <w:sz w:val="32"/>
          <w:szCs w:val="32"/>
          <w:lang w:val="en-US" w:eastAsia="zh-CN"/>
        </w:rPr>
        <w:t>按照完成情况，按进度支付款项，</w:t>
      </w:r>
      <w:r>
        <w:rPr>
          <w:rFonts w:hint="eastAsia" w:ascii="仿宋_GB2312" w:hAnsi="仿宋_GB2312" w:eastAsia="仿宋_GB2312" w:cs="仿宋_GB2312"/>
          <w:sz w:val="32"/>
          <w:szCs w:val="32"/>
          <w:lang w:val="zh-CN"/>
        </w:rPr>
        <w:t>项目资金达到专款专</w:t>
      </w:r>
      <w:r>
        <w:rPr>
          <w:rFonts w:hint="eastAsia" w:ascii="仿宋_GB2312" w:hAnsi="仿宋_GB2312" w:cs="仿宋_GB2312"/>
          <w:sz w:val="32"/>
          <w:szCs w:val="32"/>
          <w:lang w:val="en-US" w:eastAsia="zh-CN"/>
        </w:rPr>
        <w:t>用</w:t>
      </w:r>
      <w:r>
        <w:rPr>
          <w:rFonts w:hint="eastAsia" w:ascii="仿宋_GB2312" w:hAnsi="仿宋_GB2312" w:eastAsia="仿宋_GB2312" w:cs="仿宋_GB2312"/>
          <w:sz w:val="32"/>
          <w:szCs w:val="32"/>
          <w:lang w:val="zh-CN"/>
        </w:rPr>
        <w:t>合理支付</w:t>
      </w:r>
      <w:r>
        <w:rPr>
          <w:rFonts w:hint="eastAsia" w:ascii="仿宋_GB2312" w:hAnsi="仿宋_GB2312" w:eastAsia="仿宋_GB2312" w:cs="仿宋_GB2312"/>
          <w:sz w:val="32"/>
          <w:szCs w:val="32"/>
          <w:lang w:val="zh-CN" w:eastAsia="zh-CN"/>
        </w:rPr>
        <w:t>。</w:t>
      </w:r>
    </w:p>
    <w:p w14:paraId="20F81A7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01F2CD29">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我单位一直以来结合工作实际在不断完善财务管理制度，逐步建立健全财务管理制度，并严格执行财务管理制度，做到账务处理准确、及时，会计核算规范等。</w:t>
      </w:r>
    </w:p>
    <w:p w14:paraId="2E9CBC6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115BEE6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仿宋_GB2312" w:cs="仿宋_GB2312"/>
          <w:sz w:val="32"/>
          <w:szCs w:val="32"/>
          <w:lang w:val="en-US" w:eastAsia="zh-CN"/>
        </w:rPr>
        <w:t>按照项目推进进度，业主单位主要负责人审核上报，项目长、指挥长（副指挥长）复核后支付相关款项。</w:t>
      </w:r>
    </w:p>
    <w:p w14:paraId="149420F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03788BF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3C1DCAB7">
      <w:pPr>
        <w:bidi w:val="0"/>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完成了铜河湾特色街区项目的前期策划编制、方案设计、可研报告编制、方案审核，大渡河川滇旅游风景道示范带可研编制、地形测绘等工作，完成资金拨付49.89万元，资金拨付率9.98%</w:t>
      </w:r>
    </w:p>
    <w:p w14:paraId="6F4FC3A3">
      <w:pPr>
        <w:bidi w:val="0"/>
        <w:ind w:firstLine="643" w:firstLineChars="200"/>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cs="Times New Roman"/>
          <w:lang w:val="en-US" w:eastAsia="zh-CN"/>
        </w:rPr>
        <w:t>保障了重大项目推进，促进了峨边经济社会发展，提升了群众满意度</w:t>
      </w:r>
      <w:r>
        <w:rPr>
          <w:rFonts w:hint="eastAsia" w:ascii="仿宋_GB2312" w:hAnsi="宋体" w:cs="Times New Roman"/>
          <w:lang w:val="zh-CN"/>
        </w:rPr>
        <w:t>。</w:t>
      </w:r>
    </w:p>
    <w:p w14:paraId="6557B6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7F2372D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69E61E9D">
      <w:pPr>
        <w:adjustRightInd w:val="0"/>
        <w:snapToGrid w:val="0"/>
        <w:spacing w:line="600" w:lineRule="exact"/>
        <w:ind w:firstLine="720"/>
        <w:rPr>
          <w:rFonts w:hint="eastAsia"/>
          <w:lang w:val="en-US" w:eastAsia="zh-CN"/>
        </w:rPr>
      </w:pPr>
      <w:r>
        <w:rPr>
          <w:rFonts w:hint="eastAsia" w:ascii="Times New Roman" w:hAnsi="Times New Roman" w:cs="Times New Roman"/>
          <w:lang w:val="en-US" w:eastAsia="zh-CN"/>
        </w:rPr>
        <w:t>无</w:t>
      </w:r>
    </w:p>
    <w:p w14:paraId="4C9803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p>
    <w:p w14:paraId="3CCBD09F">
      <w:pPr>
        <w:adjustRightInd w:val="0"/>
        <w:snapToGrid w:val="0"/>
        <w:spacing w:line="600" w:lineRule="exact"/>
        <w:ind w:firstLine="720"/>
        <w:rPr>
          <w:rFonts w:hint="eastAsia" w:eastAsia="仿宋_GB2312"/>
          <w:lang w:val="en-US" w:eastAsia="zh-CN"/>
        </w:rPr>
      </w:pPr>
      <w:r>
        <w:rPr>
          <w:rFonts w:hint="eastAsia"/>
          <w:lang w:val="en-US" w:eastAsia="zh-CN"/>
        </w:rPr>
        <w:t>无</w:t>
      </w:r>
    </w:p>
    <w:p w14:paraId="66E7ECCF">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52C8B7-F027-4B10-998D-88D4FCEB5C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E56C7B8-6AE3-4AD0-8E8E-099BC0B88131}"/>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28C88523-4CA9-47A5-BCDB-8A83D0071F4B}"/>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238DD1FD-6D0F-4E16-9A52-391A032631A2}"/>
  </w:font>
  <w:font w:name="楷体_GB2312">
    <w:panose1 w:val="02010609030101010101"/>
    <w:charset w:val="86"/>
    <w:family w:val="modern"/>
    <w:pitch w:val="default"/>
    <w:sig w:usb0="00000001" w:usb1="080E0000" w:usb2="00000000" w:usb3="00000000" w:csb0="00040000" w:csb1="00000000"/>
    <w:embedRegular r:id="rId5" w:fontKey="{07CC32C0-4BC6-4D67-BACF-37CD280EDEB9}"/>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A9D2957"/>
    <w:rsid w:val="0D466608"/>
    <w:rsid w:val="0D850CC5"/>
    <w:rsid w:val="13722809"/>
    <w:rsid w:val="19B536B9"/>
    <w:rsid w:val="1E0A5785"/>
    <w:rsid w:val="206232D9"/>
    <w:rsid w:val="291C455A"/>
    <w:rsid w:val="2A502512"/>
    <w:rsid w:val="36926D0C"/>
    <w:rsid w:val="414A628B"/>
    <w:rsid w:val="41875C29"/>
    <w:rsid w:val="539454CB"/>
    <w:rsid w:val="53F76EA2"/>
    <w:rsid w:val="58C072AF"/>
    <w:rsid w:val="5FF3634E"/>
    <w:rsid w:val="673E27F9"/>
    <w:rsid w:val="6D950364"/>
    <w:rsid w:val="6EF16389"/>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0"/>
    <w:pPr>
      <w:spacing w:after="120" w:line="480" w:lineRule="auto"/>
    </w:pPr>
    <w:rPr>
      <w:szCs w:val="20"/>
    </w:rPr>
  </w:style>
  <w:style w:type="paragraph" w:styleId="7">
    <w:name w:val="Title"/>
    <w:basedOn w:val="1"/>
    <w:next w:val="1"/>
    <w:qFormat/>
    <w:uiPriority w:val="0"/>
    <w:pPr>
      <w:spacing w:before="240" w:after="60" w:line="320" w:lineRule="atLeast"/>
      <w:ind w:firstLine="200" w:firstLineChars="200"/>
      <w:outlineLvl w:val="0"/>
    </w:pPr>
    <w:rPr>
      <w:rFonts w:ascii="Cambria" w:hAnsi="Cambria" w:eastAsia="黑体"/>
      <w:bCs/>
      <w:sz w:val="32"/>
      <w:szCs w:val="32"/>
    </w:rPr>
  </w:style>
  <w:style w:type="paragraph" w:customStyle="1" w:styleId="10">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654</Words>
  <Characters>670</Characters>
  <Lines>9</Lines>
  <Paragraphs>2</Paragraphs>
  <TotalTime>2</TotalTime>
  <ScaleCrop>false</ScaleCrop>
  <LinksUpToDate>false</LinksUpToDate>
  <CharactersWithSpaces>672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2024-10-22T01:41:57Z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2295F6004E7C4908A6170C90E5C595B7</vt:lpwstr>
  </property>
</Properties>
</file>