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701A2">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3E76F7E8">
      <w:pPr>
        <w:widowControl/>
        <w:spacing w:line="580" w:lineRule="exact"/>
        <w:ind w:firstLine="883" w:firstLineChars="200"/>
        <w:contextualSpacing/>
        <w:jc w:val="center"/>
        <w:rPr>
          <w:rFonts w:ascii="宋体"/>
          <w:b/>
          <w:sz w:val="44"/>
          <w:szCs w:val="44"/>
          <w:shd w:val="clear" w:color="auto" w:fill="FFFFFF"/>
        </w:rPr>
      </w:pPr>
    </w:p>
    <w:p w14:paraId="14F789A9">
      <w:pPr>
        <w:widowControl/>
        <w:spacing w:line="580" w:lineRule="exact"/>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峨边彝族自治县产业园区管理委员会</w:t>
      </w:r>
    </w:p>
    <w:p w14:paraId="54133C64">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2023年部门</w:t>
      </w:r>
      <w:r>
        <w:rPr>
          <w:rFonts w:hint="eastAsia" w:ascii="方正小标宋简体" w:hAnsi="宋体" w:eastAsia="方正小标宋简体"/>
          <w:sz w:val="44"/>
          <w:szCs w:val="44"/>
          <w:shd w:val="clear" w:color="auto" w:fill="FFFFFF"/>
        </w:rPr>
        <w:t>整体绩效自评报告</w:t>
      </w:r>
    </w:p>
    <w:p w14:paraId="27A945AE">
      <w:pPr>
        <w:widowControl/>
        <w:adjustRightInd w:val="0"/>
        <w:snapToGrid w:val="0"/>
        <w:spacing w:line="580" w:lineRule="exact"/>
        <w:ind w:firstLine="640" w:firstLineChars="200"/>
        <w:contextualSpacing/>
        <w:jc w:val="left"/>
        <w:rPr>
          <w:rFonts w:hint="eastAsia" w:ascii="方正仿宋_GBK" w:hAnsi="宋体" w:eastAsia="方正仿宋_GBK" w:cs="宋体"/>
          <w:color w:val="000000"/>
          <w:kern w:val="0"/>
          <w:sz w:val="33"/>
          <w:szCs w:val="33"/>
          <w:shd w:val="clear" w:color="auto" w:fill="FFFFFF"/>
          <w:lang w:eastAsia="zh-CN"/>
        </w:rPr>
      </w:pPr>
      <w:r>
        <w:rPr>
          <w:rFonts w:hint="eastAsia" w:ascii="仿宋_GB2312" w:hAnsi="宋体" w:eastAsia="仿宋_GB2312"/>
          <w:szCs w:val="32"/>
          <w:shd w:val="clear" w:color="auto" w:fill="FFFFFF"/>
          <w:lang w:val="en-US" w:eastAsia="zh-CN"/>
        </w:rPr>
        <w:t xml:space="preserve"> </w:t>
      </w:r>
    </w:p>
    <w:p w14:paraId="22B0366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DD3CF09">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67965DD">
      <w:pPr>
        <w:widowControl/>
        <w:adjustRightInd w:val="0"/>
        <w:snapToGrid w:val="0"/>
        <w:spacing w:line="580" w:lineRule="exact"/>
        <w:ind w:firstLine="620" w:firstLineChars="200"/>
        <w:contextualSpacing/>
        <w:jc w:val="left"/>
        <w:rPr>
          <w:rFonts w:hint="default" w:ascii="楷体_GB2312" w:hAnsi="宋体" w:eastAsia="仿宋_GB2312" w:cs="宋体"/>
          <w:color w:val="000000"/>
          <w:kern w:val="0"/>
          <w:szCs w:val="32"/>
          <w:shd w:val="clear" w:color="auto" w:fill="FFFFFF"/>
          <w:lang w:val="en-US" w:eastAsia="zh-CN"/>
        </w:rPr>
      </w:pPr>
      <w:r>
        <w:rPr>
          <w:rFonts w:ascii="仿宋_GB2312" w:hAnsi="宋体" w:eastAsia="仿宋_GB2312" w:cs="仿宋_GB2312"/>
          <w:color w:val="auto"/>
          <w:kern w:val="0"/>
          <w:sz w:val="31"/>
          <w:szCs w:val="31"/>
          <w:lang w:val="en-US" w:eastAsia="zh-CN" w:bidi="ar"/>
        </w:rPr>
        <w:t>县产业园区</w:t>
      </w:r>
      <w:r>
        <w:rPr>
          <w:rFonts w:hint="eastAsia" w:ascii="仿宋_GB2312" w:hAnsi="宋体" w:eastAsia="仿宋_GB2312" w:cs="仿宋_GB2312"/>
          <w:color w:val="auto"/>
          <w:kern w:val="0"/>
          <w:sz w:val="31"/>
          <w:szCs w:val="31"/>
          <w:lang w:val="en-US" w:eastAsia="zh-CN" w:bidi="ar"/>
        </w:rPr>
        <w:t>管理委员会</w:t>
      </w:r>
      <w:r>
        <w:rPr>
          <w:rFonts w:hint="eastAsia" w:ascii="仿宋_GB2312" w:hAnsi="仿宋" w:eastAsia="仿宋_GB2312"/>
          <w:color w:val="auto"/>
          <w:sz w:val="32"/>
          <w:szCs w:val="32"/>
          <w:lang w:eastAsia="zh-CN"/>
        </w:rPr>
        <w:t>内设</w:t>
      </w:r>
      <w:r>
        <w:rPr>
          <w:rFonts w:hint="eastAsia" w:ascii="仿宋_GB2312" w:hAnsi="仿宋" w:eastAsia="仿宋_GB2312"/>
          <w:color w:val="auto"/>
          <w:sz w:val="32"/>
          <w:szCs w:val="32"/>
          <w:lang w:val="en-US" w:eastAsia="zh-CN"/>
        </w:rPr>
        <w:t>六</w:t>
      </w:r>
      <w:r>
        <w:rPr>
          <w:rFonts w:hint="eastAsia" w:ascii="仿宋_GB2312" w:hAnsi="仿宋" w:eastAsia="仿宋_GB2312"/>
          <w:color w:val="auto"/>
          <w:sz w:val="32"/>
          <w:szCs w:val="32"/>
          <w:lang w:eastAsia="zh-CN"/>
        </w:rPr>
        <w:t>个科室：</w:t>
      </w:r>
      <w:r>
        <w:rPr>
          <w:rFonts w:hint="eastAsia" w:ascii="仿宋_GB2312" w:hAnsi="仿宋" w:eastAsia="仿宋_GB2312"/>
          <w:color w:val="auto"/>
          <w:sz w:val="32"/>
          <w:szCs w:val="32"/>
          <w:lang w:val="en-US" w:eastAsia="zh-CN"/>
        </w:rPr>
        <w:t>综合股（党群工作股）、规划建设股、园区管理一股、园区管理二股、园区管理三股、环保安全法规股。</w:t>
      </w:r>
    </w:p>
    <w:p w14:paraId="3F3B7EAF">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71A1AD3B">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机构职能：县委县政府授权产业园区党工委、管委会对县产业园区（除县委、县政府明确独立运行或由其他部门、乡镇管理的园区外，下同）履行“规划、建设、管理、服务”职能。 依法制定园区管理办法；研究园区的相关重要事务和重大事项，按程序报批后组织实施；负责园区的规划、建设、管理和服务工作；负责编制园区总体规划、控制性详规、产业发展规划、经济社会发展计划及社会事业发展等规划，经批准后组织实施；负责职责范围内的安全生产和职业健康、生态环境保护等工作；履行县政府及相关职能部门授权的相关职能；承担园区内党的建设、党风廉政建设、精神文明建设、社会管理综合治理以及群团工作；承担县委、县政府交办的其他工作事项。</w:t>
      </w:r>
    </w:p>
    <w:p w14:paraId="5D1CE10D">
      <w:pPr>
        <w:spacing w:line="580" w:lineRule="exact"/>
        <w:ind w:firstLine="640" w:firstLineChars="200"/>
        <w:rPr>
          <w:rFonts w:ascii="仿宋_GB2312" w:cs="仿宋_GB2312"/>
          <w:bCs/>
          <w:szCs w:val="32"/>
        </w:rPr>
      </w:pPr>
      <w:r>
        <w:rPr>
          <w:rFonts w:hint="eastAsia" w:ascii="仿宋_GB2312" w:hAnsi="仿宋" w:eastAsia="仿宋_GB2312" w:cs="Times New Roman"/>
          <w:b w:val="0"/>
          <w:color w:val="auto"/>
          <w:kern w:val="2"/>
          <w:sz w:val="32"/>
          <w:szCs w:val="32"/>
          <w:lang w:val="en-US" w:eastAsia="zh-CN" w:bidi="ar-SA"/>
        </w:rPr>
        <w:t>人员概况：</w:t>
      </w:r>
      <w:r>
        <w:rPr>
          <w:rFonts w:hint="eastAsia" w:ascii="仿宋_GB2312" w:hAnsi="仿宋" w:eastAsia="仿宋_GB2312"/>
          <w:sz w:val="32"/>
          <w:szCs w:val="32"/>
        </w:rPr>
        <w:t>县</w:t>
      </w:r>
      <w:r>
        <w:rPr>
          <w:rFonts w:ascii="仿宋_GB2312" w:hAnsi="宋体" w:eastAsia="仿宋_GB2312" w:cs="仿宋_GB2312"/>
          <w:color w:val="auto"/>
          <w:kern w:val="0"/>
          <w:sz w:val="31"/>
          <w:szCs w:val="31"/>
          <w:lang w:val="en-US" w:eastAsia="zh-CN" w:bidi="ar"/>
        </w:rPr>
        <w:t>产业园区</w:t>
      </w:r>
      <w:r>
        <w:rPr>
          <w:rFonts w:hint="eastAsia" w:ascii="仿宋_GB2312" w:hAnsi="宋体" w:eastAsia="仿宋_GB2312" w:cs="仿宋_GB2312"/>
          <w:color w:val="auto"/>
          <w:kern w:val="0"/>
          <w:sz w:val="31"/>
          <w:szCs w:val="31"/>
          <w:lang w:val="en-US" w:eastAsia="zh-CN" w:bidi="ar"/>
        </w:rPr>
        <w:t>管理委员会截至2023年底</w:t>
      </w:r>
      <w:r>
        <w:rPr>
          <w:rFonts w:hint="eastAsia" w:ascii="仿宋_GB2312" w:hAnsi="仿宋" w:eastAsia="仿宋_GB2312"/>
          <w:sz w:val="32"/>
          <w:szCs w:val="32"/>
        </w:rPr>
        <w:t>有在编在岗工作人员</w:t>
      </w:r>
      <w:r>
        <w:rPr>
          <w:rFonts w:hint="eastAsia" w:ascii="仿宋_GB2312" w:hAnsi="仿宋" w:eastAsia="仿宋_GB2312"/>
          <w:sz w:val="32"/>
          <w:szCs w:val="32"/>
          <w:lang w:val="en-US" w:eastAsia="zh-CN"/>
        </w:rPr>
        <w:t>12</w:t>
      </w:r>
      <w:r>
        <w:rPr>
          <w:rFonts w:hint="eastAsia" w:ascii="仿宋_GB2312" w:hAnsi="仿宋" w:eastAsia="仿宋_GB2312"/>
          <w:sz w:val="32"/>
          <w:szCs w:val="32"/>
        </w:rPr>
        <w:t>人，</w:t>
      </w:r>
      <w:r>
        <w:rPr>
          <w:rFonts w:hint="eastAsia" w:ascii="仿宋_GB2312" w:hAnsi="仿宋" w:eastAsia="仿宋_GB2312"/>
          <w:sz w:val="32"/>
          <w:szCs w:val="32"/>
          <w:lang w:val="en-US" w:eastAsia="zh-CN"/>
        </w:rPr>
        <w:t>管委会</w:t>
      </w:r>
      <w:r>
        <w:rPr>
          <w:rFonts w:hint="eastAsia" w:ascii="仿宋_GB2312" w:hAnsi="仿宋" w:eastAsia="仿宋_GB2312"/>
          <w:sz w:val="32"/>
          <w:szCs w:val="32"/>
        </w:rPr>
        <w:t>主任1</w:t>
      </w:r>
      <w:r>
        <w:rPr>
          <w:rFonts w:hint="eastAsia" w:ascii="仿宋_GB2312" w:hAnsi="仿宋" w:eastAsia="仿宋_GB2312"/>
          <w:sz w:val="32"/>
          <w:szCs w:val="32"/>
          <w:lang w:val="en-US" w:eastAsia="zh-CN"/>
        </w:rPr>
        <w:t>人</w:t>
      </w:r>
      <w:r>
        <w:rPr>
          <w:rFonts w:hint="eastAsia" w:ascii="仿宋_GB2312" w:hAnsi="仿宋" w:eastAsia="仿宋_GB2312"/>
          <w:sz w:val="32"/>
          <w:szCs w:val="32"/>
        </w:rPr>
        <w:t>，</w:t>
      </w:r>
      <w:r>
        <w:rPr>
          <w:rFonts w:hint="eastAsia" w:ascii="仿宋_GB2312" w:hAnsi="仿宋" w:eastAsia="仿宋_GB2312"/>
          <w:sz w:val="32"/>
          <w:szCs w:val="32"/>
          <w:lang w:val="en-US" w:eastAsia="zh-CN"/>
        </w:rPr>
        <w:t>副主任2人，专职副书记1人，股室负责人3人</w:t>
      </w:r>
      <w:r>
        <w:rPr>
          <w:rFonts w:hint="eastAsia" w:ascii="仿宋_GB2312" w:hAnsi="仿宋" w:eastAsia="仿宋_GB2312"/>
          <w:sz w:val="32"/>
          <w:szCs w:val="32"/>
        </w:rPr>
        <w:t>，工作人员</w:t>
      </w:r>
      <w:r>
        <w:rPr>
          <w:rFonts w:hint="eastAsia" w:ascii="仿宋_GB2312" w:hAnsi="仿宋" w:eastAsia="仿宋_GB2312"/>
          <w:sz w:val="32"/>
          <w:szCs w:val="32"/>
          <w:lang w:val="en-US" w:eastAsia="zh-CN"/>
        </w:rPr>
        <w:t>4</w:t>
      </w:r>
      <w:r>
        <w:rPr>
          <w:rFonts w:hint="eastAsia" w:ascii="仿宋_GB2312" w:hAnsi="仿宋" w:eastAsia="仿宋_GB2312"/>
          <w:sz w:val="32"/>
          <w:szCs w:val="32"/>
        </w:rPr>
        <w:t>人。</w:t>
      </w:r>
    </w:p>
    <w:p w14:paraId="73BF3273">
      <w:pPr>
        <w:pStyle w:val="9"/>
        <w:ind w:firstLine="640" w:firstLineChars="200"/>
        <w:jc w:val="both"/>
        <w:rPr>
          <w:rFonts w:hint="default" w:ascii="仿宋_GB2312" w:hAnsi="仿宋" w:eastAsia="仿宋_GB2312" w:cs="Times New Roman"/>
          <w:b w:val="0"/>
          <w:color w:val="auto"/>
          <w:kern w:val="2"/>
          <w:sz w:val="32"/>
          <w:szCs w:val="32"/>
          <w:lang w:val="en-US" w:eastAsia="zh-CN" w:bidi="ar-SA"/>
        </w:rPr>
      </w:pPr>
    </w:p>
    <w:p w14:paraId="562BDB18">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63BC9B7D">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围绕小凉山彝区绿色循环产业园“一港五区”空间布局，完成园区总体规划、控制性详编制，加快推进核桃坪园区改造提升、共和园区规划建设，完成刘家沟砂石骨料园区项目建设，贯通铜河湾特色街区、全面推进大渡河骑游道文创产业园项目建设，力争完成投资15亿元；结合“3+3+3”大产业、细分工的现代化产业体系，以产业链链长制工作为抓手，将产业统起来、平台搭起来、项目推起来、制度立起来，最大限度推进全链条贯通、全过程融合、全要素参与，力争每季度每个重点产业链引进一批、开工一批、投产一批重大项目。</w:t>
      </w:r>
    </w:p>
    <w:p w14:paraId="37E0EE5A">
      <w:pPr>
        <w:keepNext w:val="0"/>
        <w:keepLines w:val="0"/>
        <w:pageBreakBefore w:val="0"/>
        <w:widowControl w:val="0"/>
        <w:numPr>
          <w:ilvl w:val="0"/>
          <w:numId w:val="1"/>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74BA2EF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一是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强化规划引领，结合我县国土空间规划和“三区三线”划定，围绕小凉山彝区（峨边）绿色循环产业园“一港五区”空间布局，启动总体规划编制（修编）工作。</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二是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推进项目建设，园区牵头推进项目18个，其中续建6个、新开工7个、加快前期5个，通过综合协调有效保障各个项目有序推进。</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三是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谋划产业发展，结合“3+3+3”大产业、细分工的现代化产业体系，制定“八个一”产业链链长制工作方案，明确工作目标、主要职责和重点任务，拟定园区亩均效益综合评价机制方案。</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四是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积极开展“四走”，通过“一对一、点对点”入企帮扶，解决企业困难。</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五是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深入开展主题教育等党建活动，将党建工作始终作为核心工作来抓。</w:t>
      </w:r>
    </w:p>
    <w:p w14:paraId="66ACC87A">
      <w:pPr>
        <w:keepNext w:val="0"/>
        <w:keepLines w:val="0"/>
        <w:pageBreakBefore w:val="0"/>
        <w:widowControl w:val="0"/>
        <w:numPr>
          <w:ilvl w:val="0"/>
          <w:numId w:val="2"/>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部门财政资金收支情况</w:t>
      </w:r>
    </w:p>
    <w:p w14:paraId="4BC22156">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w:t>
      </w:r>
      <w:r>
        <w:rPr>
          <w:rFonts w:hint="eastAsia" w:ascii="楷体_GB2312" w:hAnsi="宋体" w:eastAsia="楷体_GB2312" w:cs="宋体"/>
          <w:b w:val="0"/>
          <w:bCs w:val="0"/>
          <w:color w:val="000000"/>
          <w:kern w:val="0"/>
          <w:szCs w:val="32"/>
          <w:shd w:val="clear" w:color="auto" w:fill="FFFFFF"/>
          <w:lang w:val="zh-CN"/>
        </w:rPr>
        <w:t>金收入情况。</w:t>
      </w:r>
    </w:p>
    <w:p w14:paraId="5EF46EA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2023年县产业园区管委会收入合计19341.05万元，其中一般公共预算财政拨款收入191.16万元，政府性基金预算财政拨款收入19149.89万元。</w:t>
      </w:r>
    </w:p>
    <w:p w14:paraId="271704E5">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lang w:val="zh-CN"/>
        </w:rPr>
      </w:pPr>
      <w:r>
        <w:rPr>
          <w:rFonts w:hint="eastAsia" w:ascii="楷体_GB2312" w:hAnsi="宋体" w:eastAsia="楷体_GB2312" w:cs="宋体"/>
          <w:color w:val="000000"/>
          <w:kern w:val="0"/>
          <w:szCs w:val="32"/>
          <w:shd w:val="clear" w:color="auto" w:fill="FFFFFF"/>
          <w:lang w:val="zh-CN"/>
        </w:rPr>
        <w:t>部门财政资金支出情况。</w:t>
      </w:r>
    </w:p>
    <w:p w14:paraId="1196B92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2023年县产业园区管委会支出合计19341.05万元，其中基本支出191.16万元，项目支出19149.89万元。</w:t>
      </w:r>
    </w:p>
    <w:p w14:paraId="5686FEDC">
      <w:pPr>
        <w:keepNext w:val="0"/>
        <w:keepLines w:val="0"/>
        <w:pageBreakBefore w:val="0"/>
        <w:widowControl w:val="0"/>
        <w:numPr>
          <w:ilvl w:val="0"/>
          <w:numId w:val="3"/>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楷体_GB2312" w:hAnsi="宋体" w:eastAsia="楷体_GB2312" w:cs="宋体"/>
          <w:color w:val="000000"/>
          <w:kern w:val="0"/>
          <w:szCs w:val="32"/>
          <w:shd w:val="clear" w:color="auto" w:fill="FFFFFF"/>
          <w:lang w:val="zh-CN"/>
        </w:rPr>
        <w:t>部门财政资金结转结余情况。</w:t>
      </w:r>
    </w:p>
    <w:p w14:paraId="7247764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lang w:val="zh-CN"/>
        </w:rPr>
      </w:pPr>
      <w:r>
        <w:rPr>
          <w:rFonts w:hint="eastAsia" w:ascii="仿宋_GB2312" w:hAnsi="仿宋_GB2312" w:eastAsia="仿宋_GB2312" w:cs="仿宋_GB2312"/>
          <w:kern w:val="0"/>
          <w:sz w:val="32"/>
          <w:szCs w:val="32"/>
          <w:lang w:val="en-US" w:eastAsia="zh-CN" w:bidi="ar"/>
        </w:rPr>
        <w:t>2023年县产业园区管委会无财政资金结转。</w:t>
      </w:r>
    </w:p>
    <w:p w14:paraId="1ABEF2F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60643C2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7135014F">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县产业园区管委会绩效目标编制科学合理、规范完整，严格把关部门公用经费及非定额公用支</w:t>
      </w:r>
      <w:bookmarkStart w:id="0" w:name="_GoBack"/>
      <w:bookmarkEnd w:id="0"/>
      <w:r>
        <w:rPr>
          <w:rFonts w:hint="eastAsia" w:ascii="仿宋_GB2312" w:hAnsi="宋体" w:eastAsia="仿宋_GB2312" w:cs="宋体"/>
          <w:color w:val="000000"/>
          <w:kern w:val="0"/>
          <w:szCs w:val="32"/>
          <w:shd w:val="clear" w:color="auto" w:fill="FFFFFF"/>
          <w:lang w:val="en-US" w:eastAsia="zh-CN"/>
        </w:rPr>
        <w:t>出，及时将部门整体绩效自评情况进行公开，按要求及时向财政部门反馈结果应用情况。</w:t>
      </w:r>
    </w:p>
    <w:p w14:paraId="76FC031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56335C63">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2023年县产业园区管委会100万以上的项目是峨边彝族自治县核桃坪产业园区及基础设施建设项目，项目资金19100万元。我委严格按照项目方案设计了各项绩效目标，根据专项债管理要求，严格执行资金划拨规定，保障了项目推进进度和资金拨付进度，按期完成了预算目标，无结余资金何违规记录。</w:t>
      </w:r>
    </w:p>
    <w:p w14:paraId="2FE1B593">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3743908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1.信息公开。部门整体绩效自评情况和自行组织的评价情况均按财政要求及时公开。</w:t>
      </w:r>
    </w:p>
    <w:p w14:paraId="071E8D44">
      <w:pPr>
        <w:pStyle w:val="4"/>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2.自评质量。严格按照预算管理和支付时效要求，执行进度100%。</w:t>
      </w:r>
    </w:p>
    <w:p w14:paraId="282FABC1">
      <w:pPr>
        <w:pStyle w:val="4"/>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3.整改反馈。评价结果整改和应用结果反馈结合实际进行应用。</w:t>
      </w:r>
    </w:p>
    <w:p w14:paraId="6506EEC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17DFF443">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r>
        <w:rPr>
          <w:rFonts w:hint="eastAsia" w:ascii="仿宋_GB2312" w:hAnsi="仿宋_GB2312" w:eastAsia="仿宋_GB2312" w:cs="仿宋_GB2312"/>
          <w:bCs/>
          <w:szCs w:val="32"/>
          <w:lang w:val="zh-CN"/>
        </w:rPr>
        <w:t>县</w:t>
      </w:r>
      <w:r>
        <w:rPr>
          <w:rFonts w:hint="eastAsia" w:ascii="仿宋_GB2312" w:hAnsi="仿宋_GB2312" w:eastAsia="仿宋_GB2312" w:cs="仿宋_GB2312"/>
          <w:bCs/>
          <w:szCs w:val="32"/>
          <w:lang w:val="en-US" w:eastAsia="zh-CN"/>
        </w:rPr>
        <w:t>产业园区管委会</w:t>
      </w:r>
      <w:r>
        <w:rPr>
          <w:rFonts w:hint="eastAsia" w:ascii="仿宋_GB2312" w:hAnsi="仿宋_GB2312" w:eastAsia="仿宋_GB2312" w:cs="仿宋_GB2312"/>
          <w:bCs/>
          <w:szCs w:val="32"/>
          <w:lang w:val="zh-CN"/>
        </w:rPr>
        <w:t>认真组织开展了部门整体支出绩效评价工作，绩效评价得</w:t>
      </w:r>
      <w:r>
        <w:rPr>
          <w:rFonts w:hint="eastAsia" w:ascii="仿宋_GB2312" w:hAnsi="仿宋_GB2312" w:eastAsia="仿宋_GB2312" w:cs="仿宋_GB2312"/>
          <w:bCs/>
          <w:szCs w:val="32"/>
          <w:highlight w:val="none"/>
          <w:lang w:val="zh-CN"/>
        </w:rPr>
        <w:t>分：</w:t>
      </w:r>
      <w:r>
        <w:rPr>
          <w:rFonts w:hint="eastAsia" w:ascii="仿宋_GB2312" w:hAnsi="仿宋_GB2312" w:eastAsia="仿宋_GB2312" w:cs="仿宋_GB2312"/>
          <w:bCs/>
          <w:szCs w:val="32"/>
          <w:highlight w:val="none"/>
          <w:lang w:val="en-US" w:eastAsia="zh-CN"/>
        </w:rPr>
        <w:t>99</w:t>
      </w:r>
      <w:r>
        <w:rPr>
          <w:rFonts w:hint="eastAsia" w:ascii="仿宋_GB2312" w:hAnsi="仿宋_GB2312" w:eastAsia="仿宋_GB2312" w:cs="仿宋_GB2312"/>
          <w:bCs/>
          <w:szCs w:val="32"/>
          <w:highlight w:val="none"/>
          <w:lang w:val="zh-CN"/>
        </w:rPr>
        <w:t>分，评价结果：优。</w:t>
      </w:r>
    </w:p>
    <w:p w14:paraId="56FCD58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（二）存在问题。</w:t>
      </w:r>
      <w:r>
        <w:rPr>
          <w:rFonts w:hint="eastAsia" w:ascii="楷体_GB2312" w:hAnsi="宋体" w:eastAsia="楷体_GB2312" w:cs="宋体"/>
          <w:color w:val="000000"/>
          <w:kern w:val="0"/>
          <w:szCs w:val="32"/>
          <w:shd w:val="clear" w:color="auto" w:fill="FFFFFF"/>
          <w:lang w:val="en-US" w:eastAsia="zh-CN"/>
        </w:rPr>
        <w:t>无</w:t>
      </w:r>
    </w:p>
    <w:p w14:paraId="6CF27DB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（三）改进建议。</w:t>
      </w:r>
      <w:r>
        <w:rPr>
          <w:rFonts w:hint="eastAsia" w:ascii="楷体_GB2312" w:hAnsi="宋体" w:eastAsia="楷体_GB2312" w:cs="宋体"/>
          <w:color w:val="000000"/>
          <w:kern w:val="0"/>
          <w:szCs w:val="32"/>
          <w:shd w:val="clear" w:color="auto" w:fill="FFFFFF"/>
          <w:lang w:val="en-US" w:eastAsia="zh-CN"/>
        </w:rPr>
        <w:t>无</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F3C506-574E-4BDC-BFDB-F98E65613C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BECEC609-73C7-481E-82C8-E3D5A5146408}"/>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75227019-F4CA-47AA-8F46-AA35661C4E53}"/>
  </w:font>
  <w:font w:name="方正仿宋_GBK">
    <w:altName w:val="微软雅黑"/>
    <w:panose1 w:val="03000509000000000000"/>
    <w:charset w:val="86"/>
    <w:family w:val="auto"/>
    <w:pitch w:val="default"/>
    <w:sig w:usb0="00000000" w:usb1="00000000" w:usb2="00000000" w:usb3="00000000" w:csb0="00040000" w:csb1="00000000"/>
    <w:embedRegular r:id="rId4" w:fontKey="{8F6B8459-953F-402D-A74B-32A066A0BCB8}"/>
  </w:font>
  <w:font w:name="仿宋_GB2312">
    <w:panose1 w:val="02010609030101010101"/>
    <w:charset w:val="86"/>
    <w:family w:val="modern"/>
    <w:pitch w:val="default"/>
    <w:sig w:usb0="00000001" w:usb1="080E0000" w:usb2="00000000" w:usb3="00000000" w:csb0="00040000" w:csb1="00000000"/>
    <w:embedRegular r:id="rId5" w:fontKey="{BC8A187E-2598-4E5C-8E87-7AE364894E99}"/>
  </w:font>
  <w:font w:name="楷体_GB2312">
    <w:panose1 w:val="02010609030101010101"/>
    <w:charset w:val="86"/>
    <w:family w:val="modern"/>
    <w:pitch w:val="default"/>
    <w:sig w:usb0="00000001" w:usb1="080E0000" w:usb2="00000000" w:usb3="00000000" w:csb0="00040000" w:csb1="00000000"/>
    <w:embedRegular r:id="rId6" w:fontKey="{678DFBEC-9DC8-4FE8-B05C-679758E62C4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6850">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C9210F9">
    <w:pPr>
      <w:pStyle w:val="7"/>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A47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128A0"/>
    <w:multiLevelType w:val="singleLevel"/>
    <w:tmpl w:val="56B128A0"/>
    <w:lvl w:ilvl="0" w:tentative="0">
      <w:start w:val="2"/>
      <w:numFmt w:val="chineseCounting"/>
      <w:suff w:val="nothing"/>
      <w:lvlText w:val="%1、"/>
      <w:lvlJc w:val="left"/>
      <w:rPr>
        <w:rFonts w:hint="eastAsia"/>
      </w:rPr>
    </w:lvl>
  </w:abstractNum>
  <w:abstractNum w:abstractNumId="1">
    <w:nsid w:val="58176413"/>
    <w:multiLevelType w:val="singleLevel"/>
    <w:tmpl w:val="58176413"/>
    <w:lvl w:ilvl="0" w:tentative="0">
      <w:start w:val="2"/>
      <w:numFmt w:val="chineseCounting"/>
      <w:suff w:val="nothing"/>
      <w:lvlText w:val="（%1）"/>
      <w:lvlJc w:val="left"/>
      <w:rPr>
        <w:rFonts w:hint="eastAsia"/>
      </w:rPr>
    </w:lvl>
  </w:abstractNum>
  <w:abstractNum w:abstractNumId="2">
    <w:nsid w:val="77E7E316"/>
    <w:multiLevelType w:val="singleLevel"/>
    <w:tmpl w:val="77E7E31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3702A32"/>
    <w:rsid w:val="167C538B"/>
    <w:rsid w:val="18D17537"/>
    <w:rsid w:val="19927F78"/>
    <w:rsid w:val="21AE59D8"/>
    <w:rsid w:val="286F56EA"/>
    <w:rsid w:val="2C862667"/>
    <w:rsid w:val="2D527252"/>
    <w:rsid w:val="329102D6"/>
    <w:rsid w:val="361B66A7"/>
    <w:rsid w:val="3A9520B3"/>
    <w:rsid w:val="3C5059FC"/>
    <w:rsid w:val="3C77579D"/>
    <w:rsid w:val="3D3C138B"/>
    <w:rsid w:val="3DE562B7"/>
    <w:rsid w:val="3E6507EA"/>
    <w:rsid w:val="44406DA5"/>
    <w:rsid w:val="47550EBA"/>
    <w:rsid w:val="47D86D16"/>
    <w:rsid w:val="50BB3388"/>
    <w:rsid w:val="5CA71859"/>
    <w:rsid w:val="64D31B95"/>
    <w:rsid w:val="6636451A"/>
    <w:rsid w:val="666B5480"/>
    <w:rsid w:val="6BE94116"/>
    <w:rsid w:val="6E833176"/>
    <w:rsid w:val="6ED420F2"/>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locked/>
    <w:uiPriority w:val="0"/>
    <w:pPr>
      <w:spacing w:after="120"/>
    </w:pPr>
  </w:style>
  <w:style w:type="paragraph" w:styleId="3">
    <w:name w:val="Body Text First Indent"/>
    <w:basedOn w:val="2"/>
    <w:next w:val="1"/>
    <w:qFormat/>
    <w:locked/>
    <w:uiPriority w:val="99"/>
  </w:style>
  <w:style w:type="paragraph" w:styleId="4">
    <w:name w:val="Normal Indent"/>
    <w:basedOn w:val="1"/>
    <w:unhideWhenUsed/>
    <w:qFormat/>
    <w:locked/>
    <w:uiPriority w:val="99"/>
    <w:pPr>
      <w:ind w:firstLine="420" w:firstLineChars="200"/>
    </w:pPr>
  </w:style>
  <w:style w:type="paragraph" w:styleId="5">
    <w:name w:val="Document Map"/>
    <w:basedOn w:val="1"/>
    <w:link w:val="14"/>
    <w:qFormat/>
    <w:uiPriority w:val="99"/>
    <w:rPr>
      <w:rFonts w:ascii="宋体"/>
      <w:sz w:val="18"/>
      <w:szCs w:val="18"/>
    </w:rPr>
  </w:style>
  <w:style w:type="paragraph" w:styleId="6">
    <w:name w:val="Balloon Text"/>
    <w:basedOn w:val="1"/>
    <w:link w:val="15"/>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locked/>
    <w:uiPriority w:val="0"/>
    <w:pPr>
      <w:spacing w:before="240" w:after="60"/>
      <w:jc w:val="center"/>
      <w:outlineLvl w:val="0"/>
    </w:pPr>
    <w:rPr>
      <w:rFonts w:ascii="Arial" w:hAnsi="Arial" w:eastAsia="宋体" w:cs="Arial"/>
      <w:b/>
      <w:szCs w:val="32"/>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文档结构图 Char"/>
    <w:link w:val="5"/>
    <w:qFormat/>
    <w:locked/>
    <w:uiPriority w:val="99"/>
    <w:rPr>
      <w:rFonts w:ascii="宋体" w:cs="Times New Roman"/>
      <w:kern w:val="2"/>
      <w:sz w:val="18"/>
      <w:szCs w:val="18"/>
    </w:rPr>
  </w:style>
  <w:style w:type="character" w:customStyle="1" w:styleId="15">
    <w:name w:val="批注框文本 Char"/>
    <w:link w:val="6"/>
    <w:semiHidden/>
    <w:qFormat/>
    <w:locked/>
    <w:uiPriority w:val="99"/>
    <w:rPr>
      <w:rFonts w:cs="Times New Roman"/>
      <w:sz w:val="2"/>
    </w:rPr>
  </w:style>
  <w:style w:type="character" w:customStyle="1" w:styleId="16">
    <w:name w:val="页脚 Char"/>
    <w:link w:val="7"/>
    <w:qFormat/>
    <w:locked/>
    <w:uiPriority w:val="99"/>
    <w:rPr>
      <w:rFonts w:cs="Times New Roman"/>
      <w:kern w:val="2"/>
      <w:sz w:val="18"/>
      <w:szCs w:val="18"/>
    </w:rPr>
  </w:style>
  <w:style w:type="character" w:customStyle="1" w:styleId="17">
    <w:name w:val="页眉 Char"/>
    <w:link w:val="8"/>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4</Pages>
  <Words>1614</Words>
  <Characters>1696</Characters>
  <Lines>3</Lines>
  <Paragraphs>1</Paragraphs>
  <TotalTime>0</TotalTime>
  <ScaleCrop>false</ScaleCrop>
  <LinksUpToDate>false</LinksUpToDate>
  <CharactersWithSpaces>1698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2024-10-22T01:40:03Z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53B7F86B27C64309879EEE75FFE498EF</vt:lpwstr>
  </property>
</Properties>
</file>