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B786D">
      <w:pPr>
        <w:pStyle w:val="10"/>
        <w:keepNext w:val="0"/>
        <w:keepLines w:val="0"/>
        <w:pageBreakBefore w:val="0"/>
        <w:widowControl w:val="0"/>
        <w:kinsoku/>
        <w:wordWrap/>
        <w:overflowPunct/>
        <w:topLinePunct w:val="0"/>
        <w:autoSpaceDE/>
        <w:autoSpaceDN/>
        <w:bidi w:val="0"/>
        <w:adjustRightInd/>
        <w:snapToGrid/>
        <w:spacing w:line="700" w:lineRule="exact"/>
        <w:ind w:firstLine="2200" w:firstLineChars="500"/>
        <w:jc w:val="both"/>
        <w:textAlignment w:val="auto"/>
        <w:rPr>
          <w:rFonts w:hint="eastAsia" w:ascii="方正小标宋简体" w:hAnsi="宋体" w:eastAsia="方正小标宋简体"/>
          <w:sz w:val="44"/>
          <w:szCs w:val="44"/>
          <w:u w:val="none"/>
          <w:lang w:val="en-US" w:eastAsia="zh-CN"/>
        </w:rPr>
      </w:pPr>
      <w:r>
        <w:rPr>
          <w:rFonts w:hint="eastAsia" w:ascii="方正小标宋简体" w:hAnsi="宋体" w:eastAsia="方正小标宋简体"/>
          <w:sz w:val="44"/>
          <w:szCs w:val="44"/>
          <w:u w:val="none"/>
          <w:lang w:val="en-US" w:eastAsia="zh-CN"/>
        </w:rPr>
        <w:t>峨边彝族自治县委组织部</w:t>
      </w:r>
    </w:p>
    <w:p w14:paraId="479BEE88">
      <w:pPr>
        <w:pStyle w:val="10"/>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宋体" w:eastAsia="方正小标宋简体"/>
          <w:sz w:val="44"/>
          <w:szCs w:val="44"/>
          <w:u w:val="none"/>
        </w:rPr>
      </w:pPr>
      <w:r>
        <w:rPr>
          <w:rFonts w:hint="eastAsia" w:ascii="方正小标宋简体" w:hAnsi="宋体" w:eastAsia="方正小标宋简体"/>
          <w:sz w:val="44"/>
          <w:szCs w:val="44"/>
          <w:u w:val="none"/>
          <w:lang w:val="en-US" w:eastAsia="zh-CN"/>
        </w:rPr>
        <w:t>2023年度</w:t>
      </w:r>
      <w:r>
        <w:rPr>
          <w:rFonts w:hint="eastAsia" w:ascii="方正小标宋简体" w:hAnsi="宋体" w:eastAsia="方正小标宋简体"/>
          <w:sz w:val="44"/>
          <w:szCs w:val="44"/>
          <w:u w:val="none"/>
        </w:rPr>
        <w:t>项目支出绩效自评报告</w:t>
      </w:r>
    </w:p>
    <w:p w14:paraId="3CBE5EE9">
      <w:pPr>
        <w:pStyle w:val="10"/>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宋体" w:eastAsia="仿宋_GB2312"/>
          <w:color w:val="auto"/>
          <w:kern w:val="2"/>
          <w:sz w:val="32"/>
          <w:szCs w:val="32"/>
          <w:u w:val="none"/>
        </w:rPr>
      </w:pPr>
      <w:r>
        <w:rPr>
          <w:rFonts w:hint="eastAsia" w:ascii="仿宋_GB2312" w:hAnsi="宋体" w:eastAsia="仿宋_GB2312"/>
          <w:color w:val="auto"/>
          <w:kern w:val="2"/>
          <w:sz w:val="32"/>
          <w:szCs w:val="32"/>
          <w:u w:val="none"/>
        </w:rPr>
        <w:t>（</w:t>
      </w:r>
      <w:r>
        <w:rPr>
          <w:rFonts w:hint="eastAsia" w:ascii="仿宋_GB2312" w:hAnsi="宋体" w:eastAsia="仿宋_GB2312"/>
          <w:color w:val="auto"/>
          <w:kern w:val="2"/>
          <w:sz w:val="32"/>
          <w:szCs w:val="32"/>
          <w:u w:val="none"/>
          <w:lang w:eastAsia="zh-CN"/>
        </w:rPr>
        <w:t>中省扶持村集体经济</w:t>
      </w:r>
      <w:r>
        <w:rPr>
          <w:rFonts w:hint="eastAsia" w:ascii="仿宋_GB2312" w:hAnsi="宋体" w:eastAsia="仿宋_GB2312"/>
          <w:color w:val="auto"/>
          <w:kern w:val="2"/>
          <w:sz w:val="32"/>
          <w:szCs w:val="32"/>
          <w:u w:val="none"/>
        </w:rPr>
        <w:t>）</w:t>
      </w:r>
    </w:p>
    <w:p w14:paraId="681378D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color w:val="auto"/>
          <w:sz w:val="32"/>
          <w:szCs w:val="32"/>
        </w:rPr>
      </w:pPr>
    </w:p>
    <w:p w14:paraId="2B5DC847">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eastAsia" w:ascii="黑体" w:hAnsi="黑体" w:eastAsia="黑体" w:cs="黑体"/>
          <w:b w:val="0"/>
          <w:bCs/>
          <w:color w:val="auto"/>
          <w:sz w:val="32"/>
          <w:szCs w:val="32"/>
          <w:lang w:eastAsia="zh-CN"/>
        </w:rPr>
      </w:pPr>
      <w:r>
        <w:rPr>
          <w:rFonts w:hint="eastAsia" w:ascii="黑体" w:hAnsi="黑体" w:eastAsia="黑体" w:cs="黑体"/>
          <w:b w:val="0"/>
          <w:bCs/>
          <w:color w:val="auto"/>
          <w:sz w:val="32"/>
          <w:szCs w:val="32"/>
          <w:lang w:eastAsia="zh-CN"/>
        </w:rPr>
        <w:t>一、项目概况</w:t>
      </w:r>
    </w:p>
    <w:p w14:paraId="50704658">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eastAsia" w:eastAsia="仿宋_GB2312"/>
          <w:b w:val="0"/>
          <w:bCs/>
          <w:sz w:val="32"/>
          <w:szCs w:val="32"/>
          <w:lang w:eastAsia="zh-CN"/>
        </w:rPr>
      </w:pPr>
      <w:r>
        <w:rPr>
          <w:rFonts w:hint="eastAsia" w:ascii="仿宋_GB2312" w:hAnsi="仿宋_GB2312" w:eastAsia="仿宋_GB2312" w:cs="仿宋_GB2312"/>
          <w:b w:val="0"/>
          <w:bCs/>
          <w:color w:val="auto"/>
          <w:sz w:val="32"/>
          <w:szCs w:val="32"/>
        </w:rPr>
        <w:t>为切实用好中央、省市扶持发展村集体经济资金，以点带面推动村级集体经济发展壮大，不断提升村级党组织引领发展和服务群众能力，按照中共四川省委组织部、省财政厅、省农业农村厅</w:t>
      </w:r>
      <w:r>
        <w:rPr>
          <w:rFonts w:hint="eastAsia" w:ascii="仿宋_GB2312" w:hAnsi="仿宋_GB2312" w:eastAsia="仿宋_GB2312" w:cs="仿宋_GB2312"/>
          <w:b w:val="0"/>
          <w:bCs/>
          <w:color w:val="auto"/>
          <w:sz w:val="32"/>
          <w:szCs w:val="32"/>
          <w:lang w:eastAsia="zh-CN"/>
        </w:rPr>
        <w:t>、省乡村振兴局</w:t>
      </w:r>
      <w:r>
        <w:rPr>
          <w:rFonts w:hint="eastAsia" w:ascii="仿宋_GB2312" w:hAnsi="仿宋_GB2312" w:eastAsia="仿宋_GB2312" w:cs="仿宋_GB2312"/>
          <w:b w:val="0"/>
          <w:bCs/>
          <w:color w:val="auto"/>
          <w:sz w:val="32"/>
          <w:szCs w:val="32"/>
        </w:rPr>
        <w:t>《关于做好202</w:t>
      </w:r>
      <w:r>
        <w:rPr>
          <w:rFonts w:hint="eastAsia" w:ascii="仿宋_GB2312" w:hAnsi="仿宋_GB2312" w:eastAsia="仿宋_GB2312" w:cs="仿宋_GB2312"/>
          <w:b w:val="0"/>
          <w:bCs/>
          <w:color w:val="auto"/>
          <w:sz w:val="32"/>
          <w:szCs w:val="32"/>
          <w:lang w:val="en-US" w:eastAsia="zh-CN"/>
        </w:rPr>
        <w:t>3</w:t>
      </w:r>
      <w:r>
        <w:rPr>
          <w:rFonts w:hint="eastAsia" w:ascii="仿宋_GB2312" w:hAnsi="仿宋_GB2312" w:eastAsia="仿宋_GB2312" w:cs="仿宋_GB2312"/>
          <w:b w:val="0"/>
          <w:bCs/>
          <w:color w:val="auto"/>
          <w:sz w:val="32"/>
          <w:szCs w:val="32"/>
        </w:rPr>
        <w:t>年</w:t>
      </w:r>
      <w:r>
        <w:rPr>
          <w:rFonts w:hint="eastAsia" w:ascii="仿宋_GB2312" w:hAnsi="仿宋_GB2312" w:eastAsia="仿宋_GB2312" w:cs="仿宋_GB2312"/>
          <w:b w:val="0"/>
          <w:bCs/>
          <w:color w:val="auto"/>
          <w:sz w:val="32"/>
          <w:szCs w:val="32"/>
          <w:lang w:eastAsia="zh-CN"/>
        </w:rPr>
        <w:t>扶持发展新型农村集体经济有关具体事项的通知</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川组通〔202</w:t>
      </w:r>
      <w:r>
        <w:rPr>
          <w:rFonts w:hint="eastAsia" w:ascii="仿宋_GB2312" w:hAnsi="仿宋_GB2312" w:eastAsia="仿宋_GB2312" w:cs="仿宋_GB2312"/>
          <w:b w:val="0"/>
          <w:bCs/>
          <w:color w:val="auto"/>
          <w:sz w:val="32"/>
          <w:szCs w:val="32"/>
          <w:lang w:val="en-US" w:eastAsia="zh-CN"/>
        </w:rPr>
        <w:t>3</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30</w:t>
      </w:r>
      <w:r>
        <w:rPr>
          <w:rFonts w:hint="eastAsia" w:ascii="仿宋_GB2312" w:hAnsi="仿宋_GB2312" w:eastAsia="仿宋_GB2312" w:cs="仿宋_GB2312"/>
          <w:b w:val="0"/>
          <w:bCs/>
          <w:color w:val="auto"/>
          <w:sz w:val="32"/>
          <w:szCs w:val="32"/>
        </w:rPr>
        <w:t>号</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和《</w:t>
      </w:r>
      <w:r>
        <w:rPr>
          <w:rFonts w:hint="eastAsia" w:ascii="仿宋_GB2312" w:hAnsi="仿宋_GB2312" w:eastAsia="仿宋_GB2312" w:cs="仿宋_GB2312"/>
          <w:b w:val="0"/>
          <w:bCs/>
          <w:color w:val="auto"/>
          <w:sz w:val="32"/>
          <w:szCs w:val="32"/>
          <w:lang w:eastAsia="zh-CN"/>
        </w:rPr>
        <w:t>中共四川省委组织部</w:t>
      </w:r>
      <w:r>
        <w:rPr>
          <w:rFonts w:hint="eastAsia" w:ascii="仿宋_GB2312" w:hAnsi="仿宋_GB2312" w:eastAsia="仿宋_GB2312" w:cs="仿宋_GB2312"/>
          <w:b w:val="0"/>
          <w:bCs/>
          <w:color w:val="auto"/>
          <w:sz w:val="32"/>
          <w:szCs w:val="32"/>
          <w:lang w:val="en-US" w:eastAsia="zh-CN"/>
        </w:rPr>
        <w:t xml:space="preserve"> 省财政厅 省农业农村厅 省乡村振兴局转发〈</w:t>
      </w:r>
      <w:r>
        <w:rPr>
          <w:rFonts w:hint="eastAsia" w:ascii="仿宋_GB2312" w:hAnsi="仿宋_GB2312" w:eastAsia="仿宋_GB2312" w:cs="仿宋_GB2312"/>
          <w:b w:val="0"/>
          <w:bCs/>
          <w:color w:val="auto"/>
          <w:sz w:val="32"/>
          <w:szCs w:val="32"/>
          <w:lang w:eastAsia="zh-CN"/>
        </w:rPr>
        <w:t>中共中央组织部</w:t>
      </w:r>
      <w:r>
        <w:rPr>
          <w:rFonts w:hint="eastAsia" w:ascii="仿宋_GB2312" w:hAnsi="仿宋_GB2312" w:eastAsia="仿宋_GB2312" w:cs="仿宋_GB2312"/>
          <w:b w:val="0"/>
          <w:bCs/>
          <w:color w:val="auto"/>
          <w:sz w:val="32"/>
          <w:szCs w:val="32"/>
          <w:lang w:val="en-US" w:eastAsia="zh-CN"/>
        </w:rPr>
        <w:t xml:space="preserve"> 财政部 农业农村部关于强化农村基层党组织政治功能和组织功能扶持发展新型农村集体经济的通知〉</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川组</w:t>
      </w:r>
      <w:r>
        <w:rPr>
          <w:rFonts w:hint="eastAsia" w:ascii="仿宋_GB2312" w:hAnsi="仿宋_GB2312" w:eastAsia="仿宋_GB2312" w:cs="仿宋_GB2312"/>
          <w:b w:val="0"/>
          <w:bCs/>
          <w:color w:val="auto"/>
          <w:sz w:val="32"/>
          <w:szCs w:val="32"/>
          <w:lang w:eastAsia="zh-CN"/>
        </w:rPr>
        <w:t>发</w:t>
      </w:r>
      <w:r>
        <w:rPr>
          <w:rFonts w:hint="eastAsia" w:ascii="仿宋_GB2312" w:hAnsi="仿宋_GB2312" w:eastAsia="仿宋_GB2312" w:cs="仿宋_GB2312"/>
          <w:b w:val="0"/>
          <w:bCs/>
          <w:color w:val="auto"/>
          <w:sz w:val="32"/>
          <w:szCs w:val="32"/>
        </w:rPr>
        <w:t>〔202</w:t>
      </w:r>
      <w:r>
        <w:rPr>
          <w:rFonts w:hint="eastAsia" w:ascii="仿宋_GB2312" w:hAnsi="仿宋_GB2312" w:eastAsia="仿宋_GB2312" w:cs="仿宋_GB2312"/>
          <w:b w:val="0"/>
          <w:bCs/>
          <w:color w:val="auto"/>
          <w:sz w:val="32"/>
          <w:szCs w:val="32"/>
          <w:lang w:val="en-US" w:eastAsia="zh-CN"/>
        </w:rPr>
        <w:t>3</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2</w:t>
      </w:r>
      <w:r>
        <w:rPr>
          <w:rFonts w:hint="eastAsia" w:ascii="仿宋_GB2312" w:hAnsi="仿宋_GB2312" w:eastAsia="仿宋_GB2312" w:cs="仿宋_GB2312"/>
          <w:b w:val="0"/>
          <w:bCs/>
          <w:color w:val="auto"/>
          <w:sz w:val="32"/>
          <w:szCs w:val="32"/>
        </w:rPr>
        <w:t>号</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文件精神，结合我县实际，制定此实施方案</w:t>
      </w:r>
      <w:r>
        <w:rPr>
          <w:rFonts w:hint="eastAsia" w:ascii="仿宋_GB2312" w:hAnsi="仿宋_GB2312" w:cs="仿宋_GB2312"/>
          <w:b w:val="0"/>
          <w:bCs/>
          <w:color w:val="auto"/>
          <w:sz w:val="32"/>
          <w:szCs w:val="32"/>
          <w:lang w:eastAsia="zh-CN"/>
        </w:rPr>
        <w:t>。</w:t>
      </w:r>
    </w:p>
    <w:p w14:paraId="21C81B7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b w:val="0"/>
          <w:bCs/>
          <w:color w:val="auto"/>
          <w:sz w:val="32"/>
          <w:szCs w:val="32"/>
          <w:lang w:eastAsia="zh-CN"/>
        </w:rPr>
      </w:pPr>
      <w:r>
        <w:rPr>
          <w:rFonts w:hint="default" w:ascii="Times New Roman" w:hAnsi="Times New Roman" w:eastAsia="楷体_GB2312" w:cs="Times New Roman"/>
          <w:b w:val="0"/>
          <w:bCs/>
          <w:color w:val="auto"/>
          <w:sz w:val="32"/>
          <w:szCs w:val="32"/>
          <w:lang w:eastAsia="zh-CN"/>
        </w:rPr>
        <w:t>地理位置基本情况。</w:t>
      </w:r>
      <w:r>
        <w:rPr>
          <w:rFonts w:hint="default" w:ascii="Times New Roman" w:hAnsi="Times New Roman" w:eastAsia="仿宋_GB2312" w:cs="Times New Roman"/>
          <w:b w:val="0"/>
          <w:bCs/>
          <w:color w:val="auto"/>
          <w:sz w:val="32"/>
          <w:szCs w:val="32"/>
        </w:rPr>
        <w:t>峨边地处川西南小凉山区，</w:t>
      </w:r>
      <w:r>
        <w:rPr>
          <w:rFonts w:hint="default" w:ascii="Times New Roman" w:hAnsi="Times New Roman" w:eastAsia="仿宋_GB2312" w:cs="Times New Roman"/>
          <w:b w:val="0"/>
          <w:bCs/>
          <w:color w:val="auto"/>
          <w:kern w:val="0"/>
          <w:sz w:val="32"/>
          <w:szCs w:val="32"/>
          <w:lang w:val="en-US" w:eastAsia="zh-CN" w:bidi="ar"/>
        </w:rPr>
        <w:t>是全国</w:t>
      </w:r>
      <w:r>
        <w:rPr>
          <w:rFonts w:hint="default" w:ascii="Times New Roman" w:hAnsi="Times New Roman" w:cs="Times New Roman"/>
          <w:b w:val="0"/>
          <w:bCs/>
          <w:color w:val="auto"/>
          <w:kern w:val="0"/>
          <w:sz w:val="32"/>
          <w:szCs w:val="32"/>
          <w:lang w:val="en-US" w:eastAsia="zh-CN" w:bidi="ar"/>
        </w:rPr>
        <w:t>1</w:t>
      </w:r>
      <w:r>
        <w:rPr>
          <w:rFonts w:hint="default" w:ascii="Times New Roman" w:hAnsi="Times New Roman" w:eastAsia="仿宋_GB2312" w:cs="Times New Roman"/>
          <w:b w:val="0"/>
          <w:bCs/>
          <w:color w:val="auto"/>
          <w:kern w:val="0"/>
          <w:sz w:val="32"/>
          <w:szCs w:val="32"/>
          <w:lang w:val="en-US" w:eastAsia="zh-CN" w:bidi="ar"/>
        </w:rPr>
        <w:t>1</w:t>
      </w:r>
      <w:r>
        <w:rPr>
          <w:rFonts w:hint="default" w:ascii="Times New Roman" w:hAnsi="Times New Roman" w:cs="Times New Roman"/>
          <w:b w:val="0"/>
          <w:bCs/>
          <w:color w:val="auto"/>
          <w:kern w:val="0"/>
          <w:sz w:val="32"/>
          <w:szCs w:val="32"/>
          <w:lang w:val="en-US" w:eastAsia="zh-CN" w:bidi="ar"/>
        </w:rPr>
        <w:t>7</w:t>
      </w:r>
      <w:r>
        <w:rPr>
          <w:rFonts w:hint="default" w:ascii="Times New Roman" w:hAnsi="Times New Roman" w:eastAsia="仿宋_GB2312" w:cs="Times New Roman"/>
          <w:b w:val="0"/>
          <w:bCs/>
          <w:color w:val="auto"/>
          <w:kern w:val="0"/>
          <w:sz w:val="32"/>
          <w:szCs w:val="32"/>
          <w:lang w:val="en-US" w:eastAsia="zh-CN" w:bidi="ar"/>
        </w:rPr>
        <w:t>个少数民族自治县、19个彝族自治县之一。县域面积2382平方公里，全县户籍人口15.3万、彝族人口占36.6%，常住人口12.1万人。在省委确定的</w:t>
      </w:r>
      <w:r>
        <w:rPr>
          <w:rFonts w:hint="eastAsia" w:ascii="Times New Roman" w:hAnsi="Times New Roman" w:eastAsia="仿宋_GB2312" w:cs="Times New Roman"/>
          <w:b w:val="0"/>
          <w:bCs/>
          <w:color w:val="auto"/>
          <w:kern w:val="0"/>
          <w:sz w:val="32"/>
          <w:szCs w:val="32"/>
          <w:lang w:val="en-US" w:eastAsia="zh-CN" w:bidi="ar"/>
        </w:rPr>
        <w:t>“</w:t>
      </w:r>
      <w:r>
        <w:rPr>
          <w:rFonts w:hint="default" w:ascii="Times New Roman" w:hAnsi="Times New Roman" w:eastAsia="仿宋_GB2312" w:cs="Times New Roman"/>
          <w:b w:val="0"/>
          <w:bCs/>
          <w:color w:val="auto"/>
          <w:kern w:val="0"/>
          <w:sz w:val="32"/>
          <w:szCs w:val="32"/>
          <w:lang w:val="en-US" w:eastAsia="zh-CN" w:bidi="ar"/>
        </w:rPr>
        <w:t>四类地区</w:t>
      </w:r>
      <w:r>
        <w:rPr>
          <w:rFonts w:hint="eastAsia" w:ascii="Times New Roman" w:hAnsi="Times New Roman" w:eastAsia="仿宋_GB2312" w:cs="Times New Roman"/>
          <w:b w:val="0"/>
          <w:bCs/>
          <w:color w:val="auto"/>
          <w:kern w:val="0"/>
          <w:sz w:val="32"/>
          <w:szCs w:val="32"/>
          <w:lang w:val="en-US" w:eastAsia="zh-CN" w:bidi="ar"/>
        </w:rPr>
        <w:t>”</w:t>
      </w:r>
      <w:r>
        <w:rPr>
          <w:rFonts w:hint="default" w:ascii="Times New Roman" w:hAnsi="Times New Roman" w:eastAsia="仿宋_GB2312" w:cs="Times New Roman"/>
          <w:b w:val="0"/>
          <w:bCs/>
          <w:color w:val="auto"/>
          <w:kern w:val="0"/>
          <w:sz w:val="32"/>
          <w:szCs w:val="32"/>
          <w:lang w:val="en-US" w:eastAsia="zh-CN" w:bidi="ar"/>
        </w:rPr>
        <w:t>中属脱贫地区、民族地区、盆周山区，是四川省乡村振兴25个重点帮扶县之一，先后获得全国脱贫攻坚先进集体、全国民族团结进步示范县、四川省乡村振兴重点帮扶优秀县等荣誉。峨边是小凉山彝族文化的发祥地，彝族美神</w:t>
      </w:r>
      <w:r>
        <w:rPr>
          <w:rFonts w:hint="eastAsia" w:ascii="Times New Roman" w:hAnsi="Times New Roman" w:eastAsia="仿宋_GB2312" w:cs="Times New Roman"/>
          <w:b w:val="0"/>
          <w:bCs/>
          <w:color w:val="auto"/>
          <w:kern w:val="0"/>
          <w:sz w:val="32"/>
          <w:szCs w:val="32"/>
          <w:lang w:val="en-US" w:eastAsia="zh-CN" w:bidi="ar"/>
        </w:rPr>
        <w:t>“</w:t>
      </w:r>
      <w:r>
        <w:rPr>
          <w:rFonts w:hint="default" w:ascii="Times New Roman" w:hAnsi="Times New Roman" w:eastAsia="仿宋_GB2312" w:cs="Times New Roman"/>
          <w:b w:val="0"/>
          <w:bCs/>
          <w:color w:val="auto"/>
          <w:kern w:val="0"/>
          <w:sz w:val="32"/>
          <w:szCs w:val="32"/>
          <w:lang w:val="en-US" w:eastAsia="zh-CN" w:bidi="ar"/>
        </w:rPr>
        <w:t>甘嫫阿妞</w:t>
      </w:r>
      <w:r>
        <w:rPr>
          <w:rFonts w:hint="eastAsia" w:ascii="Times New Roman" w:hAnsi="Times New Roman" w:eastAsia="仿宋_GB2312" w:cs="Times New Roman"/>
          <w:b w:val="0"/>
          <w:bCs/>
          <w:color w:val="auto"/>
          <w:kern w:val="0"/>
          <w:sz w:val="32"/>
          <w:szCs w:val="32"/>
          <w:lang w:val="en-US" w:eastAsia="zh-CN" w:bidi="ar"/>
        </w:rPr>
        <w:t>”</w:t>
      </w:r>
      <w:r>
        <w:rPr>
          <w:rFonts w:hint="default" w:ascii="Times New Roman" w:hAnsi="Times New Roman" w:eastAsia="仿宋_GB2312" w:cs="Times New Roman"/>
          <w:b w:val="0"/>
          <w:bCs/>
          <w:color w:val="auto"/>
          <w:kern w:val="0"/>
          <w:sz w:val="32"/>
          <w:szCs w:val="32"/>
          <w:lang w:val="en-US" w:eastAsia="zh-CN" w:bidi="ar"/>
        </w:rPr>
        <w:t>故里，拥有53项非物质文化遗产，AAAA级景区1个、AAA级景区1个，旅游资源51处，黑竹沟风景名胜区被誉为</w:t>
      </w:r>
      <w:r>
        <w:rPr>
          <w:rFonts w:hint="eastAsia" w:ascii="Times New Roman" w:hAnsi="Times New Roman" w:eastAsia="仿宋_GB2312" w:cs="Times New Roman"/>
          <w:b w:val="0"/>
          <w:bCs/>
          <w:color w:val="auto"/>
          <w:kern w:val="0"/>
          <w:sz w:val="32"/>
          <w:szCs w:val="32"/>
          <w:lang w:val="en-US" w:eastAsia="zh-CN" w:bidi="ar"/>
        </w:rPr>
        <w:t>“</w:t>
      </w:r>
      <w:r>
        <w:rPr>
          <w:rFonts w:hint="default" w:ascii="Times New Roman" w:hAnsi="Times New Roman" w:eastAsia="仿宋_GB2312" w:cs="Times New Roman"/>
          <w:b w:val="0"/>
          <w:bCs/>
          <w:color w:val="auto"/>
          <w:kern w:val="0"/>
          <w:sz w:val="32"/>
          <w:szCs w:val="32"/>
          <w:lang w:val="en-US" w:eastAsia="zh-CN" w:bidi="ar"/>
        </w:rPr>
        <w:t>世界迷都</w:t>
      </w:r>
      <w:r>
        <w:rPr>
          <w:rFonts w:hint="eastAsia" w:ascii="Times New Roman" w:hAnsi="Times New Roman" w:eastAsia="仿宋_GB2312" w:cs="Times New Roman"/>
          <w:b w:val="0"/>
          <w:bCs/>
          <w:color w:val="auto"/>
          <w:kern w:val="0"/>
          <w:sz w:val="32"/>
          <w:szCs w:val="32"/>
          <w:lang w:val="en-US" w:eastAsia="zh-CN" w:bidi="ar"/>
        </w:rPr>
        <w:t>”</w:t>
      </w:r>
      <w:r>
        <w:rPr>
          <w:rFonts w:hint="default" w:ascii="Times New Roman" w:hAnsi="Times New Roman" w:eastAsia="仿宋_GB2312" w:cs="Times New Roman"/>
          <w:b w:val="0"/>
          <w:bCs/>
          <w:color w:val="auto"/>
          <w:kern w:val="0"/>
          <w:sz w:val="32"/>
          <w:szCs w:val="32"/>
          <w:lang w:val="en-US" w:eastAsia="zh-CN" w:bidi="ar"/>
        </w:rPr>
        <w:t>，是乐山</w:t>
      </w:r>
      <w:r>
        <w:rPr>
          <w:rFonts w:hint="eastAsia" w:ascii="Times New Roman" w:hAnsi="Times New Roman" w:eastAsia="仿宋_GB2312" w:cs="Times New Roman"/>
          <w:b w:val="0"/>
          <w:bCs/>
          <w:color w:val="auto"/>
          <w:kern w:val="0"/>
          <w:sz w:val="32"/>
          <w:szCs w:val="32"/>
          <w:lang w:val="en-US" w:eastAsia="zh-CN" w:bidi="ar"/>
        </w:rPr>
        <w:t>“</w:t>
      </w:r>
      <w:r>
        <w:rPr>
          <w:rFonts w:hint="default" w:ascii="Times New Roman" w:hAnsi="Times New Roman" w:eastAsia="仿宋_GB2312" w:cs="Times New Roman"/>
          <w:b w:val="0"/>
          <w:bCs/>
          <w:color w:val="auto"/>
          <w:kern w:val="0"/>
          <w:sz w:val="32"/>
          <w:szCs w:val="32"/>
          <w:lang w:val="en-US" w:eastAsia="zh-CN" w:bidi="ar"/>
        </w:rPr>
        <w:t>大峨眉</w:t>
      </w:r>
      <w:r>
        <w:rPr>
          <w:rFonts w:hint="eastAsia" w:ascii="Times New Roman" w:hAnsi="Times New Roman" w:eastAsia="仿宋_GB2312" w:cs="Times New Roman"/>
          <w:b w:val="0"/>
          <w:bCs/>
          <w:color w:val="auto"/>
          <w:kern w:val="0"/>
          <w:sz w:val="32"/>
          <w:szCs w:val="32"/>
          <w:lang w:val="en-US" w:eastAsia="zh-CN" w:bidi="ar"/>
        </w:rPr>
        <w:t>”“</w:t>
      </w:r>
      <w:r>
        <w:rPr>
          <w:rFonts w:hint="default" w:ascii="Times New Roman" w:hAnsi="Times New Roman" w:eastAsia="仿宋_GB2312" w:cs="Times New Roman"/>
          <w:b w:val="0"/>
          <w:bCs/>
          <w:color w:val="auto"/>
          <w:kern w:val="0"/>
          <w:sz w:val="32"/>
          <w:szCs w:val="32"/>
          <w:lang w:val="en-US" w:eastAsia="zh-CN" w:bidi="ar"/>
        </w:rPr>
        <w:t>小凉山</w:t>
      </w:r>
      <w:r>
        <w:rPr>
          <w:rFonts w:hint="eastAsia" w:ascii="Times New Roman" w:hAnsi="Times New Roman" w:eastAsia="仿宋_GB2312" w:cs="Times New Roman"/>
          <w:b w:val="0"/>
          <w:bCs/>
          <w:color w:val="auto"/>
          <w:kern w:val="0"/>
          <w:sz w:val="32"/>
          <w:szCs w:val="32"/>
          <w:lang w:val="en-US" w:eastAsia="zh-CN" w:bidi="ar"/>
        </w:rPr>
        <w:t>”</w:t>
      </w:r>
      <w:r>
        <w:rPr>
          <w:rFonts w:hint="default" w:ascii="Times New Roman" w:hAnsi="Times New Roman" w:eastAsia="仿宋_GB2312" w:cs="Times New Roman"/>
          <w:b w:val="0"/>
          <w:bCs/>
          <w:color w:val="auto"/>
          <w:kern w:val="0"/>
          <w:sz w:val="32"/>
          <w:szCs w:val="32"/>
          <w:lang w:val="en-US" w:eastAsia="zh-CN" w:bidi="ar"/>
        </w:rPr>
        <w:t>旅游圈的重要节点。</w:t>
      </w:r>
    </w:p>
    <w:p w14:paraId="7B16B4B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楷体_GB2312" w:cs="Times New Roman"/>
          <w:b w:val="0"/>
          <w:bCs/>
          <w:color w:val="auto"/>
          <w:sz w:val="32"/>
          <w:szCs w:val="32"/>
          <w:lang w:val="en-US" w:eastAsia="zh-CN"/>
        </w:rPr>
        <w:t>农村基层党组织建设情况。</w:t>
      </w:r>
      <w:r>
        <w:rPr>
          <w:rFonts w:hint="default" w:ascii="Times New Roman" w:hAnsi="Times New Roman" w:eastAsia="仿宋_GB2312" w:cs="Times New Roman"/>
          <w:b w:val="0"/>
          <w:bCs/>
          <w:color w:val="auto"/>
          <w:sz w:val="32"/>
          <w:szCs w:val="32"/>
          <w:lang w:val="en-US" w:eastAsia="zh-CN"/>
        </w:rPr>
        <w:t>全县共有</w:t>
      </w:r>
      <w:r>
        <w:rPr>
          <w:rFonts w:hint="default" w:ascii="Times New Roman" w:hAnsi="Times New Roman" w:eastAsia="仿宋_GB2312" w:cs="Times New Roman"/>
          <w:b w:val="0"/>
          <w:bCs/>
          <w:color w:val="auto"/>
          <w:sz w:val="32"/>
          <w:szCs w:val="32"/>
        </w:rPr>
        <w:t>91个行政村、8个社区</w:t>
      </w:r>
      <w:r>
        <w:rPr>
          <w:rFonts w:hint="default" w:ascii="Times New Roman" w:hAnsi="Times New Roman" w:eastAsia="仿宋_GB2312" w:cs="Times New Roman"/>
          <w:b w:val="0"/>
          <w:bCs/>
          <w:color w:val="auto"/>
          <w:sz w:val="32"/>
          <w:szCs w:val="32"/>
          <w:lang w:val="en-US" w:eastAsia="zh-CN"/>
        </w:rPr>
        <w:t>，建有村党支部91个，有农村党员3769名。村党组织书记、主任</w:t>
      </w:r>
      <w:r>
        <w:rPr>
          <w:rFonts w:hint="eastAsia"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b w:val="0"/>
          <w:bCs/>
          <w:color w:val="auto"/>
          <w:sz w:val="32"/>
          <w:szCs w:val="32"/>
          <w:lang w:val="en-US" w:eastAsia="zh-CN"/>
        </w:rPr>
        <w:t>一肩挑</w:t>
      </w:r>
      <w:r>
        <w:rPr>
          <w:rFonts w:hint="eastAsia"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b w:val="0"/>
          <w:bCs/>
          <w:color w:val="auto"/>
          <w:sz w:val="32"/>
          <w:szCs w:val="32"/>
          <w:lang w:val="en-US" w:eastAsia="zh-CN"/>
        </w:rPr>
        <w:t>比例为100%，平均年龄41.38岁，高中以上学历87人，占总数的95.6%。村</w:t>
      </w:r>
      <w:r>
        <w:rPr>
          <w:rFonts w:hint="eastAsia"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b w:val="0"/>
          <w:bCs/>
          <w:color w:val="auto"/>
          <w:sz w:val="32"/>
          <w:szCs w:val="32"/>
          <w:lang w:val="en-US" w:eastAsia="zh-CN"/>
        </w:rPr>
        <w:t>两委</w:t>
      </w:r>
      <w:r>
        <w:rPr>
          <w:rFonts w:hint="eastAsia"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b w:val="0"/>
          <w:bCs/>
          <w:color w:val="auto"/>
          <w:sz w:val="32"/>
          <w:szCs w:val="32"/>
          <w:lang w:val="en-US" w:eastAsia="zh-CN"/>
        </w:rPr>
        <w:t>常职干部478人，动态储备培养村级后备力量198名。</w:t>
      </w:r>
    </w:p>
    <w:p w14:paraId="201EA5B1">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b w:val="0"/>
          <w:bCs/>
          <w:color w:val="C00000"/>
          <w:sz w:val="32"/>
          <w:szCs w:val="32"/>
          <w:lang w:val="en-US" w:eastAsia="zh-CN"/>
        </w:rPr>
      </w:pPr>
      <w:r>
        <w:rPr>
          <w:rFonts w:hint="default" w:ascii="Times New Roman" w:hAnsi="Times New Roman" w:eastAsia="楷体_GB2312" w:cs="Times New Roman"/>
          <w:b w:val="0"/>
          <w:bCs/>
          <w:color w:val="auto"/>
          <w:sz w:val="32"/>
          <w:szCs w:val="32"/>
          <w:lang w:val="en-US" w:eastAsia="zh-CN"/>
        </w:rPr>
        <w:t>村集体经济发展情况。</w:t>
      </w:r>
      <w:r>
        <w:rPr>
          <w:rFonts w:hint="default" w:ascii="Times New Roman" w:hAnsi="Times New Roman" w:eastAsia="仿宋_GB2312" w:cs="Times New Roman"/>
          <w:b w:val="0"/>
          <w:bCs/>
          <w:color w:val="auto"/>
          <w:sz w:val="32"/>
          <w:szCs w:val="32"/>
          <w:lang w:val="en-US" w:eastAsia="zh-CN"/>
        </w:rPr>
        <w:t>全县农村集体经济涉及13个乡镇、91个行政村508个经济社，91名村党组织书记，农业户数36739户，农业人口131569人。</w:t>
      </w:r>
      <w:r>
        <w:rPr>
          <w:rFonts w:hint="eastAsia" w:ascii="Times New Roman" w:hAnsi="Times New Roman" w:eastAsia="仿宋_GB2312" w:cs="Times New Roman"/>
          <w:b w:val="0"/>
          <w:bCs/>
          <w:color w:val="auto"/>
          <w:sz w:val="32"/>
          <w:szCs w:val="32"/>
          <w:lang w:val="en-US" w:eastAsia="zh-CN"/>
        </w:rPr>
        <w:t>截至2022年</w:t>
      </w:r>
      <w:r>
        <w:rPr>
          <w:rFonts w:hint="default" w:ascii="Times New Roman" w:hAnsi="Times New Roman" w:eastAsia="仿宋_GB2312" w:cs="Times New Roman"/>
          <w:b w:val="0"/>
          <w:bCs/>
          <w:color w:val="auto"/>
          <w:sz w:val="32"/>
          <w:szCs w:val="32"/>
          <w:lang w:val="en-US" w:eastAsia="zh-CN"/>
        </w:rPr>
        <w:t>12月底，全县共有13个村级集体经济项目争取到中省财政资金扶持1400万元，全县91个行政村农村集体经济收入总计约为1162.34万元，人均集体经济收入约88.34元，57个村实现了人均集体经济收入50元以上。</w:t>
      </w:r>
    </w:p>
    <w:p w14:paraId="361BD8B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b w:val="0"/>
          <w:bCs/>
          <w:color w:val="auto"/>
          <w:kern w:val="0"/>
          <w:sz w:val="32"/>
          <w:szCs w:val="32"/>
          <w:lang w:val="en-US" w:eastAsia="zh-CN" w:bidi="ar"/>
        </w:rPr>
      </w:pPr>
      <w:r>
        <w:rPr>
          <w:rFonts w:hint="default" w:ascii="Times New Roman" w:hAnsi="Times New Roman" w:eastAsia="楷体_GB2312" w:cs="Times New Roman"/>
          <w:b w:val="0"/>
          <w:bCs/>
          <w:color w:val="auto"/>
          <w:sz w:val="32"/>
          <w:szCs w:val="32"/>
          <w:lang w:val="en-US" w:eastAsia="zh-CN"/>
        </w:rPr>
        <w:t>县域经济发展情况。</w:t>
      </w:r>
      <w:r>
        <w:rPr>
          <w:rFonts w:hint="default" w:ascii="Times New Roman" w:hAnsi="Times New Roman" w:eastAsia="仿宋_GB2312" w:cs="Times New Roman"/>
          <w:b w:val="0"/>
          <w:bCs/>
          <w:color w:val="auto"/>
          <w:kern w:val="0"/>
          <w:sz w:val="32"/>
          <w:szCs w:val="32"/>
          <w:lang w:val="en-US" w:eastAsia="zh-CN" w:bidi="ar"/>
        </w:rPr>
        <w:t>2022年，全县地区生产总值65.26亿元，增长3.4%、居全市第3位；规模以上工业增加值增长2.5%、连续五年居全市前5位；全社会固定资产投资增长11.8%、居全市第4位；社会消费品零售总额27.14亿元，增长1.4%、居全市第5位；地方一般公共预算收入9亿元、增长107.4%；城乡居民人均可支配收入分别增长4.8%、6.9%，分别居全市第6位、第2位。</w:t>
      </w:r>
    </w:p>
    <w:p w14:paraId="29E83A4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kern w:val="2"/>
          <w:sz w:val="32"/>
          <w:szCs w:val="32"/>
          <w:lang w:val="en-US" w:eastAsia="zh-CN" w:bidi="ar-SA"/>
        </w:rPr>
        <w:t>（一）</w:t>
      </w:r>
      <w:r>
        <w:rPr>
          <w:rFonts w:hint="eastAsia" w:ascii="楷体_GB2312" w:hAnsi="楷体_GB2312" w:eastAsia="楷体_GB2312" w:cs="楷体_GB2312"/>
          <w:b w:val="0"/>
          <w:bCs/>
          <w:sz w:val="32"/>
          <w:szCs w:val="32"/>
          <w:lang w:val="en-US" w:eastAsia="zh-CN"/>
        </w:rPr>
        <w:t>项目资金申报及批复情况。</w:t>
      </w:r>
    </w:p>
    <w:p w14:paraId="69D43D42">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该项目经费2023年预算900万元，批复900万元。</w:t>
      </w:r>
    </w:p>
    <w:p w14:paraId="02A420E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楷体_GB2312" w:hAnsi="楷体_GB2312" w:eastAsia="楷体_GB2312" w:cs="楷体_GB2312"/>
          <w:b w:val="0"/>
          <w:bCs/>
          <w:kern w:val="2"/>
          <w:sz w:val="32"/>
          <w:szCs w:val="32"/>
          <w:lang w:val="en-US" w:eastAsia="zh-CN" w:bidi="ar-SA"/>
        </w:rPr>
      </w:pPr>
      <w:r>
        <w:rPr>
          <w:rFonts w:hint="eastAsia" w:ascii="楷体_GB2312" w:hAnsi="楷体_GB2312" w:eastAsia="楷体_GB2312" w:cs="楷体_GB2312"/>
          <w:b w:val="0"/>
          <w:bCs/>
          <w:kern w:val="2"/>
          <w:sz w:val="32"/>
          <w:szCs w:val="32"/>
          <w:lang w:val="en-US" w:eastAsia="zh-CN" w:bidi="ar-SA"/>
        </w:rPr>
        <w:t>（二）项目绩效目标。</w:t>
      </w:r>
    </w:p>
    <w:p w14:paraId="31406581">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2023年确定6个行政村作为新型农村集体经济项目扶持村，具体为：沙坪镇松林坡村</w:t>
      </w:r>
      <w:r>
        <w:rPr>
          <w:rFonts w:hint="eastAsia" w:ascii="Times New Roman" w:hAnsi="Times New Roman" w:eastAsia="仿宋_GB2312" w:cs="Times New Roman"/>
          <w:b w:val="0"/>
          <w:bCs/>
          <w:kern w:val="2"/>
          <w:sz w:val="32"/>
          <w:szCs w:val="32"/>
          <w:lang w:val="en-US" w:eastAsia="zh-CN" w:bidi="ar-SA"/>
        </w:rPr>
        <w:t>，</w:t>
      </w:r>
      <w:r>
        <w:rPr>
          <w:rFonts w:hint="default" w:ascii="Times New Roman" w:hAnsi="Times New Roman" w:eastAsia="仿宋_GB2312" w:cs="Times New Roman"/>
          <w:b w:val="0"/>
          <w:bCs/>
          <w:kern w:val="2"/>
          <w:sz w:val="32"/>
          <w:szCs w:val="32"/>
          <w:lang w:val="en-US" w:eastAsia="zh-CN" w:bidi="ar-SA"/>
        </w:rPr>
        <w:t>大堡镇</w:t>
      </w:r>
      <w:r>
        <w:rPr>
          <w:rFonts w:hint="eastAsia" w:ascii="Times New Roman" w:hAnsi="Times New Roman" w:eastAsia="仿宋_GB2312" w:cs="Times New Roman"/>
          <w:b w:val="0"/>
          <w:bCs/>
          <w:kern w:val="2"/>
          <w:sz w:val="32"/>
          <w:szCs w:val="32"/>
          <w:lang w:val="en-US" w:eastAsia="zh-CN" w:bidi="ar-SA"/>
        </w:rPr>
        <w:t>集广</w:t>
      </w:r>
      <w:r>
        <w:rPr>
          <w:rFonts w:hint="default" w:ascii="Times New Roman" w:hAnsi="Times New Roman" w:eastAsia="仿宋_GB2312" w:cs="Times New Roman"/>
          <w:b w:val="0"/>
          <w:bCs/>
          <w:kern w:val="2"/>
          <w:sz w:val="32"/>
          <w:szCs w:val="32"/>
          <w:lang w:val="en-US" w:eastAsia="zh-CN" w:bidi="ar-SA"/>
        </w:rPr>
        <w:t>村、</w:t>
      </w:r>
      <w:r>
        <w:rPr>
          <w:rFonts w:hint="eastAsia" w:ascii="Times New Roman" w:hAnsi="Times New Roman" w:eastAsia="仿宋_GB2312" w:cs="Times New Roman"/>
          <w:b w:val="0"/>
          <w:bCs/>
          <w:kern w:val="2"/>
          <w:sz w:val="32"/>
          <w:szCs w:val="32"/>
          <w:lang w:val="en-US" w:eastAsia="zh-CN" w:bidi="ar-SA"/>
        </w:rPr>
        <w:t>双九村，红旗镇上云村，</w:t>
      </w:r>
      <w:r>
        <w:rPr>
          <w:rFonts w:hint="default" w:ascii="Times New Roman" w:hAnsi="Times New Roman" w:eastAsia="仿宋_GB2312" w:cs="Times New Roman"/>
          <w:b w:val="0"/>
          <w:bCs/>
          <w:kern w:val="2"/>
          <w:sz w:val="32"/>
          <w:szCs w:val="32"/>
          <w:lang w:val="en-US" w:eastAsia="zh-CN" w:bidi="ar-SA"/>
        </w:rPr>
        <w:t>宜坪乡宜坪村、</w:t>
      </w:r>
      <w:r>
        <w:rPr>
          <w:rFonts w:hint="eastAsia" w:ascii="Times New Roman" w:hAnsi="Times New Roman" w:eastAsia="仿宋_GB2312" w:cs="Times New Roman"/>
          <w:b w:val="0"/>
          <w:bCs/>
          <w:kern w:val="2"/>
          <w:sz w:val="32"/>
          <w:szCs w:val="32"/>
          <w:lang w:val="en-US" w:eastAsia="zh-CN" w:bidi="ar-SA"/>
        </w:rPr>
        <w:t>庙岗</w:t>
      </w:r>
      <w:r>
        <w:rPr>
          <w:rFonts w:hint="default" w:ascii="Times New Roman" w:hAnsi="Times New Roman" w:eastAsia="仿宋_GB2312" w:cs="Times New Roman"/>
          <w:b w:val="0"/>
          <w:bCs/>
          <w:kern w:val="2"/>
          <w:sz w:val="32"/>
          <w:szCs w:val="32"/>
          <w:lang w:val="en-US" w:eastAsia="zh-CN" w:bidi="ar-SA"/>
        </w:rPr>
        <w:t>村。</w:t>
      </w:r>
    </w:p>
    <w:p w14:paraId="7A020E8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楷体_GB2312" w:hAnsi="楷体_GB2312" w:eastAsia="楷体_GB2312" w:cs="楷体_GB2312"/>
          <w:b w:val="0"/>
          <w:bCs/>
          <w:kern w:val="2"/>
          <w:sz w:val="32"/>
          <w:szCs w:val="32"/>
          <w:lang w:val="en-US" w:eastAsia="zh-CN" w:bidi="ar-SA"/>
        </w:rPr>
      </w:pPr>
      <w:r>
        <w:rPr>
          <w:rFonts w:hint="eastAsia" w:ascii="楷体_GB2312" w:hAnsi="楷体_GB2312" w:eastAsia="楷体_GB2312" w:cs="楷体_GB2312"/>
          <w:b w:val="0"/>
          <w:bCs/>
          <w:kern w:val="2"/>
          <w:sz w:val="32"/>
          <w:szCs w:val="32"/>
          <w:lang w:val="en-US" w:eastAsia="zh-CN" w:bidi="ar-SA"/>
        </w:rPr>
        <w:t>（三）项目资金申报相符性。</w:t>
      </w:r>
    </w:p>
    <w:p w14:paraId="23FF2407">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项目申报内容与实际相符，申报目标合理可行。</w:t>
      </w:r>
    </w:p>
    <w:p w14:paraId="249C2028">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二、项目实施及管理情况</w:t>
      </w:r>
    </w:p>
    <w:p w14:paraId="7417B4E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楷体_GB2312" w:hAnsi="楷体_GB2312" w:eastAsia="楷体_GB2312" w:cs="楷体_GB2312"/>
          <w:b w:val="0"/>
          <w:bCs/>
          <w:kern w:val="2"/>
          <w:sz w:val="32"/>
          <w:szCs w:val="32"/>
          <w:lang w:val="en-US" w:eastAsia="zh-CN" w:bidi="ar-SA"/>
        </w:rPr>
      </w:pPr>
      <w:r>
        <w:rPr>
          <w:rFonts w:hint="eastAsia" w:ascii="楷体_GB2312" w:hAnsi="楷体_GB2312" w:eastAsia="楷体_GB2312" w:cs="楷体_GB2312"/>
          <w:b w:val="0"/>
          <w:bCs/>
          <w:kern w:val="2"/>
          <w:sz w:val="32"/>
          <w:szCs w:val="32"/>
          <w:lang w:val="en-US" w:eastAsia="zh-CN" w:bidi="ar-SA"/>
        </w:rPr>
        <w:t>（一）资金计划、到位及使用情况。</w:t>
      </w:r>
    </w:p>
    <w:p w14:paraId="13587546">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1.资金计划到位。该项目经费预算为900万元，截至2023年底，该项目经费财政拨款900万元，全部拨付到位，资金到位率100%。</w:t>
      </w:r>
    </w:p>
    <w:p w14:paraId="08540087">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2.资金使用。截</w:t>
      </w:r>
      <w:r>
        <w:rPr>
          <w:rFonts w:hint="eastAsia" w:ascii="仿宋_GB2312" w:hAnsi="仿宋_GB2312" w:cs="仿宋_GB2312"/>
          <w:b w:val="0"/>
          <w:bCs/>
          <w:color w:val="auto"/>
          <w:sz w:val="32"/>
          <w:szCs w:val="32"/>
          <w:lang w:val="en-US" w:eastAsia="zh-CN"/>
        </w:rPr>
        <w:t>至</w:t>
      </w:r>
      <w:r>
        <w:rPr>
          <w:rFonts w:hint="eastAsia" w:ascii="仿宋_GB2312" w:hAnsi="仿宋_GB2312" w:eastAsia="仿宋_GB2312" w:cs="仿宋_GB2312"/>
          <w:b w:val="0"/>
          <w:bCs/>
          <w:color w:val="auto"/>
          <w:sz w:val="32"/>
          <w:szCs w:val="32"/>
          <w:lang w:val="en-US" w:eastAsia="zh-CN"/>
        </w:rPr>
        <w:t>2023年12月31日，项目资金实际支付900万元。在实际使用中，财务严格把关，对项目</w:t>
      </w:r>
      <w:r>
        <w:rPr>
          <w:rFonts w:hint="eastAsia" w:ascii="仿宋_GB2312" w:hAnsi="仿宋_GB2312" w:cs="仿宋_GB2312"/>
          <w:b w:val="0"/>
          <w:bCs/>
          <w:color w:val="auto"/>
          <w:sz w:val="32"/>
          <w:szCs w:val="32"/>
          <w:lang w:val="en-US" w:eastAsia="zh-CN"/>
        </w:rPr>
        <w:t>所有</w:t>
      </w:r>
      <w:r>
        <w:rPr>
          <w:rFonts w:hint="eastAsia" w:ascii="仿宋_GB2312" w:hAnsi="仿宋_GB2312" w:eastAsia="仿宋_GB2312" w:cs="仿宋_GB2312"/>
          <w:b w:val="0"/>
          <w:bCs/>
          <w:color w:val="auto"/>
          <w:sz w:val="32"/>
          <w:szCs w:val="32"/>
          <w:lang w:val="en-US" w:eastAsia="zh-CN"/>
        </w:rPr>
        <w:t>开支的范围、标准、进度、依据逐一进行核查，确保资金使用合规合法，与预算相符。</w:t>
      </w:r>
    </w:p>
    <w:p w14:paraId="461A4CF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楷体_GB2312" w:hAnsi="楷体_GB2312" w:eastAsia="楷体_GB2312" w:cs="楷体_GB2312"/>
          <w:b w:val="0"/>
          <w:bCs/>
          <w:kern w:val="2"/>
          <w:sz w:val="32"/>
          <w:szCs w:val="32"/>
          <w:lang w:val="en-US" w:eastAsia="zh-CN" w:bidi="ar-SA"/>
        </w:rPr>
      </w:pPr>
      <w:r>
        <w:rPr>
          <w:rFonts w:hint="eastAsia" w:ascii="楷体_GB2312" w:hAnsi="楷体_GB2312" w:eastAsia="楷体_GB2312" w:cs="楷体_GB2312"/>
          <w:b w:val="0"/>
          <w:bCs/>
          <w:kern w:val="2"/>
          <w:sz w:val="32"/>
          <w:szCs w:val="32"/>
          <w:lang w:val="en-US" w:eastAsia="zh-CN" w:bidi="ar-SA"/>
        </w:rPr>
        <w:t>（二）项目财务管理情况</w:t>
      </w:r>
    </w:p>
    <w:p w14:paraId="1FC25483">
      <w:pPr>
        <w:pStyle w:val="2"/>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严格执行机关财务管理制度。对该项目经费采取授权支付形式，资金使用按照“一事一请示”原则申请相关费用，工作结束后，机关财务对每笔支出进行认真审核，在预算控制范围内予以报销，财务处理及时，会计核算规范。</w:t>
      </w:r>
    </w:p>
    <w:p w14:paraId="17A38E7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楷体_GB2312" w:hAnsi="楷体_GB2312" w:eastAsia="楷体_GB2312" w:cs="楷体_GB2312"/>
          <w:b w:val="0"/>
          <w:bCs/>
          <w:kern w:val="2"/>
          <w:sz w:val="32"/>
          <w:szCs w:val="32"/>
          <w:lang w:val="en-US" w:eastAsia="zh-CN" w:bidi="ar-SA"/>
        </w:rPr>
      </w:pPr>
      <w:r>
        <w:rPr>
          <w:rFonts w:hint="eastAsia" w:ascii="楷体_GB2312" w:hAnsi="楷体_GB2312" w:eastAsia="楷体_GB2312" w:cs="楷体_GB2312"/>
          <w:b w:val="0"/>
          <w:bCs/>
          <w:kern w:val="2"/>
          <w:sz w:val="32"/>
          <w:szCs w:val="32"/>
          <w:lang w:val="en-US" w:eastAsia="zh-CN" w:bidi="ar-SA"/>
        </w:rPr>
        <w:t>（三）项目组织实施情况。</w:t>
      </w:r>
    </w:p>
    <w:p w14:paraId="05E51EE3">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仿宋_GB2312" w:cs="仿宋_GB2312"/>
          <w:b w:val="0"/>
          <w:bCs/>
          <w:sz w:val="32"/>
          <w:szCs w:val="32"/>
          <w:u w:val="none"/>
        </w:rPr>
      </w:pPr>
      <w:r>
        <w:rPr>
          <w:rFonts w:hint="eastAsia" w:ascii="Times New Roman" w:hAnsi="Times New Roman" w:eastAsia="仿宋_GB2312" w:cs="仿宋_GB2312"/>
          <w:b w:val="0"/>
          <w:bCs/>
          <w:sz w:val="32"/>
          <w:szCs w:val="32"/>
          <w:u w:val="none"/>
        </w:rPr>
        <w:t>1.资金筹集。20</w:t>
      </w:r>
      <w:r>
        <w:rPr>
          <w:rFonts w:hint="eastAsia" w:ascii="Times New Roman" w:hAnsi="Times New Roman" w:eastAsia="仿宋_GB2312" w:cs="仿宋_GB2312"/>
          <w:b w:val="0"/>
          <w:bCs/>
          <w:sz w:val="32"/>
          <w:szCs w:val="32"/>
          <w:u w:val="none"/>
          <w:lang w:val="en-US" w:eastAsia="zh-CN"/>
        </w:rPr>
        <w:t>2</w:t>
      </w:r>
      <w:r>
        <w:rPr>
          <w:rFonts w:hint="eastAsia" w:ascii="Times New Roman" w:hAnsi="Times New Roman" w:cs="仿宋_GB2312"/>
          <w:b w:val="0"/>
          <w:bCs/>
          <w:sz w:val="32"/>
          <w:szCs w:val="32"/>
          <w:u w:val="none"/>
          <w:lang w:val="en-US" w:eastAsia="zh-CN"/>
        </w:rPr>
        <w:t>3</w:t>
      </w:r>
      <w:r>
        <w:rPr>
          <w:rFonts w:hint="eastAsia" w:ascii="Times New Roman" w:hAnsi="Times New Roman" w:eastAsia="仿宋_GB2312" w:cs="仿宋_GB2312"/>
          <w:b w:val="0"/>
          <w:bCs/>
          <w:sz w:val="32"/>
          <w:szCs w:val="32"/>
          <w:u w:val="none"/>
        </w:rPr>
        <w:t>年</w:t>
      </w:r>
      <w:r>
        <w:rPr>
          <w:rFonts w:hint="eastAsia" w:cs="仿宋_GB2312"/>
          <w:b w:val="0"/>
          <w:bCs/>
          <w:sz w:val="32"/>
          <w:szCs w:val="32"/>
          <w:u w:val="none"/>
          <w:lang w:eastAsia="zh-CN"/>
        </w:rPr>
        <w:t>峨边彝族自治县</w:t>
      </w:r>
      <w:r>
        <w:rPr>
          <w:rFonts w:hint="eastAsia" w:ascii="Times New Roman" w:hAnsi="Times New Roman" w:eastAsia="仿宋_GB2312" w:cs="仿宋_GB2312"/>
          <w:b w:val="0"/>
          <w:bCs/>
          <w:sz w:val="32"/>
          <w:szCs w:val="32"/>
          <w:u w:val="none"/>
        </w:rPr>
        <w:t>扶持发展村集体经济</w:t>
      </w:r>
      <w:r>
        <w:rPr>
          <w:rFonts w:hint="eastAsia" w:cs="仿宋_GB2312"/>
          <w:b w:val="0"/>
          <w:bCs/>
          <w:sz w:val="32"/>
          <w:szCs w:val="32"/>
          <w:u w:val="none"/>
          <w:lang w:eastAsia="zh-CN"/>
        </w:rPr>
        <w:t>中央省级总投资</w:t>
      </w:r>
      <w:r>
        <w:rPr>
          <w:rFonts w:hint="eastAsia" w:cs="仿宋_GB2312"/>
          <w:b w:val="0"/>
          <w:bCs/>
          <w:sz w:val="32"/>
          <w:szCs w:val="32"/>
          <w:u w:val="none"/>
          <w:lang w:val="en-US" w:eastAsia="zh-CN"/>
        </w:rPr>
        <w:t>900万，</w:t>
      </w:r>
      <w:r>
        <w:rPr>
          <w:rFonts w:hint="eastAsia" w:ascii="Times New Roman" w:hAnsi="Times New Roman" w:eastAsia="仿宋_GB2312" w:cs="仿宋_GB2312"/>
          <w:b w:val="0"/>
          <w:bCs/>
          <w:sz w:val="32"/>
          <w:szCs w:val="32"/>
          <w:u w:val="none"/>
        </w:rPr>
        <w:t>其中，中央资金</w:t>
      </w:r>
      <w:r>
        <w:rPr>
          <w:rFonts w:hint="eastAsia" w:ascii="Times New Roman" w:hAnsi="Times New Roman" w:cs="仿宋_GB2312"/>
          <w:b w:val="0"/>
          <w:bCs/>
          <w:sz w:val="32"/>
          <w:szCs w:val="32"/>
          <w:u w:val="none"/>
          <w:lang w:val="en-US" w:eastAsia="zh-CN"/>
        </w:rPr>
        <w:t>420</w:t>
      </w:r>
      <w:r>
        <w:rPr>
          <w:rFonts w:hint="eastAsia" w:ascii="Times New Roman" w:hAnsi="Times New Roman" w:eastAsia="仿宋_GB2312" w:cs="仿宋_GB2312"/>
          <w:b w:val="0"/>
          <w:bCs/>
          <w:sz w:val="32"/>
          <w:szCs w:val="32"/>
          <w:u w:val="none"/>
        </w:rPr>
        <w:t>万元、省级资金</w:t>
      </w:r>
      <w:r>
        <w:rPr>
          <w:rFonts w:hint="eastAsia" w:ascii="Times New Roman" w:hAnsi="Times New Roman" w:cs="仿宋_GB2312"/>
          <w:b w:val="0"/>
          <w:bCs/>
          <w:sz w:val="32"/>
          <w:szCs w:val="32"/>
          <w:u w:val="none"/>
          <w:lang w:val="en-US" w:eastAsia="zh-CN"/>
        </w:rPr>
        <w:t>240</w:t>
      </w:r>
      <w:r>
        <w:rPr>
          <w:rFonts w:hint="eastAsia" w:ascii="Times New Roman" w:hAnsi="Times New Roman" w:eastAsia="仿宋_GB2312" w:cs="仿宋_GB2312"/>
          <w:b w:val="0"/>
          <w:bCs/>
          <w:sz w:val="32"/>
          <w:szCs w:val="32"/>
          <w:u w:val="none"/>
        </w:rPr>
        <w:t>万元</w:t>
      </w:r>
      <w:r>
        <w:rPr>
          <w:rFonts w:hint="eastAsia" w:cs="仿宋_GB2312"/>
          <w:b w:val="0"/>
          <w:bCs/>
          <w:sz w:val="32"/>
          <w:szCs w:val="32"/>
          <w:u w:val="none"/>
          <w:lang w:eastAsia="zh-CN"/>
        </w:rPr>
        <w:t>，县级配套</w:t>
      </w:r>
      <w:r>
        <w:rPr>
          <w:rFonts w:hint="eastAsia" w:cs="仿宋_GB2312"/>
          <w:b w:val="0"/>
          <w:bCs/>
          <w:sz w:val="32"/>
          <w:szCs w:val="32"/>
          <w:u w:val="none"/>
          <w:lang w:val="en-US" w:eastAsia="zh-CN"/>
        </w:rPr>
        <w:t>240万，</w:t>
      </w:r>
      <w:r>
        <w:rPr>
          <w:rFonts w:hint="eastAsia" w:ascii="Times New Roman" w:hAnsi="Times New Roman" w:eastAsia="仿宋_GB2312" w:cs="仿宋_GB2312"/>
          <w:b w:val="0"/>
          <w:bCs/>
          <w:sz w:val="32"/>
          <w:szCs w:val="32"/>
          <w:u w:val="none"/>
        </w:rPr>
        <w:t>主要用于特色种养产业发展项目建设。</w:t>
      </w:r>
    </w:p>
    <w:p w14:paraId="3776DCF3">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eastAsia" w:ascii="Times New Roman" w:hAnsi="Times New Roman" w:eastAsia="仿宋_GB2312" w:cs="仿宋_GB2312"/>
          <w:b w:val="0"/>
          <w:bCs/>
          <w:sz w:val="32"/>
          <w:szCs w:val="32"/>
          <w:u w:val="none"/>
        </w:rPr>
      </w:pPr>
      <w:r>
        <w:rPr>
          <w:rFonts w:hint="eastAsia" w:ascii="仿宋_GB2312" w:hAnsi="仿宋_GB2312" w:eastAsia="仿宋_GB2312" w:cs="仿宋_GB2312"/>
          <w:b w:val="0"/>
          <w:bCs/>
          <w:sz w:val="32"/>
          <w:szCs w:val="32"/>
          <w:u w:val="none"/>
        </w:rPr>
        <w:t>2.扶持项目资金使用范围。</w:t>
      </w:r>
      <w:r>
        <w:rPr>
          <w:rFonts w:hint="eastAsia" w:ascii="仿宋_GB2312" w:hAnsi="仿宋_GB2312" w:eastAsia="仿宋_GB2312" w:cs="仿宋_GB2312"/>
          <w:b w:val="0"/>
          <w:bCs/>
          <w:sz w:val="32"/>
          <w:szCs w:val="32"/>
          <w:u w:val="none"/>
          <w:lang w:val="zh-CN" w:eastAsia="zh-CN"/>
        </w:rPr>
        <w:t>一是</w:t>
      </w:r>
      <w:r>
        <w:rPr>
          <w:rFonts w:ascii="Times New Roman" w:hAnsi="Times New Roman" w:eastAsia="仿宋_GB2312"/>
          <w:b w:val="0"/>
          <w:bCs/>
          <w:color w:val="auto"/>
          <w:sz w:val="32"/>
          <w:szCs w:val="32"/>
          <w:u w:val="none"/>
        </w:rPr>
        <w:t>基础设施建设。扶持资金用于村级集体经济组织养殖，产品加工、销售流通等基础设施建设支出；</w:t>
      </w:r>
      <w:r>
        <w:rPr>
          <w:rFonts w:hint="eastAsia" w:ascii="仿宋_GB2312" w:hAnsi="仿宋_GB2312" w:eastAsia="仿宋_GB2312" w:cs="仿宋_GB2312"/>
          <w:b w:val="0"/>
          <w:bCs/>
          <w:sz w:val="32"/>
          <w:szCs w:val="32"/>
          <w:u w:val="none"/>
          <w:lang w:val="zh-CN" w:eastAsia="zh-CN"/>
        </w:rPr>
        <w:t>二是</w:t>
      </w:r>
      <w:r>
        <w:rPr>
          <w:rFonts w:ascii="Times New Roman" w:hAnsi="Times New Roman" w:eastAsia="仿宋_GB2312"/>
          <w:b w:val="0"/>
          <w:bCs/>
          <w:color w:val="auto"/>
          <w:sz w:val="32"/>
          <w:szCs w:val="32"/>
          <w:u w:val="none"/>
        </w:rPr>
        <w:t>机械设备购置。为村级集体经济组织规模生产经营配套服务的农业机械、农用运输机械等机具购置支出。</w:t>
      </w:r>
      <w:r>
        <w:rPr>
          <w:rFonts w:hint="eastAsia" w:ascii="仿宋_GB2312" w:hAnsi="仿宋_GB2312" w:eastAsia="仿宋_GB2312" w:cs="仿宋_GB2312"/>
          <w:b w:val="0"/>
          <w:bCs/>
          <w:sz w:val="32"/>
          <w:szCs w:val="32"/>
          <w:u w:val="none"/>
          <w:lang w:val="zh-CN" w:eastAsia="zh-CN"/>
        </w:rPr>
        <w:t>三是</w:t>
      </w:r>
      <w:r>
        <w:rPr>
          <w:rFonts w:ascii="Times New Roman" w:hAnsi="Times New Roman" w:eastAsia="仿宋_GB2312"/>
          <w:b w:val="0"/>
          <w:bCs/>
          <w:color w:val="auto"/>
          <w:sz w:val="32"/>
          <w:szCs w:val="32"/>
          <w:u w:val="none"/>
        </w:rPr>
        <w:t>生产费用。村级集体经济组织在生产经营过程中支付的入股土地流转、土地整治、有偿服务、劳务等费用；购买种植、养殖等农业生产资料所需的资金支出。扶持项目资金严禁用于：不得用于偿还村级债务；不得用于私人别墅、商品住房、私人会所等违章违建；不得用于购买私人交通工具及通讯设备；不得用于发放个人补贴；不得用于购买股票等高风险资产。所涉项目实施严格实行项目实施前和竣工后公示制，对项目建设内容、涉及区域、实施主体、补助标准及金额等在村务公开栏进行公示，全程接受财政、农业部门的监管和项目村群众的监督。</w:t>
      </w:r>
    </w:p>
    <w:p w14:paraId="08B313A3">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三、项目绩效情况</w:t>
      </w:r>
    </w:p>
    <w:p w14:paraId="531E5DB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楷体_GB2312" w:hAnsi="楷体_GB2312" w:eastAsia="楷体_GB2312" w:cs="楷体_GB2312"/>
          <w:b w:val="0"/>
          <w:bCs/>
          <w:kern w:val="2"/>
          <w:sz w:val="32"/>
          <w:szCs w:val="32"/>
          <w:lang w:val="en-US" w:eastAsia="zh-CN" w:bidi="ar-SA"/>
        </w:rPr>
      </w:pPr>
      <w:r>
        <w:rPr>
          <w:rFonts w:hint="eastAsia" w:ascii="楷体_GB2312" w:hAnsi="楷体_GB2312" w:eastAsia="楷体_GB2312" w:cs="楷体_GB2312"/>
          <w:b w:val="0"/>
          <w:bCs/>
          <w:kern w:val="2"/>
          <w:sz w:val="32"/>
          <w:szCs w:val="32"/>
          <w:lang w:val="en-US" w:eastAsia="zh-CN" w:bidi="ar-SA"/>
        </w:rPr>
        <w:t>（一）项目完成情况。</w:t>
      </w:r>
    </w:p>
    <w:p w14:paraId="5068D118">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eastAsia" w:eastAsia="仿宋_GB2312" w:cs="Times New Roman"/>
          <w:b w:val="0"/>
          <w:bCs/>
          <w:kern w:val="2"/>
          <w:sz w:val="32"/>
          <w:szCs w:val="32"/>
          <w:lang w:val="en-US" w:eastAsia="zh-CN" w:bidi="ar-SA"/>
        </w:rPr>
        <w:t>1.</w:t>
      </w:r>
      <w:r>
        <w:rPr>
          <w:rFonts w:hint="default" w:ascii="Times New Roman" w:hAnsi="Times New Roman" w:eastAsia="仿宋_GB2312" w:cs="Times New Roman"/>
          <w:b w:val="0"/>
          <w:bCs/>
          <w:kern w:val="2"/>
          <w:sz w:val="32"/>
          <w:szCs w:val="32"/>
          <w:lang w:val="en-US" w:eastAsia="zh-CN" w:bidi="ar-SA"/>
        </w:rPr>
        <w:t>工作准备阶段（2023年6月—2023年7月）：组织开展调查研究，召开扶持发展新型农村集体经济专题会议，全面了解村集体经济发展状况，掌握基本情况。逐村认真研究论证发展项目，筹措资金，落实发展措施。根据省、市有关文件精神，结合实际制定全县实施方案，指导扶持村制定项目实施方案，明确部门、乡镇、扶持村具体责任，统一思想认识，确定目标任务和工作措施，并将全县实施方案提交县政府常务会和县委常委会审议。</w:t>
      </w:r>
    </w:p>
    <w:p w14:paraId="63B05303">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2.组织实施阶段（2023年8月—2023年12月）：县农业农村局根据扶持村具体方案，指导乡镇、扶持村全面启动新型农村集体经济项目，明确责任分工和进度要求，完善政策措施，全力开展项目建设。县级各要素部门全力保障项目实施。严格执行工作月报、定期检查督办制度，并通过召开工作汇报会、现场会、经验交流会，推动工作落实，确保按时完成建设任务，力争取得明显成效。</w:t>
      </w:r>
    </w:p>
    <w:p w14:paraId="1D396E65">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3.总结评估阶段（2024年1月）：对扶持村项目进行考核，全面总结评估新型农村集体经济项目开展情况，上报项目实施情况。</w:t>
      </w:r>
    </w:p>
    <w:p w14:paraId="55C0118D">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both"/>
        <w:textAlignment w:val="auto"/>
        <w:rPr>
          <w:rFonts w:hint="default" w:ascii="Times New Roman" w:hAnsi="Times New Roman" w:eastAsia="楷体"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4.巩固提升阶段（长期）：对发展新型农村集体经济工作中的好做法和成功经验，及时加以总结。巩固完善，建章立制，健全运行机制体制，形成长效机制，不断发展项目实体。</w:t>
      </w:r>
    </w:p>
    <w:p w14:paraId="23B904F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楷体_GB2312" w:hAnsi="楷体_GB2312" w:eastAsia="楷体_GB2312" w:cs="楷体_GB2312"/>
          <w:b w:val="0"/>
          <w:bCs/>
          <w:kern w:val="2"/>
          <w:sz w:val="32"/>
          <w:szCs w:val="32"/>
          <w:lang w:val="en-US" w:eastAsia="zh-CN" w:bidi="ar-SA"/>
        </w:rPr>
      </w:pPr>
      <w:r>
        <w:rPr>
          <w:rFonts w:hint="eastAsia" w:ascii="楷体_GB2312" w:hAnsi="楷体_GB2312" w:eastAsia="楷体_GB2312" w:cs="楷体_GB2312"/>
          <w:b w:val="0"/>
          <w:bCs/>
          <w:kern w:val="2"/>
          <w:sz w:val="32"/>
          <w:szCs w:val="32"/>
          <w:lang w:val="en-US" w:eastAsia="zh-CN" w:bidi="ar-SA"/>
        </w:rPr>
        <w:t>（二）项目效益情况。</w:t>
      </w:r>
    </w:p>
    <w:p w14:paraId="1AD104C9">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both"/>
        <w:textAlignment w:val="auto"/>
        <w:rPr>
          <w:rFonts w:hint="default" w:ascii="Times New Roman" w:hAnsi="Times New Roman" w:eastAsia="楷体"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到2023年底，实现所有新型农村集体经济项目建成投产，并实现项目保值增值；到2024年底，所有扶持村集体经济初具规模，年收入达7.5万元以上，力争扶持一批年收入10万元以上的示范村，打造示范典型，提供示范样板，实现集体增实力、农民增收益和产业增效益的有机统一。</w:t>
      </w:r>
    </w:p>
    <w:p w14:paraId="698B4B50">
      <w:pPr>
        <w:pStyle w:val="2"/>
        <w:keepNext w:val="0"/>
        <w:keepLines w:val="0"/>
        <w:pageBreakBefore w:val="0"/>
        <w:widowControl w:val="0"/>
        <w:numPr>
          <w:ilvl w:val="0"/>
          <w:numId w:val="0"/>
        </w:numPr>
        <w:tabs>
          <w:tab w:val="left" w:pos="2487"/>
        </w:tabs>
        <w:kinsoku/>
        <w:wordWrap/>
        <w:overflowPunct/>
        <w:topLinePunct w:val="0"/>
        <w:autoSpaceDE/>
        <w:autoSpaceDN/>
        <w:bidi w:val="0"/>
        <w:adjustRightInd/>
        <w:snapToGrid/>
        <w:spacing w:line="600" w:lineRule="exact"/>
        <w:ind w:leftChars="0" w:firstLine="640" w:firstLineChars="200"/>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四、问题及建议</w:t>
      </w:r>
    </w:p>
    <w:p w14:paraId="03DDE4B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楷体_GB2312" w:hAnsi="楷体_GB2312" w:eastAsia="楷体_GB2312" w:cs="楷体_GB2312"/>
          <w:b w:val="0"/>
          <w:bCs/>
          <w:kern w:val="2"/>
          <w:sz w:val="32"/>
          <w:szCs w:val="32"/>
          <w:lang w:val="en-US" w:eastAsia="zh-CN" w:bidi="ar-SA"/>
        </w:rPr>
      </w:pPr>
      <w:r>
        <w:rPr>
          <w:rFonts w:hint="eastAsia" w:ascii="楷体_GB2312" w:hAnsi="楷体_GB2312" w:eastAsia="楷体_GB2312" w:cs="楷体_GB2312"/>
          <w:b w:val="0"/>
          <w:bCs/>
          <w:kern w:val="2"/>
          <w:sz w:val="32"/>
          <w:szCs w:val="32"/>
          <w:lang w:val="en-US" w:eastAsia="zh-CN" w:bidi="ar-SA"/>
        </w:rPr>
        <w:t>（一）存在的问题。</w:t>
      </w:r>
    </w:p>
    <w:p w14:paraId="1226F38C">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无</w:t>
      </w:r>
    </w:p>
    <w:p w14:paraId="3E4AB9D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楷体_GB2312" w:hAnsi="楷体_GB2312" w:eastAsia="楷体_GB2312" w:cs="楷体_GB2312"/>
          <w:b w:val="0"/>
          <w:bCs/>
          <w:kern w:val="2"/>
          <w:sz w:val="32"/>
          <w:szCs w:val="32"/>
          <w:lang w:val="en-US" w:eastAsia="zh-CN" w:bidi="ar-SA"/>
        </w:rPr>
      </w:pPr>
      <w:r>
        <w:rPr>
          <w:rFonts w:hint="eastAsia" w:ascii="楷体_GB2312" w:hAnsi="楷体_GB2312" w:eastAsia="楷体_GB2312" w:cs="楷体_GB2312"/>
          <w:b w:val="0"/>
          <w:bCs/>
          <w:kern w:val="2"/>
          <w:sz w:val="32"/>
          <w:szCs w:val="32"/>
          <w:lang w:val="en-US" w:eastAsia="zh-CN" w:bidi="ar-SA"/>
        </w:rPr>
        <w:t>（二）相关建议。</w:t>
      </w:r>
    </w:p>
    <w:p w14:paraId="262F3CEC">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both"/>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无</w:t>
      </w:r>
    </w:p>
    <w:p w14:paraId="49C37D91">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center"/>
        <w:textAlignment w:val="auto"/>
        <w:rPr>
          <w:rFonts w:hint="eastAsia" w:ascii="仿宋_GB2312" w:hAnsi="宋体" w:cs="宋体"/>
          <w:b w:val="0"/>
          <w:bCs/>
          <w:color w:val="000000"/>
          <w:kern w:val="0"/>
          <w:sz w:val="32"/>
          <w:szCs w:val="32"/>
          <w:u w:val="none"/>
          <w:shd w:val="clear" w:color="auto" w:fill="FFFFFF"/>
          <w:lang w:val="en-US" w:eastAsia="zh-CN" w:bidi="ar-SA"/>
        </w:rPr>
      </w:pPr>
      <w:r>
        <w:rPr>
          <w:rFonts w:hint="eastAsia" w:ascii="仿宋_GB2312" w:hAnsi="宋体" w:cs="宋体"/>
          <w:b w:val="0"/>
          <w:bCs/>
          <w:color w:val="000000"/>
          <w:kern w:val="0"/>
          <w:sz w:val="32"/>
          <w:szCs w:val="32"/>
          <w:u w:val="none"/>
          <w:shd w:val="clear" w:color="auto" w:fill="FFFFFF"/>
          <w:lang w:val="en-US" w:eastAsia="zh-CN" w:bidi="ar-SA"/>
        </w:rPr>
        <w:t xml:space="preserve">                               </w:t>
      </w:r>
    </w:p>
    <w:p w14:paraId="5C78DA2D">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center"/>
        <w:textAlignment w:val="auto"/>
        <w:rPr>
          <w:rFonts w:hint="default" w:ascii="仿宋_GB2312" w:hAnsi="宋体" w:eastAsia="仿宋_GB2312" w:cs="宋体"/>
          <w:b w:val="0"/>
          <w:bCs/>
          <w:color w:val="000000"/>
          <w:kern w:val="0"/>
          <w:sz w:val="32"/>
          <w:szCs w:val="32"/>
          <w:u w:val="none"/>
          <w:shd w:val="clear" w:color="auto" w:fill="FFFFFF"/>
          <w:lang w:val="en-US" w:eastAsia="zh-CN" w:bidi="ar-SA"/>
        </w:rPr>
      </w:pPr>
      <w:r>
        <w:rPr>
          <w:rFonts w:hint="eastAsia" w:ascii="仿宋_GB2312" w:hAnsi="宋体" w:cs="宋体"/>
          <w:b w:val="0"/>
          <w:bCs/>
          <w:color w:val="000000"/>
          <w:kern w:val="0"/>
          <w:sz w:val="32"/>
          <w:szCs w:val="32"/>
          <w:u w:val="none"/>
          <w:shd w:val="clear" w:color="auto" w:fill="FFFFFF"/>
          <w:lang w:val="en-US" w:eastAsia="zh-CN" w:bidi="ar-SA"/>
        </w:rPr>
        <w:t xml:space="preserve">                       </w:t>
      </w:r>
      <w:bookmarkStart w:id="0" w:name="_GoBack"/>
      <w:bookmarkEnd w:id="0"/>
      <w:r>
        <w:rPr>
          <w:rFonts w:hint="eastAsia" w:ascii="仿宋_GB2312" w:hAnsi="宋体" w:eastAsia="仿宋_GB2312" w:cs="宋体"/>
          <w:b w:val="0"/>
          <w:bCs/>
          <w:color w:val="000000"/>
          <w:kern w:val="0"/>
          <w:sz w:val="32"/>
          <w:szCs w:val="32"/>
          <w:u w:val="none"/>
          <w:shd w:val="clear" w:color="auto" w:fill="FFFFFF"/>
          <w:lang w:val="en-US" w:eastAsia="zh-CN" w:bidi="ar-SA"/>
        </w:rPr>
        <w:t xml:space="preserve"> </w:t>
      </w:r>
      <w:r>
        <w:rPr>
          <w:rFonts w:hint="eastAsia" w:ascii="仿宋_GB2312" w:hAnsi="宋体" w:cs="宋体"/>
          <w:b w:val="0"/>
          <w:bCs/>
          <w:color w:val="000000"/>
          <w:kern w:val="0"/>
          <w:sz w:val="32"/>
          <w:szCs w:val="32"/>
          <w:u w:val="none"/>
          <w:shd w:val="clear" w:color="auto" w:fill="FFFFFF"/>
          <w:lang w:val="en-US" w:eastAsia="zh-CN" w:bidi="ar-SA"/>
        </w:rPr>
        <w:t xml:space="preserve">  </w:t>
      </w:r>
    </w:p>
    <w:p w14:paraId="689B9EEB">
      <w:pPr>
        <w:rPr>
          <w:u w:val="none"/>
        </w:rPr>
      </w:pPr>
    </w:p>
    <w:p w14:paraId="02F6D685">
      <w:pPr>
        <w:pStyle w:val="6"/>
        <w:numPr>
          <w:ilvl w:val="0"/>
          <w:numId w:val="0"/>
        </w:numPr>
        <w:ind w:left="720" w:leftChars="0"/>
        <w:rPr>
          <w:u w:val="none"/>
        </w:rPr>
      </w:pPr>
    </w:p>
    <w:p w14:paraId="640F4A96">
      <w:pPr>
        <w:rPr>
          <w:u w:val="none"/>
        </w:rPr>
      </w:pPr>
    </w:p>
    <w:sectPr>
      <w:footerReference r:id="rId3" w:type="default"/>
      <w:pgSz w:w="11906" w:h="16838"/>
      <w:pgMar w:top="2041" w:right="1468" w:bottom="1587" w:left="146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E9F1E5-E1E7-434A-94AE-26FA97EB2EC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440D1F39-6914-4F5E-8FA9-50D8C03C61E3}"/>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29B33F3B-104B-47D1-82AA-AB4AA56D7607}"/>
  </w:font>
  <w:font w:name="方正仿宋_GBK">
    <w:altName w:val="微软雅黑"/>
    <w:panose1 w:val="02000000000000000000"/>
    <w:charset w:val="86"/>
    <w:family w:val="script"/>
    <w:pitch w:val="default"/>
    <w:sig w:usb0="00000000" w:usb1="00000000" w:usb2="00082016" w:usb3="00000000" w:csb0="00040001" w:csb1="00000000"/>
  </w:font>
  <w:font w:name="方正小标宋简体">
    <w:panose1 w:val="02000000000000000000"/>
    <w:charset w:val="86"/>
    <w:family w:val="script"/>
    <w:pitch w:val="default"/>
    <w:sig w:usb0="00000001" w:usb1="080E0000" w:usb2="00000000" w:usb3="00000000" w:csb0="00040000" w:csb1="00000000"/>
    <w:embedRegular r:id="rId4" w:fontKey="{14488C59-7D8A-4993-BDC0-2555778847AA}"/>
  </w:font>
  <w:font w:name="??">
    <w:altName w:val="Times New Roman"/>
    <w:panose1 w:val="00000000000000000000"/>
    <w:charset w:val="00"/>
    <w:family w:val="roman"/>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embedRegular r:id="rId5" w:fontKey="{113B6CE5-FADA-4111-8D95-57A282DAEE18}"/>
  </w:font>
  <w:font w:name="楷体">
    <w:panose1 w:val="02010609060101010101"/>
    <w:charset w:val="86"/>
    <w:family w:val="auto"/>
    <w:pitch w:val="default"/>
    <w:sig w:usb0="800002BF" w:usb1="38CF7CFA" w:usb2="00000016" w:usb3="00000000" w:csb0="00040001" w:csb1="00000000"/>
    <w:embedRegular r:id="rId6" w:fontKey="{E5B92B8C-9C56-4EBA-A845-F63E1CDBED29}"/>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7C18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06179F">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06179F">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32877BCE"/>
    <w:rsid w:val="0054778A"/>
    <w:rsid w:val="02C67CE4"/>
    <w:rsid w:val="091D27A6"/>
    <w:rsid w:val="10E16E46"/>
    <w:rsid w:val="1BFB6048"/>
    <w:rsid w:val="1D9210D4"/>
    <w:rsid w:val="1E7C7C3A"/>
    <w:rsid w:val="1FDC6E9A"/>
    <w:rsid w:val="22460715"/>
    <w:rsid w:val="26D676F1"/>
    <w:rsid w:val="32877BCE"/>
    <w:rsid w:val="34B11BC3"/>
    <w:rsid w:val="34BE49D0"/>
    <w:rsid w:val="36E957EE"/>
    <w:rsid w:val="38822EF0"/>
    <w:rsid w:val="3E471419"/>
    <w:rsid w:val="40BA3838"/>
    <w:rsid w:val="45A32084"/>
    <w:rsid w:val="46A75A6A"/>
    <w:rsid w:val="4A5E735C"/>
    <w:rsid w:val="4DA234FD"/>
    <w:rsid w:val="4E0812DE"/>
    <w:rsid w:val="530E2ED8"/>
    <w:rsid w:val="58472E98"/>
    <w:rsid w:val="5C444C7A"/>
    <w:rsid w:val="5E7608F3"/>
    <w:rsid w:val="62043B69"/>
    <w:rsid w:val="633D7E9A"/>
    <w:rsid w:val="65397D22"/>
    <w:rsid w:val="66813DD6"/>
    <w:rsid w:val="6B927AB7"/>
    <w:rsid w:val="72FB055A"/>
    <w:rsid w:val="733D66C8"/>
    <w:rsid w:val="74ED46B3"/>
    <w:rsid w:val="759429EC"/>
    <w:rsid w:val="77B53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qFormat/>
    <w:uiPriority w:val="0"/>
    <w:pPr>
      <w:widowControl w:val="0"/>
      <w:ind w:firstLine="420" w:firstLineChars="200"/>
      <w:jc w:val="both"/>
    </w:pPr>
    <w:rPr>
      <w:rFonts w:ascii="Times New Roman" w:hAnsi="Times New Roman" w:eastAsia="方正仿宋_GBK" w:cs="Times New Roman"/>
      <w:b/>
      <w:kern w:val="2"/>
      <w:sz w:val="36"/>
      <w:szCs w:val="24"/>
      <w:lang w:val="en-US" w:eastAsia="zh-CN" w:bidi="ar-SA"/>
    </w:rPr>
  </w:style>
  <w:style w:type="paragraph" w:styleId="3">
    <w:name w:val="Body Text"/>
    <w:basedOn w:val="1"/>
    <w:qFormat/>
    <w:uiPriority w:val="0"/>
    <w:pPr>
      <w:spacing w:line="560" w:lineRule="exact"/>
      <w:jc w:val="center"/>
    </w:pPr>
    <w:rPr>
      <w:rFonts w:eastAsia="方正小标宋简体"/>
      <w:sz w:val="44"/>
    </w:rPr>
  </w:style>
  <w:style w:type="paragraph" w:styleId="4">
    <w:name w:val="footer"/>
    <w:basedOn w:val="1"/>
    <w:next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itle"/>
    <w:basedOn w:val="1"/>
    <w:next w:val="1"/>
    <w:qFormat/>
    <w:uiPriority w:val="0"/>
    <w:pPr>
      <w:spacing w:before="240" w:after="60"/>
      <w:jc w:val="center"/>
    </w:pPr>
    <w:rPr>
      <w:rFonts w:ascii="Arial" w:hAnsi="Arial" w:cs="Arial"/>
      <w:b/>
      <w:bCs/>
      <w:sz w:val="32"/>
      <w:szCs w:val="32"/>
    </w:rPr>
  </w:style>
  <w:style w:type="paragraph" w:customStyle="1" w:styleId="10">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2503</Words>
  <Characters>2708</Characters>
  <Lines>0</Lines>
  <Paragraphs>0</Paragraphs>
  <TotalTime>8</TotalTime>
  <ScaleCrop>false</ScaleCrop>
  <LinksUpToDate>false</LinksUpToDate>
  <CharactersWithSpaces>2777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2023-06-13T07:03:00Z</dcterms:created>
  <dc:creator>不诉离殇</dc:creator>
  <cp:lastModifiedBy>碧云天</cp:lastModifiedBy>
  <dcterms:modified xsi:type="dcterms:W3CDTF">2024-11-04T09:39:26Z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D1102B1DB0544D5D80ACA51B80559EB1_13</vt:lpwstr>
  </property>
</Properties>
</file>