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中共峨边彝族自治县委组织部2022年度</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pPr>
        <w:pStyle w:val="8"/>
        <w:jc w:val="both"/>
      </w:pP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黑体" w:hAnsi="黑体" w:eastAsia="黑体" w:cs="宋体"/>
          <w:color w:val="000000"/>
          <w:kern w:val="0"/>
          <w:sz w:val="32"/>
          <w:szCs w:val="32"/>
          <w:shd w:val="clear" w:color="auto" w:fill="FFFFFF"/>
          <w:lang w:val="zh-CN"/>
        </w:rPr>
      </w:pPr>
      <w:r>
        <w:rPr>
          <w:rFonts w:hint="eastAsia" w:ascii="黑体" w:hAnsi="黑体" w:eastAsia="黑体" w:cs="宋体"/>
          <w:color w:val="000000"/>
          <w:kern w:val="0"/>
          <w:sz w:val="32"/>
          <w:szCs w:val="32"/>
          <w:shd w:val="clear" w:color="auto" w:fill="FFFFFF"/>
        </w:rPr>
        <w:t>一、</w:t>
      </w:r>
      <w:r>
        <w:rPr>
          <w:rFonts w:hint="eastAsia" w:ascii="黑体" w:hAnsi="黑体" w:eastAsia="黑体" w:cs="宋体"/>
          <w:color w:val="000000"/>
          <w:kern w:val="0"/>
          <w:sz w:val="32"/>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eastAsia="zh-CN"/>
        </w:rPr>
        <w:t>中共</w:t>
      </w:r>
      <w:r>
        <w:rPr>
          <w:rFonts w:hint="eastAsia" w:ascii="仿宋_GB2312" w:hAnsi="仿宋_GB2312" w:eastAsia="仿宋_GB2312" w:cs="仿宋_GB2312"/>
          <w:color w:val="000000"/>
          <w:kern w:val="0"/>
          <w:sz w:val="32"/>
          <w:szCs w:val="32"/>
          <w:shd w:val="clear" w:color="auto" w:fill="FFFFFF"/>
          <w:lang w:val="zh-CN"/>
        </w:rPr>
        <w:t>峨边彝族自治县委组织部</w:t>
      </w:r>
      <w:r>
        <w:rPr>
          <w:rFonts w:hint="eastAsia" w:ascii="仿宋_GB2312" w:hAnsi="仿宋_GB2312" w:eastAsia="仿宋_GB2312" w:cs="仿宋_GB2312"/>
          <w:color w:val="000000"/>
          <w:kern w:val="0"/>
          <w:sz w:val="32"/>
          <w:szCs w:val="32"/>
          <w:shd w:val="clear" w:color="auto" w:fill="FFFFFF"/>
          <w:lang w:val="en-US" w:eastAsia="zh-CN"/>
        </w:rPr>
        <w:t>(简称县委组织部）为行政机关，一级预算正科级单位。单位内</w:t>
      </w:r>
      <w:r>
        <w:rPr>
          <w:rFonts w:hint="eastAsia" w:ascii="仿宋_GB2312" w:hAnsi="仿宋_GB2312" w:eastAsia="仿宋_GB2312" w:cs="仿宋_GB2312"/>
          <w:color w:val="000000"/>
          <w:kern w:val="0"/>
          <w:sz w:val="32"/>
          <w:szCs w:val="32"/>
          <w:shd w:val="clear" w:color="auto" w:fill="FFFFFF"/>
          <w:lang w:val="zh-CN"/>
        </w:rPr>
        <w:t>设</w:t>
      </w:r>
      <w:r>
        <w:rPr>
          <w:rFonts w:hint="eastAsia" w:ascii="仿宋_GB2312" w:hAnsi="仿宋_GB2312" w:eastAsia="仿宋_GB2312" w:cs="仿宋_GB2312"/>
          <w:color w:val="000000"/>
          <w:kern w:val="0"/>
          <w:sz w:val="32"/>
          <w:szCs w:val="32"/>
          <w:shd w:val="clear" w:color="auto" w:fill="FFFFFF"/>
          <w:lang w:val="en-US" w:eastAsia="zh-CN"/>
        </w:rPr>
        <w:t>办公室、干部一股、干部二股、干部三股、组织股（城乡基层治理股）、研究室（人才股）、</w:t>
      </w:r>
      <w:r>
        <w:rPr>
          <w:rFonts w:hint="eastAsia" w:ascii="仿宋_GB2312" w:hAnsi="仿宋_GB2312" w:eastAsia="仿宋_GB2312" w:cs="仿宋_GB2312"/>
          <w:color w:val="000000"/>
          <w:kern w:val="0"/>
          <w:sz w:val="32"/>
          <w:szCs w:val="32"/>
          <w:shd w:val="clear" w:color="auto" w:fill="FFFFFF"/>
          <w:lang w:val="zh-CN"/>
        </w:rPr>
        <w:t>干部监督股、公务员管理股（干部档案管理室）、老干部管理股。</w:t>
      </w:r>
      <w:r>
        <w:rPr>
          <w:rFonts w:hint="eastAsia" w:ascii="仿宋_GB2312" w:hAnsi="仿宋_GB2312" w:eastAsia="仿宋_GB2312" w:cs="仿宋_GB2312"/>
          <w:color w:val="000000"/>
          <w:kern w:val="0"/>
          <w:sz w:val="32"/>
          <w:szCs w:val="32"/>
          <w:shd w:val="clear" w:color="auto" w:fill="FFFFFF"/>
          <w:lang w:val="en-US" w:eastAsia="zh-CN"/>
        </w:rPr>
        <w:t>下属事业单位：老干部局活动中心、关工委办公室。</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机构职能和人员概况。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中共峨边彝族自治县委组织部</w:t>
      </w:r>
      <w:r>
        <w:rPr>
          <w:rFonts w:hint="eastAsia" w:ascii="仿宋_GB2312" w:hAnsi="仿宋_GB2312" w:eastAsia="仿宋_GB2312" w:cs="仿宋_GB2312"/>
          <w:bCs/>
          <w:snapToGrid w:val="0"/>
          <w:color w:val="auto"/>
          <w:kern w:val="0"/>
          <w:sz w:val="32"/>
          <w:szCs w:val="32"/>
          <w:lang w:eastAsia="zh-CN"/>
        </w:rPr>
        <w:t>负责贯彻落实党中央、省委、市委关于组织工作的方针政策和县委的决策部署，在履行职责过程中坚持和加强党对组织工作的集中统一领导。</w:t>
      </w:r>
      <w:r>
        <w:rPr>
          <w:rFonts w:hint="eastAsia" w:ascii="仿宋_GB2312" w:hAnsi="仿宋_GB2312" w:eastAsia="仿宋_GB2312" w:cs="仿宋_GB2312"/>
          <w:sz w:val="32"/>
          <w:szCs w:val="32"/>
          <w:lang w:val="en-US" w:eastAsia="zh-CN"/>
        </w:rPr>
        <w:t>主要职责是：</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1.</w:t>
      </w:r>
      <w:r>
        <w:rPr>
          <w:rFonts w:hint="eastAsia" w:ascii="仿宋_GB2312" w:hAnsi="仿宋_GB2312" w:eastAsia="仿宋_GB2312" w:cs="仿宋_GB2312"/>
          <w:bCs/>
          <w:snapToGrid w:val="0"/>
          <w:color w:val="auto"/>
          <w:kern w:val="0"/>
          <w:sz w:val="32"/>
          <w:szCs w:val="32"/>
        </w:rPr>
        <w:t>负责全</w:t>
      </w:r>
      <w:r>
        <w:rPr>
          <w:rFonts w:hint="eastAsia" w:ascii="仿宋_GB2312" w:hAnsi="仿宋_GB2312" w:eastAsia="仿宋_GB2312" w:cs="仿宋_GB2312"/>
          <w:bCs/>
          <w:snapToGrid w:val="0"/>
          <w:color w:val="auto"/>
          <w:kern w:val="0"/>
          <w:sz w:val="32"/>
          <w:szCs w:val="32"/>
          <w:lang w:eastAsia="zh-CN"/>
        </w:rPr>
        <w:t>县各级</w:t>
      </w:r>
      <w:r>
        <w:rPr>
          <w:rFonts w:hint="eastAsia" w:ascii="仿宋_GB2312" w:hAnsi="仿宋_GB2312" w:eastAsia="仿宋_GB2312" w:cs="仿宋_GB2312"/>
          <w:bCs/>
          <w:snapToGrid w:val="0"/>
          <w:color w:val="auto"/>
          <w:kern w:val="0"/>
          <w:sz w:val="32"/>
          <w:szCs w:val="32"/>
        </w:rPr>
        <w:t>党的组织体系、组织制度建设，负责基层党</w:t>
      </w:r>
      <w:r>
        <w:rPr>
          <w:rFonts w:hint="eastAsia" w:ascii="仿宋_GB2312" w:hAnsi="仿宋_GB2312" w:eastAsia="仿宋_GB2312" w:cs="仿宋_GB2312"/>
          <w:bCs/>
          <w:snapToGrid w:val="0"/>
          <w:color w:val="auto"/>
          <w:w w:val="95"/>
          <w:kern w:val="0"/>
          <w:sz w:val="32"/>
          <w:szCs w:val="32"/>
        </w:rPr>
        <w:t>组织建设规划指导</w:t>
      </w:r>
      <w:r>
        <w:rPr>
          <w:rFonts w:hint="eastAsia" w:ascii="仿宋_GB2312" w:hAnsi="仿宋_GB2312" w:eastAsia="仿宋_GB2312" w:cs="仿宋_GB2312"/>
          <w:bCs/>
          <w:snapToGrid w:val="0"/>
          <w:color w:val="auto"/>
          <w:w w:val="95"/>
          <w:kern w:val="0"/>
          <w:sz w:val="32"/>
          <w:szCs w:val="32"/>
          <w:lang w:eastAsia="zh-CN"/>
        </w:rPr>
        <w:t>和</w:t>
      </w:r>
      <w:r>
        <w:rPr>
          <w:rFonts w:hint="eastAsia" w:ascii="仿宋_GB2312" w:hAnsi="仿宋_GB2312" w:eastAsia="仿宋_GB2312" w:cs="仿宋_GB2312"/>
          <w:bCs/>
          <w:snapToGrid w:val="0"/>
          <w:color w:val="auto"/>
          <w:w w:val="95"/>
          <w:kern w:val="0"/>
          <w:sz w:val="32"/>
          <w:szCs w:val="32"/>
        </w:rPr>
        <w:t>党员队伍宏观管理，指导开展党员教育工作。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2.</w:t>
      </w:r>
      <w:r>
        <w:rPr>
          <w:rFonts w:hint="eastAsia" w:ascii="仿宋_GB2312" w:hAnsi="仿宋_GB2312" w:eastAsia="仿宋_GB2312" w:cs="仿宋_GB2312"/>
          <w:bCs/>
          <w:snapToGrid w:val="0"/>
          <w:color w:val="auto"/>
          <w:kern w:val="0"/>
          <w:sz w:val="32"/>
          <w:szCs w:val="32"/>
        </w:rPr>
        <w:t>负责全</w:t>
      </w:r>
      <w:r>
        <w:rPr>
          <w:rFonts w:hint="eastAsia" w:ascii="仿宋_GB2312" w:hAnsi="仿宋_GB2312" w:eastAsia="仿宋_GB2312" w:cs="仿宋_GB2312"/>
          <w:bCs/>
          <w:snapToGrid w:val="0"/>
          <w:color w:val="auto"/>
          <w:kern w:val="0"/>
          <w:sz w:val="32"/>
          <w:szCs w:val="32"/>
          <w:lang w:eastAsia="zh-CN"/>
        </w:rPr>
        <w:t>县各乡镇和县级各部门及县委、县政府管理的企事业以及其他列入县委管理的</w:t>
      </w:r>
      <w:r>
        <w:rPr>
          <w:rFonts w:hint="eastAsia" w:ascii="仿宋_GB2312" w:hAnsi="仿宋_GB2312" w:eastAsia="仿宋_GB2312" w:cs="仿宋_GB2312"/>
          <w:bCs/>
          <w:snapToGrid w:val="0"/>
          <w:color w:val="auto"/>
          <w:kern w:val="0"/>
          <w:sz w:val="32"/>
          <w:szCs w:val="32"/>
        </w:rPr>
        <w:t>领导班子和干部队伍建设的总体规划和宏观管理。负责</w:t>
      </w:r>
      <w:r>
        <w:rPr>
          <w:rFonts w:hint="eastAsia" w:ascii="仿宋_GB2312" w:hAnsi="仿宋_GB2312" w:eastAsia="仿宋_GB2312" w:cs="仿宋_GB2312"/>
          <w:bCs/>
          <w:snapToGrid w:val="0"/>
          <w:color w:val="auto"/>
          <w:kern w:val="0"/>
          <w:sz w:val="32"/>
          <w:szCs w:val="32"/>
          <w:lang w:eastAsia="zh-CN"/>
        </w:rPr>
        <w:t>县委</w:t>
      </w:r>
      <w:r>
        <w:rPr>
          <w:rFonts w:hint="eastAsia" w:ascii="仿宋_GB2312" w:hAnsi="仿宋_GB2312" w:eastAsia="仿宋_GB2312" w:cs="仿宋_GB2312"/>
          <w:bCs/>
          <w:snapToGrid w:val="0"/>
          <w:color w:val="auto"/>
          <w:kern w:val="0"/>
          <w:sz w:val="32"/>
          <w:szCs w:val="32"/>
        </w:rPr>
        <w:t>管理领导班子和领导干部的考察考核、日常管理，提出调整配备建议，审核办理任免、工资、退休、兼职、待遇等有关事项。负责全</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优秀年轻干部队伍建设工作。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highlight w:val="none"/>
          <w:lang w:eastAsia="zh-CN"/>
        </w:rPr>
      </w:pPr>
      <w:r>
        <w:rPr>
          <w:rFonts w:hint="eastAsia" w:ascii="仿宋_GB2312" w:hAnsi="仿宋_GB2312" w:eastAsia="仿宋_GB2312" w:cs="仿宋_GB2312"/>
          <w:bCs/>
          <w:snapToGrid w:val="0"/>
          <w:color w:val="auto"/>
          <w:kern w:val="0"/>
          <w:sz w:val="32"/>
          <w:szCs w:val="32"/>
          <w:lang w:val="en-US" w:eastAsia="zh-CN"/>
        </w:rPr>
        <w:t>3.</w:t>
      </w:r>
      <w:r>
        <w:rPr>
          <w:rFonts w:hint="eastAsia" w:ascii="仿宋_GB2312" w:hAnsi="仿宋_GB2312" w:eastAsia="仿宋_GB2312" w:cs="仿宋_GB2312"/>
          <w:bCs/>
          <w:snapToGrid w:val="0"/>
          <w:color w:val="auto"/>
          <w:kern w:val="0"/>
          <w:sz w:val="32"/>
          <w:szCs w:val="32"/>
        </w:rPr>
        <w:t>负责管理全</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公务员工作。牵头拟订和组织实施公务员管理政策，承担公务员录用、调配、考核、奖惩、培训、监督等工作，指导公务员绩效管理工作</w:t>
      </w:r>
      <w:r>
        <w:rPr>
          <w:rFonts w:hint="eastAsia" w:ascii="仿宋_GB2312" w:hAnsi="仿宋_GB2312" w:eastAsia="仿宋_GB2312" w:cs="仿宋_GB2312"/>
          <w:bCs/>
          <w:snapToGrid w:val="0"/>
          <w:color w:val="auto"/>
          <w:kern w:val="0"/>
          <w:sz w:val="32"/>
          <w:szCs w:val="32"/>
          <w:highlight w:val="none"/>
        </w:rPr>
        <w:t>。</w:t>
      </w:r>
      <w:r>
        <w:rPr>
          <w:rFonts w:hint="eastAsia" w:ascii="仿宋_GB2312" w:hAnsi="仿宋_GB2312" w:eastAsia="仿宋_GB2312" w:cs="仿宋_GB2312"/>
          <w:bCs/>
          <w:snapToGrid w:val="0"/>
          <w:color w:val="auto"/>
          <w:kern w:val="0"/>
          <w:sz w:val="32"/>
          <w:szCs w:val="32"/>
          <w:highlight w:val="none"/>
          <w:lang w:eastAsia="zh-CN"/>
        </w:rPr>
        <w:t>负责全县干</w:t>
      </w:r>
      <w:r>
        <w:rPr>
          <w:rFonts w:hint="eastAsia" w:ascii="仿宋_GB2312" w:hAnsi="仿宋_GB2312" w:eastAsia="仿宋_GB2312" w:cs="仿宋_GB2312"/>
          <w:bCs/>
          <w:snapToGrid w:val="0"/>
          <w:color w:val="auto"/>
          <w:kern w:val="0"/>
          <w:sz w:val="32"/>
          <w:szCs w:val="32"/>
          <w:highlight w:val="none"/>
          <w:lang w:val="en-US" w:eastAsia="zh-CN"/>
        </w:rPr>
        <w:t>部</w:t>
      </w:r>
      <w:r>
        <w:rPr>
          <w:rFonts w:hint="eastAsia" w:ascii="仿宋_GB2312" w:hAnsi="仿宋_GB2312" w:eastAsia="仿宋_GB2312" w:cs="仿宋_GB2312"/>
          <w:bCs/>
          <w:snapToGrid w:val="0"/>
          <w:color w:val="auto"/>
          <w:kern w:val="0"/>
          <w:sz w:val="32"/>
          <w:szCs w:val="32"/>
          <w:highlight w:val="none"/>
          <w:lang w:eastAsia="zh-CN"/>
        </w:rPr>
        <w:t>档案管理工作的业务指导，直接管理县管干部的档案。</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4.</w:t>
      </w:r>
      <w:r>
        <w:rPr>
          <w:rFonts w:hint="eastAsia" w:ascii="仿宋_GB2312" w:hAnsi="仿宋_GB2312" w:eastAsia="仿宋_GB2312" w:cs="仿宋_GB2312"/>
          <w:bCs/>
          <w:snapToGrid w:val="0"/>
          <w:color w:val="auto"/>
          <w:kern w:val="0"/>
          <w:sz w:val="32"/>
          <w:szCs w:val="32"/>
        </w:rPr>
        <w:t>负责全</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干部教育培训工作的宏观指导、政策规划、组织协调和督促检查，负责</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重点培训项目的策划、实施和管理，指导全</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干部教育培训基地建设管理、师资队伍建设等工作。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5.</w:t>
      </w:r>
      <w:r>
        <w:rPr>
          <w:rFonts w:hint="eastAsia" w:ascii="仿宋_GB2312" w:hAnsi="仿宋_GB2312" w:eastAsia="仿宋_GB2312" w:cs="仿宋_GB2312"/>
          <w:bCs/>
          <w:snapToGrid w:val="0"/>
          <w:color w:val="auto"/>
          <w:kern w:val="0"/>
          <w:sz w:val="32"/>
          <w:szCs w:val="32"/>
        </w:rPr>
        <w:t>负责全</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组织系统干部监督工作的宏观指导和综合协调，制定和落实干部监督工作制度，组织开展对选人用人工作情况的监督检查，受理和办理有关问题举报，组织实施领导干部报告个人有关事项及抽查核实工作。</w:t>
      </w:r>
    </w:p>
    <w:p>
      <w:pPr>
        <w:keepNext w:val="0"/>
        <w:keepLines w:val="0"/>
        <w:pageBreakBefore w:val="0"/>
        <w:widowControl w:val="0"/>
        <w:kinsoku/>
        <w:wordWrap/>
        <w:overflowPunct/>
        <w:topLinePunct w:val="0"/>
        <w:autoSpaceDE/>
        <w:autoSpaceDN/>
        <w:bidi w:val="0"/>
        <w:spacing w:line="360" w:lineRule="auto"/>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snapToGrid w:val="0"/>
          <w:color w:val="auto"/>
          <w:kern w:val="0"/>
          <w:sz w:val="32"/>
          <w:szCs w:val="32"/>
          <w:lang w:val="en-US" w:eastAsia="zh-CN"/>
        </w:rPr>
        <w:t>6.</w:t>
      </w:r>
      <w:r>
        <w:rPr>
          <w:rFonts w:hint="eastAsia" w:ascii="仿宋_GB2312" w:hAnsi="仿宋_GB2312" w:eastAsia="仿宋_GB2312" w:cs="仿宋_GB2312"/>
          <w:bCs/>
          <w:snapToGrid w:val="0"/>
          <w:color w:val="auto"/>
          <w:kern w:val="0"/>
          <w:sz w:val="32"/>
          <w:szCs w:val="32"/>
        </w:rPr>
        <w:t>负责贯彻落实老干部工作制度</w:t>
      </w:r>
      <w:r>
        <w:rPr>
          <w:rFonts w:hint="eastAsia" w:ascii="仿宋_GB2312" w:hAnsi="仿宋_GB2312" w:eastAsia="仿宋_GB2312" w:cs="仿宋_GB2312"/>
          <w:bCs/>
          <w:snapToGrid w:val="0"/>
          <w:color w:val="auto"/>
          <w:kern w:val="0"/>
          <w:sz w:val="32"/>
          <w:szCs w:val="32"/>
          <w:lang w:eastAsia="zh-CN"/>
        </w:rPr>
        <w:t>，做好</w:t>
      </w:r>
      <w:r>
        <w:rPr>
          <w:rFonts w:hint="eastAsia" w:ascii="仿宋_GB2312" w:hAnsi="仿宋_GB2312" w:eastAsia="仿宋_GB2312" w:cs="仿宋_GB2312"/>
          <w:bCs/>
          <w:snapToGrid w:val="0"/>
          <w:color w:val="auto"/>
          <w:kern w:val="0"/>
          <w:sz w:val="32"/>
          <w:szCs w:val="32"/>
        </w:rPr>
        <w:t>全</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老干部服务管理工作</w:t>
      </w:r>
      <w:r>
        <w:rPr>
          <w:rFonts w:hint="eastAsia" w:ascii="仿宋_GB2312" w:hAnsi="仿宋_GB2312" w:eastAsia="仿宋_GB2312" w:cs="仿宋_GB2312"/>
          <w:bCs/>
          <w:snapToGrid w:val="0"/>
          <w:color w:val="auto"/>
          <w:kern w:val="0"/>
          <w:sz w:val="32"/>
          <w:szCs w:val="32"/>
          <w:lang w:eastAsia="zh-CN"/>
        </w:rPr>
        <w:t>，加强</w:t>
      </w:r>
      <w:r>
        <w:rPr>
          <w:rFonts w:hint="eastAsia" w:ascii="仿宋_GB2312" w:hAnsi="仿宋_GB2312" w:eastAsia="仿宋_GB2312" w:cs="仿宋_GB2312"/>
          <w:color w:val="auto"/>
          <w:sz w:val="32"/>
          <w:szCs w:val="32"/>
        </w:rPr>
        <w:t>老干部政治建设、思想建设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落实老干部政治待遇、生活待遇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负责协调处理老干部相关事宜</w:t>
      </w:r>
      <w:r>
        <w:rPr>
          <w:rFonts w:hint="eastAsia" w:ascii="仿宋_GB2312" w:hAnsi="仿宋_GB2312" w:eastAsia="仿宋_GB2312" w:cs="仿宋_GB2312"/>
          <w:color w:val="auto"/>
          <w:sz w:val="32"/>
          <w:szCs w:val="32"/>
          <w:lang w:eastAsia="zh-CN"/>
        </w:rPr>
        <w:t>，组织</w:t>
      </w:r>
      <w:r>
        <w:rPr>
          <w:rFonts w:hint="eastAsia" w:ascii="仿宋_GB2312" w:hAnsi="仿宋_GB2312" w:eastAsia="仿宋_GB2312" w:cs="仿宋_GB2312"/>
          <w:color w:val="auto"/>
          <w:sz w:val="32"/>
          <w:szCs w:val="32"/>
        </w:rPr>
        <w:t>开展系列主题活动，发挥老干部余热。</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7.</w:t>
      </w:r>
      <w:r>
        <w:rPr>
          <w:rFonts w:hint="eastAsia" w:ascii="仿宋_GB2312" w:hAnsi="仿宋_GB2312" w:eastAsia="仿宋_GB2312" w:cs="仿宋_GB2312"/>
          <w:bCs/>
          <w:snapToGrid w:val="0"/>
          <w:color w:val="auto"/>
          <w:kern w:val="0"/>
          <w:sz w:val="32"/>
          <w:szCs w:val="32"/>
        </w:rPr>
        <w:t>统一管理</w:t>
      </w:r>
      <w:r>
        <w:rPr>
          <w:rFonts w:hint="eastAsia" w:ascii="仿宋_GB2312" w:hAnsi="仿宋_GB2312" w:eastAsia="仿宋_GB2312" w:cs="仿宋_GB2312"/>
          <w:bCs/>
          <w:snapToGrid w:val="0"/>
          <w:color w:val="auto"/>
          <w:kern w:val="0"/>
          <w:sz w:val="32"/>
          <w:szCs w:val="32"/>
          <w:lang w:eastAsia="zh-CN"/>
        </w:rPr>
        <w:t>县委</w:t>
      </w:r>
      <w:r>
        <w:rPr>
          <w:rFonts w:hint="eastAsia" w:ascii="仿宋_GB2312" w:hAnsi="仿宋_GB2312" w:eastAsia="仿宋_GB2312" w:cs="仿宋_GB2312"/>
          <w:bCs/>
          <w:snapToGrid w:val="0"/>
          <w:color w:val="auto"/>
          <w:kern w:val="0"/>
          <w:sz w:val="32"/>
          <w:szCs w:val="32"/>
        </w:rPr>
        <w:t>机构编制委员会办公室</w:t>
      </w:r>
      <w:r>
        <w:rPr>
          <w:rFonts w:hint="eastAsia" w:ascii="仿宋_GB2312" w:hAnsi="仿宋_GB2312" w:eastAsia="仿宋_GB2312" w:cs="仿宋_GB2312"/>
          <w:bCs/>
          <w:snapToGrid w:val="0"/>
          <w:color w:val="auto"/>
          <w:kern w:val="0"/>
          <w:sz w:val="32"/>
          <w:szCs w:val="32"/>
          <w:lang w:eastAsia="zh-CN"/>
        </w:rPr>
        <w:t>工作</w:t>
      </w:r>
      <w:r>
        <w:rPr>
          <w:rFonts w:hint="eastAsia" w:ascii="仿宋_GB2312" w:hAnsi="仿宋_GB2312" w:eastAsia="仿宋_GB2312" w:cs="仿宋_GB2312"/>
          <w:bCs/>
          <w:snapToGrid w:val="0"/>
          <w:color w:val="auto"/>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lang w:val="en-US" w:eastAsia="zh-CN"/>
        </w:rPr>
      </w:pPr>
      <w:r>
        <w:rPr>
          <w:rFonts w:hint="eastAsia" w:ascii="仿宋_GB2312" w:hAnsi="仿宋_GB2312" w:eastAsia="仿宋_GB2312" w:cs="仿宋_GB2312"/>
          <w:bCs/>
          <w:snapToGrid w:val="0"/>
          <w:color w:val="auto"/>
          <w:kern w:val="0"/>
          <w:sz w:val="32"/>
          <w:szCs w:val="32"/>
          <w:lang w:val="en-US" w:eastAsia="zh-CN"/>
        </w:rPr>
        <w:t>8.负责全县关心下一代工作的指导、规划、协调和检查。抓好关工委组织体系建设，做好立德树人、助弱帮困工作，加强“五老”队伍建设，发挥“五老”作用。</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9.</w:t>
      </w:r>
      <w:r>
        <w:rPr>
          <w:rFonts w:hint="eastAsia" w:ascii="仿宋_GB2312" w:hAnsi="仿宋_GB2312" w:eastAsia="仿宋_GB2312" w:cs="仿宋_GB2312"/>
          <w:bCs/>
          <w:snapToGrid w:val="0"/>
          <w:color w:val="auto"/>
          <w:kern w:val="0"/>
          <w:sz w:val="32"/>
          <w:szCs w:val="32"/>
        </w:rPr>
        <w:t>承担</w:t>
      </w:r>
      <w:r>
        <w:rPr>
          <w:rFonts w:hint="eastAsia" w:ascii="仿宋_GB2312" w:hAnsi="仿宋_GB2312" w:eastAsia="仿宋_GB2312" w:cs="仿宋_GB2312"/>
          <w:bCs/>
          <w:snapToGrid w:val="0"/>
          <w:color w:val="auto"/>
          <w:kern w:val="0"/>
          <w:sz w:val="32"/>
          <w:szCs w:val="32"/>
          <w:lang w:eastAsia="zh-CN"/>
        </w:rPr>
        <w:t>县委</w:t>
      </w:r>
      <w:r>
        <w:rPr>
          <w:rFonts w:hint="eastAsia" w:ascii="仿宋_GB2312" w:hAnsi="仿宋_GB2312" w:eastAsia="仿宋_GB2312" w:cs="仿宋_GB2312"/>
          <w:bCs/>
          <w:snapToGrid w:val="0"/>
          <w:color w:val="auto"/>
          <w:kern w:val="0"/>
          <w:sz w:val="32"/>
          <w:szCs w:val="32"/>
        </w:rPr>
        <w:t>党建</w:t>
      </w:r>
      <w:r>
        <w:rPr>
          <w:rFonts w:hint="eastAsia" w:ascii="仿宋_GB2312" w:hAnsi="仿宋_GB2312" w:eastAsia="仿宋_GB2312" w:cs="仿宋_GB2312"/>
          <w:bCs/>
          <w:snapToGrid w:val="0"/>
          <w:color w:val="auto"/>
          <w:kern w:val="0"/>
          <w:sz w:val="32"/>
          <w:szCs w:val="32"/>
          <w:lang w:eastAsia="zh-CN"/>
        </w:rPr>
        <w:t>工作</w:t>
      </w:r>
      <w:r>
        <w:rPr>
          <w:rFonts w:hint="eastAsia" w:ascii="仿宋_GB2312" w:hAnsi="仿宋_GB2312" w:eastAsia="仿宋_GB2312" w:cs="仿宋_GB2312"/>
          <w:bCs/>
          <w:snapToGrid w:val="0"/>
          <w:color w:val="auto"/>
          <w:kern w:val="0"/>
          <w:sz w:val="32"/>
          <w:szCs w:val="32"/>
        </w:rPr>
        <w:t>领导小组、</w:t>
      </w:r>
      <w:r>
        <w:rPr>
          <w:rFonts w:hint="eastAsia" w:ascii="仿宋_GB2312" w:hAnsi="仿宋_GB2312" w:eastAsia="仿宋_GB2312" w:cs="仿宋_GB2312"/>
          <w:bCs/>
          <w:snapToGrid w:val="0"/>
          <w:color w:val="auto"/>
          <w:kern w:val="0"/>
          <w:sz w:val="32"/>
          <w:szCs w:val="32"/>
          <w:lang w:eastAsia="zh-CN"/>
        </w:rPr>
        <w:t>县</w:t>
      </w:r>
      <w:r>
        <w:rPr>
          <w:rFonts w:hint="eastAsia" w:ascii="仿宋_GB2312" w:hAnsi="仿宋_GB2312" w:eastAsia="仿宋_GB2312" w:cs="仿宋_GB2312"/>
          <w:bCs/>
          <w:snapToGrid w:val="0"/>
          <w:color w:val="auto"/>
          <w:kern w:val="0"/>
          <w:sz w:val="32"/>
          <w:szCs w:val="32"/>
        </w:rPr>
        <w:t>人才工作领导小组</w:t>
      </w:r>
      <w:r>
        <w:rPr>
          <w:rFonts w:hint="eastAsia" w:ascii="仿宋_GB2312" w:hAnsi="仿宋_GB2312" w:eastAsia="仿宋_GB2312" w:cs="仿宋_GB2312"/>
          <w:bCs/>
          <w:snapToGrid w:val="0"/>
          <w:color w:val="auto"/>
          <w:kern w:val="0"/>
          <w:sz w:val="32"/>
          <w:szCs w:val="32"/>
          <w:lang w:eastAsia="zh-CN"/>
        </w:rPr>
        <w:t>、干部调配工作领导小组</w:t>
      </w:r>
      <w:r>
        <w:rPr>
          <w:rFonts w:hint="eastAsia" w:ascii="仿宋_GB2312" w:hAnsi="仿宋_GB2312" w:eastAsia="仿宋_GB2312" w:cs="仿宋_GB2312"/>
          <w:bCs/>
          <w:snapToGrid w:val="0"/>
          <w:color w:val="auto"/>
          <w:kern w:val="0"/>
          <w:sz w:val="32"/>
          <w:szCs w:val="32"/>
        </w:rPr>
        <w:t>的日常工作。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负责职责范围内的安全生产和职业健康、生态环境保护等工作。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napToGrid w:val="0"/>
          <w:color w:val="auto"/>
          <w:kern w:val="0"/>
          <w:sz w:val="32"/>
          <w:szCs w:val="32"/>
        </w:rPr>
      </w:pPr>
      <w:r>
        <w:rPr>
          <w:rFonts w:hint="eastAsia" w:ascii="仿宋_GB2312" w:hAnsi="仿宋_GB2312" w:eastAsia="仿宋_GB2312" w:cs="仿宋_GB2312"/>
          <w:bCs/>
          <w:snapToGrid w:val="0"/>
          <w:color w:val="auto"/>
          <w:kern w:val="0"/>
          <w:sz w:val="32"/>
          <w:szCs w:val="32"/>
          <w:lang w:val="en-US" w:eastAsia="zh-CN"/>
        </w:rPr>
        <w:t>11.</w:t>
      </w:r>
      <w:r>
        <w:rPr>
          <w:rFonts w:hint="eastAsia" w:ascii="仿宋_GB2312" w:hAnsi="仿宋_GB2312" w:eastAsia="仿宋_GB2312" w:cs="仿宋_GB2312"/>
          <w:bCs/>
          <w:snapToGrid w:val="0"/>
          <w:color w:val="auto"/>
          <w:kern w:val="0"/>
          <w:sz w:val="32"/>
          <w:szCs w:val="32"/>
        </w:rPr>
        <w:t>完成</w:t>
      </w:r>
      <w:r>
        <w:rPr>
          <w:rFonts w:hint="eastAsia" w:ascii="仿宋_GB2312" w:hAnsi="仿宋_GB2312" w:eastAsia="仿宋_GB2312" w:cs="仿宋_GB2312"/>
          <w:bCs/>
          <w:snapToGrid w:val="0"/>
          <w:color w:val="auto"/>
          <w:kern w:val="0"/>
          <w:sz w:val="32"/>
          <w:szCs w:val="32"/>
          <w:lang w:eastAsia="zh-CN"/>
        </w:rPr>
        <w:t>县委</w:t>
      </w:r>
      <w:r>
        <w:rPr>
          <w:rFonts w:hint="eastAsia" w:ascii="仿宋_GB2312" w:hAnsi="仿宋_GB2312" w:eastAsia="仿宋_GB2312" w:cs="仿宋_GB2312"/>
          <w:bCs/>
          <w:snapToGrid w:val="0"/>
          <w:color w:val="auto"/>
          <w:kern w:val="0"/>
          <w:sz w:val="32"/>
          <w:szCs w:val="32"/>
        </w:rPr>
        <w:t>交办的其他任务。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eastAsia="宋体"/>
          <w:sz w:val="32"/>
          <w:szCs w:val="32"/>
          <w:lang w:val="en-US" w:eastAsia="zh-CN"/>
        </w:rPr>
      </w:pPr>
      <w:r>
        <w:rPr>
          <w:rFonts w:hint="eastAsia" w:ascii="仿宋_GB2312" w:hAnsi="仿宋_GB2312" w:eastAsia="仿宋_GB2312" w:cs="仿宋_GB2312"/>
          <w:bCs/>
          <w:snapToGrid w:val="0"/>
          <w:color w:val="auto"/>
          <w:kern w:val="0"/>
          <w:sz w:val="32"/>
          <w:szCs w:val="32"/>
          <w:lang w:eastAsia="zh-CN"/>
        </w:rPr>
        <w:t>人员概况：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sz w:val="32"/>
          <w:szCs w:val="32"/>
          <w:lang w:eastAsia="zh-CN"/>
        </w:rPr>
        <w:t>县委组织部经机构编制委员会批准行政</w:t>
      </w:r>
      <w:r>
        <w:rPr>
          <w:rFonts w:hint="eastAsia" w:ascii="仿宋_GB2312" w:hAnsi="仿宋_GB2312" w:eastAsia="仿宋_GB2312" w:cs="仿宋_GB2312"/>
          <w:color w:val="auto"/>
          <w:sz w:val="32"/>
          <w:szCs w:val="32"/>
        </w:rPr>
        <w:t>编制</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实有人数</w:t>
      </w:r>
      <w:r>
        <w:rPr>
          <w:rFonts w:hint="eastAsia" w:ascii="仿宋_GB2312" w:hAnsi="仿宋_GB2312" w:eastAsia="仿宋_GB2312" w:cs="仿宋_GB2312"/>
          <w:color w:val="auto"/>
          <w:sz w:val="32"/>
          <w:szCs w:val="32"/>
          <w:lang w:val="en-US" w:eastAsia="zh-CN"/>
        </w:rPr>
        <w:t>21人，</w:t>
      </w:r>
      <w:r>
        <w:rPr>
          <w:rFonts w:hint="eastAsia" w:ascii="仿宋_GB2312" w:hAnsi="仿宋_GB2312" w:eastAsia="仿宋_GB2312" w:cs="仿宋_GB2312"/>
          <w:color w:val="auto"/>
          <w:sz w:val="32"/>
          <w:szCs w:val="32"/>
        </w:rPr>
        <w:t>工勤编制</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实有人数</w:t>
      </w:r>
      <w:r>
        <w:rPr>
          <w:rFonts w:hint="eastAsia" w:ascii="仿宋_GB2312" w:hAnsi="仿宋_GB2312" w:eastAsia="仿宋_GB2312" w:cs="仿宋_GB2312"/>
          <w:color w:val="auto"/>
          <w:sz w:val="32"/>
          <w:szCs w:val="32"/>
          <w:lang w:val="en-US" w:eastAsia="zh-CN"/>
        </w:rPr>
        <w:t>1人，</w:t>
      </w:r>
      <w:r>
        <w:rPr>
          <w:rFonts w:hint="eastAsia" w:ascii="仿宋_GB2312" w:hAnsi="仿宋_GB2312" w:eastAsia="仿宋_GB2312" w:cs="仿宋_GB2312"/>
          <w:color w:val="auto"/>
          <w:sz w:val="32"/>
          <w:szCs w:val="32"/>
        </w:rPr>
        <w:t>事业编制</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，实有人数</w:t>
      </w:r>
      <w:r>
        <w:rPr>
          <w:rFonts w:hint="eastAsia" w:ascii="仿宋_GB2312" w:hAnsi="仿宋_GB2312" w:eastAsia="仿宋_GB2312" w:cs="仿宋_GB2312"/>
          <w:color w:val="auto"/>
          <w:sz w:val="32"/>
          <w:szCs w:val="32"/>
          <w:lang w:val="en-US" w:eastAsia="zh-CN"/>
        </w:rPr>
        <w:t>12人。</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0" w:leftChars="0"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年度主要工作任务。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rPr>
      </w:pPr>
      <w:r>
        <w:rPr>
          <w:rFonts w:hint="eastAsia" w:ascii="仿宋_GB2312" w:hAnsi="仿宋_GB2312" w:eastAsia="仿宋_GB2312" w:cs="仿宋_GB2312"/>
          <w:b w:val="0"/>
          <w:bCs w:val="0"/>
          <w:color w:val="000000" w:themeColor="text1"/>
          <w:sz w:val="32"/>
          <w:szCs w:val="32"/>
          <w:lang w:val="en-US" w:eastAsia="zh-CN"/>
        </w:rPr>
        <w:t>2022年，</w:t>
      </w:r>
      <w:r>
        <w:rPr>
          <w:rFonts w:hint="eastAsia" w:ascii="仿宋_GB2312" w:hAnsi="仿宋_GB2312" w:eastAsia="仿宋_GB2312" w:cs="仿宋_GB2312"/>
          <w:b w:val="0"/>
          <w:bCs w:val="0"/>
          <w:color w:val="auto"/>
          <w:sz w:val="32"/>
          <w:szCs w:val="32"/>
          <w:lang w:val="en-US" w:eastAsia="zh-CN"/>
        </w:rPr>
        <w:t>峨边深入贯彻新时代党的建设总要求和新时代党的组织路线，</w:t>
      </w:r>
      <w:r>
        <w:rPr>
          <w:rFonts w:hint="eastAsia" w:ascii="仿宋_GB2312" w:hAnsi="仿宋_GB2312" w:eastAsia="仿宋_GB2312" w:cs="仿宋_GB2312"/>
          <w:b w:val="0"/>
          <w:bCs w:val="0"/>
          <w:color w:val="000000" w:themeColor="text1"/>
          <w:sz w:val="32"/>
          <w:szCs w:val="32"/>
          <w:lang w:val="en-US" w:eastAsia="zh-CN"/>
        </w:rPr>
        <w:t>以“十大行动”为抓手，紧扣“创新突破年”主题，</w:t>
      </w:r>
      <w:r>
        <w:rPr>
          <w:rFonts w:hint="default" w:ascii="仿宋_GB2312" w:hAnsi="仿宋_GB2312" w:eastAsia="仿宋_GB2312" w:cs="仿宋_GB2312"/>
          <w:b w:val="0"/>
          <w:bCs w:val="0"/>
          <w:color w:val="000000" w:themeColor="text1"/>
          <w:sz w:val="32"/>
          <w:szCs w:val="32"/>
          <w:lang w:eastAsia="zh-CN"/>
        </w:rPr>
        <w:t>重点实施“七大工程”，</w:t>
      </w:r>
      <w:r>
        <w:rPr>
          <w:rFonts w:hint="eastAsia" w:ascii="仿宋_GB2312" w:hAnsi="仿宋_GB2312" w:eastAsia="仿宋_GB2312" w:cs="仿宋_GB2312"/>
          <w:b w:val="0"/>
          <w:bCs w:val="0"/>
          <w:color w:val="000000" w:themeColor="text1"/>
          <w:sz w:val="32"/>
          <w:szCs w:val="32"/>
          <w:lang w:val="en-US" w:eastAsia="zh-CN"/>
        </w:rPr>
        <w:t>压茬推进</w:t>
      </w:r>
      <w:r>
        <w:rPr>
          <w:rFonts w:hint="default" w:ascii="仿宋_GB2312" w:hAnsi="仿宋_GB2312" w:eastAsia="仿宋_GB2312" w:cs="仿宋_GB2312"/>
          <w:b w:val="0"/>
          <w:bCs w:val="0"/>
          <w:color w:val="000000" w:themeColor="text1"/>
          <w:sz w:val="32"/>
          <w:szCs w:val="32"/>
          <w:lang w:eastAsia="zh-CN"/>
        </w:rPr>
        <w:t>组织、</w:t>
      </w:r>
      <w:r>
        <w:rPr>
          <w:rFonts w:hint="eastAsia" w:ascii="仿宋_GB2312" w:hAnsi="仿宋_GB2312" w:eastAsia="仿宋_GB2312" w:cs="仿宋_GB2312"/>
          <w:b w:val="0"/>
          <w:bCs w:val="0"/>
          <w:color w:val="000000" w:themeColor="text1"/>
          <w:sz w:val="32"/>
          <w:szCs w:val="32"/>
          <w:lang w:val="en-US" w:eastAsia="zh-CN"/>
        </w:rPr>
        <w:t>干部</w:t>
      </w:r>
      <w:r>
        <w:rPr>
          <w:rFonts w:hint="default" w:ascii="仿宋_GB2312" w:hAnsi="仿宋_GB2312" w:eastAsia="仿宋_GB2312" w:cs="仿宋_GB2312"/>
          <w:b w:val="0"/>
          <w:bCs w:val="0"/>
          <w:color w:val="000000" w:themeColor="text1"/>
          <w:sz w:val="32"/>
          <w:szCs w:val="32"/>
          <w:lang w:eastAsia="zh-CN"/>
        </w:rPr>
        <w:t>、</w:t>
      </w:r>
      <w:r>
        <w:rPr>
          <w:rFonts w:hint="eastAsia" w:ascii="仿宋_GB2312" w:hAnsi="仿宋_GB2312" w:eastAsia="仿宋_GB2312" w:cs="仿宋_GB2312"/>
          <w:b w:val="0"/>
          <w:bCs w:val="0"/>
          <w:color w:val="000000" w:themeColor="text1"/>
          <w:sz w:val="32"/>
          <w:szCs w:val="32"/>
          <w:lang w:val="en-US" w:eastAsia="zh-CN"/>
        </w:rPr>
        <w:t>人才等工作，</w:t>
      </w:r>
      <w:r>
        <w:rPr>
          <w:rFonts w:hint="default" w:ascii="仿宋_GB2312" w:hAnsi="仿宋_GB2312" w:eastAsia="仿宋_GB2312" w:cs="仿宋_GB2312"/>
          <w:b w:val="0"/>
          <w:bCs w:val="0"/>
          <w:color w:val="000000" w:themeColor="text1"/>
          <w:sz w:val="32"/>
          <w:szCs w:val="32"/>
          <w:lang w:eastAsia="zh-CN"/>
        </w:rPr>
        <w:t>为</w:t>
      </w:r>
      <w:r>
        <w:rPr>
          <w:rFonts w:hint="default" w:ascii="仿宋_GB2312" w:hAnsi="Times New Roman" w:eastAsia="仿宋_GB2312" w:cs="仿宋_GB2312"/>
          <w:b w:val="0"/>
          <w:bCs w:val="0"/>
          <w:kern w:val="2"/>
          <w:sz w:val="32"/>
          <w:szCs w:val="32"/>
          <w:lang w:val="en-US" w:eastAsia="zh-CN" w:bidi="ar"/>
        </w:rPr>
        <w:t>奋力建设民族地区中国式现代化先行区</w:t>
      </w:r>
      <w:r>
        <w:rPr>
          <w:rFonts w:hint="default" w:ascii="仿宋_GB2312" w:hAnsi="仿宋_GB2312" w:eastAsia="仿宋_GB2312" w:cs="仿宋_GB2312"/>
          <w:b w:val="0"/>
          <w:bCs w:val="0"/>
          <w:color w:val="000000" w:themeColor="text1"/>
          <w:sz w:val="32"/>
          <w:szCs w:val="32"/>
          <w:lang w:eastAsia="zh-CN"/>
        </w:rPr>
        <w:t>提供坚强</w:t>
      </w:r>
      <w:r>
        <w:rPr>
          <w:rFonts w:hint="eastAsia" w:ascii="仿宋_GB2312" w:hAnsi="仿宋_GB2312" w:eastAsia="仿宋_GB2312" w:cs="仿宋_GB2312"/>
          <w:b w:val="0"/>
          <w:bCs w:val="0"/>
          <w:color w:val="000000" w:themeColor="text1"/>
          <w:sz w:val="32"/>
          <w:szCs w:val="32"/>
          <w:lang w:val="en-US" w:eastAsia="zh-CN"/>
        </w:rPr>
        <w:t>组织</w:t>
      </w:r>
      <w:r>
        <w:rPr>
          <w:rFonts w:hint="default" w:ascii="仿宋_GB2312" w:hAnsi="仿宋_GB2312" w:eastAsia="仿宋_GB2312" w:cs="仿宋_GB2312"/>
          <w:b w:val="0"/>
          <w:bCs w:val="0"/>
          <w:color w:val="000000" w:themeColor="text1"/>
          <w:sz w:val="32"/>
          <w:szCs w:val="32"/>
          <w:lang w:eastAsia="zh-CN"/>
        </w:rPr>
        <w:t>保障</w:t>
      </w:r>
      <w:r>
        <w:rPr>
          <w:rFonts w:hint="eastAsia" w:ascii="仿宋_GB2312" w:hAnsi="仿宋_GB2312" w:eastAsia="仿宋_GB2312" w:cs="仿宋_GB2312"/>
          <w:b w:val="0"/>
          <w:bCs w:val="0"/>
          <w:color w:val="000000" w:themeColor="text1"/>
          <w:sz w:val="32"/>
          <w:szCs w:val="32"/>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黑体" w:hAnsi="黑体" w:eastAsia="黑体" w:cs="宋体"/>
          <w:color w:val="000000"/>
          <w:kern w:val="0"/>
          <w:sz w:val="32"/>
          <w:szCs w:val="32"/>
          <w:shd w:val="clear" w:color="auto" w:fill="FFFFFF"/>
        </w:rPr>
      </w:pPr>
      <w:r>
        <w:rPr>
          <w:rFonts w:hint="eastAsia" w:ascii="黑体" w:hAnsi="黑体" w:eastAsia="黑体" w:cs="宋体"/>
          <w:color w:val="000000"/>
          <w:kern w:val="0"/>
          <w:sz w:val="32"/>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default" w:ascii="楷体_GB2312" w:hAnsi="宋体" w:eastAsia="楷体_GB2312" w:cs="宋体"/>
          <w:color w:val="000000"/>
          <w:kern w:val="0"/>
          <w:sz w:val="32"/>
          <w:szCs w:val="32"/>
          <w:shd w:val="clear" w:color="auto" w:fill="FFFFFF"/>
          <w:lang w:val="en-US" w:eastAsia="zh-CN"/>
        </w:rPr>
      </w:pPr>
      <w:r>
        <w:rPr>
          <w:rFonts w:hint="eastAsia" w:ascii="仿宋_GB2312" w:hAnsi="宋体" w:cs="宋体"/>
          <w:color w:val="auto"/>
          <w:kern w:val="0"/>
          <w:sz w:val="32"/>
          <w:szCs w:val="32"/>
          <w:shd w:val="clear" w:color="auto" w:fill="FFFFFF"/>
          <w:lang w:val="en-US" w:eastAsia="zh-CN"/>
        </w:rPr>
        <w:t>县委组织部2022年财政拨款预算收入2818.61万元，其中上级资金459万元，县级资金2359.61万元。</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部门财政资金支出情况。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宋体" w:cs="宋体"/>
          <w:color w:val="auto"/>
          <w:kern w:val="0"/>
          <w:sz w:val="32"/>
          <w:szCs w:val="32"/>
          <w:shd w:val="clear" w:color="auto" w:fill="FFFFFF"/>
          <w:lang w:val="en-US" w:eastAsia="zh-CN"/>
        </w:rPr>
      </w:pPr>
      <w:r>
        <w:rPr>
          <w:rFonts w:hint="eastAsia"/>
          <w:sz w:val="32"/>
          <w:szCs w:val="32"/>
          <w:lang w:val="zh-CN"/>
        </w:rPr>
        <w:t>部门财政资金总支出</w:t>
      </w:r>
      <w:r>
        <w:rPr>
          <w:rFonts w:hint="eastAsia" w:ascii="仿宋_GB2312" w:hAnsi="宋体" w:cs="宋体"/>
          <w:color w:val="auto"/>
          <w:kern w:val="0"/>
          <w:sz w:val="32"/>
          <w:szCs w:val="32"/>
          <w:shd w:val="clear" w:color="auto" w:fill="FFFFFF"/>
          <w:lang w:val="en-US" w:eastAsia="zh-CN"/>
        </w:rPr>
        <w:t>2803.82万元，其中基本952.81万元，项目1851.01万元。</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部门财政资金结转结余情况。</w:t>
      </w:r>
    </w:p>
    <w:p>
      <w:pPr>
        <w:keepNext w:val="0"/>
        <w:keepLines w:val="0"/>
        <w:pageBreakBefore w:val="0"/>
        <w:widowControl/>
        <w:numPr>
          <w:numId w:val="0"/>
        </w:numPr>
        <w:kinsoku/>
        <w:wordWrap/>
        <w:overflowPunct/>
        <w:topLinePunct w:val="0"/>
        <w:autoSpaceDE/>
        <w:autoSpaceDN/>
        <w:bidi w:val="0"/>
        <w:adjustRightInd w:val="0"/>
        <w:snapToGrid w:val="0"/>
        <w:spacing w:line="360" w:lineRule="auto"/>
        <w:ind w:left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上年度结转结余</w:t>
      </w:r>
      <w:r>
        <w:rPr>
          <w:rFonts w:hint="eastAsia" w:ascii="仿宋_GB2312" w:hAnsi="仿宋_GB2312" w:eastAsia="仿宋_GB2312" w:cs="仿宋_GB2312"/>
          <w:sz w:val="32"/>
          <w:szCs w:val="32"/>
          <w:lang w:val="en-US" w:eastAsia="zh-CN"/>
        </w:rPr>
        <w:t>14.8万。</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黑体" w:hAnsi="黑体" w:eastAsia="黑体" w:cs="宋体"/>
          <w:color w:val="000000"/>
          <w:kern w:val="0"/>
          <w:sz w:val="32"/>
          <w:szCs w:val="32"/>
          <w:shd w:val="clear" w:color="auto" w:fill="FFFFFF"/>
        </w:rPr>
      </w:pPr>
      <w:r>
        <w:rPr>
          <w:rFonts w:hint="eastAsia" w:ascii="黑体" w:hAnsi="黑体" w:eastAsia="黑体" w:cs="宋体"/>
          <w:color w:val="000000"/>
          <w:kern w:val="0"/>
          <w:sz w:val="32"/>
          <w:szCs w:val="32"/>
          <w:shd w:val="clear" w:color="auto" w:fill="FFFFFF"/>
        </w:rPr>
        <w:t>三、部门整体绩效管理情况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（一）部门整体履职绩效分析。</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 w:hAnsi="宋体" w:eastAsia="仿宋" w:cs="宋体"/>
          <w:color w:val="000000"/>
          <w:kern w:val="0"/>
          <w:sz w:val="32"/>
          <w:szCs w:val="32"/>
          <w:shd w:val="clear" w:color="auto" w:fill="FFFFFF"/>
        </w:rPr>
      </w:pPr>
      <w:r>
        <w:rPr>
          <w:rFonts w:hint="eastAsia" w:ascii="仿宋" w:hAnsi="宋体" w:eastAsia="仿宋" w:cs="宋体"/>
          <w:color w:val="000000"/>
          <w:kern w:val="0"/>
          <w:sz w:val="32"/>
          <w:szCs w:val="32"/>
          <w:shd w:val="clear" w:color="auto" w:fill="FFFFFF"/>
          <w:lang w:eastAsia="zh-CN"/>
        </w:rPr>
        <w:t>（</w:t>
      </w:r>
      <w:r>
        <w:rPr>
          <w:rFonts w:hint="eastAsia" w:ascii="仿宋" w:hAnsi="宋体" w:eastAsia="仿宋" w:cs="宋体"/>
          <w:color w:val="000000"/>
          <w:kern w:val="0"/>
          <w:sz w:val="32"/>
          <w:szCs w:val="32"/>
          <w:shd w:val="clear" w:color="auto" w:fill="FFFFFF"/>
          <w:lang w:val="en-US" w:eastAsia="zh-CN"/>
        </w:rPr>
        <w:t>1</w:t>
      </w:r>
      <w:r>
        <w:rPr>
          <w:rFonts w:hint="eastAsia" w:ascii="仿宋" w:hAnsi="宋体" w:eastAsia="仿宋" w:cs="宋体"/>
          <w:color w:val="000000"/>
          <w:kern w:val="0"/>
          <w:sz w:val="32"/>
          <w:szCs w:val="32"/>
          <w:shd w:val="clear" w:color="auto" w:fill="FFFFFF"/>
          <w:lang w:eastAsia="zh-CN"/>
        </w:rPr>
        <w:t>）</w:t>
      </w:r>
      <w:r>
        <w:rPr>
          <w:rFonts w:hint="eastAsia" w:ascii="仿宋" w:hAnsi="宋体" w:eastAsia="仿宋" w:cs="宋体"/>
          <w:color w:val="000000"/>
          <w:kern w:val="0"/>
          <w:sz w:val="32"/>
          <w:szCs w:val="32"/>
          <w:shd w:val="clear" w:color="auto" w:fill="FFFFFF"/>
        </w:rPr>
        <w:t>部门管理。</w:t>
      </w:r>
      <w:r>
        <w:rPr>
          <w:rFonts w:hint="eastAsia" w:ascii="仿宋" w:hAnsi="宋体" w:eastAsia="仿宋" w:cs="宋体"/>
          <w:color w:val="000000"/>
          <w:kern w:val="0"/>
          <w:sz w:val="32"/>
          <w:szCs w:val="32"/>
          <w:shd w:val="clear" w:color="auto" w:fill="FFFFFF"/>
          <w:lang w:eastAsia="zh-CN"/>
        </w:rPr>
        <w:t>组织部</w:t>
      </w:r>
      <w:r>
        <w:rPr>
          <w:rFonts w:hint="eastAsia" w:ascii="仿宋" w:hAnsi="宋体" w:eastAsia="仿宋" w:cs="宋体"/>
          <w:color w:val="000000"/>
          <w:kern w:val="0"/>
          <w:sz w:val="32"/>
          <w:szCs w:val="32"/>
          <w:shd w:val="clear" w:color="auto" w:fill="FFFFFF"/>
        </w:rPr>
        <w:t>编制绩效目标要素完整并细化量化，年初预算编制科学准确，支出严格执行财经纪律，并将绩效监控结果应用到预算调整中。</w:t>
      </w:r>
    </w:p>
    <w:p>
      <w:pPr>
        <w:pStyle w:val="22"/>
        <w:keepNext w:val="0"/>
        <w:keepLines w:val="0"/>
        <w:pageBreakBefore w:val="0"/>
        <w:kinsoku/>
        <w:wordWrap/>
        <w:overflowPunct/>
        <w:topLinePunct w:val="0"/>
        <w:autoSpaceDE/>
        <w:autoSpaceDN/>
        <w:bidi w:val="0"/>
        <w:snapToGrid w:val="0"/>
        <w:spacing w:line="360" w:lineRule="auto"/>
        <w:ind w:firstLine="640" w:firstLineChars="200"/>
        <w:jc w:val="left"/>
        <w:textAlignment w:val="auto"/>
        <w:rPr>
          <w:rFonts w:hint="eastAsia" w:ascii="仿宋" w:eastAsia="仿宋"/>
          <w:color w:val="000000"/>
          <w:sz w:val="32"/>
          <w:szCs w:val="32"/>
          <w:shd w:val="clear" w:color="auto" w:fill="FFFFFF"/>
        </w:rPr>
      </w:pPr>
      <w:r>
        <w:rPr>
          <w:rFonts w:hint="eastAsia" w:ascii="仿宋" w:hAnsi="宋体" w:eastAsia="仿宋" w:cs="宋体"/>
          <w:color w:val="000000"/>
          <w:sz w:val="32"/>
          <w:szCs w:val="32"/>
          <w:shd w:val="clear" w:color="auto" w:fill="FFFFFF"/>
        </w:rPr>
        <w:t>(2)</w:t>
      </w:r>
      <w:r>
        <w:rPr>
          <w:rFonts w:hint="eastAsia" w:ascii="仿宋" w:eastAsia="仿宋"/>
          <w:color w:val="000000"/>
          <w:sz w:val="32"/>
          <w:szCs w:val="32"/>
          <w:shd w:val="clear" w:color="auto" w:fill="FFFFFF"/>
        </w:rPr>
        <w:t>资金执行。基本支出为</w:t>
      </w:r>
      <w:r>
        <w:rPr>
          <w:rFonts w:hint="eastAsia" w:ascii="仿宋" w:eastAsia="仿宋"/>
          <w:color w:val="000000"/>
          <w:sz w:val="32"/>
          <w:szCs w:val="32"/>
          <w:shd w:val="clear" w:color="auto" w:fill="FFFFFF"/>
          <w:lang w:val="en-US" w:eastAsia="zh-CN"/>
        </w:rPr>
        <w:t>952.81</w:t>
      </w:r>
      <w:r>
        <w:rPr>
          <w:rFonts w:hint="eastAsia" w:ascii="仿宋" w:eastAsia="仿宋"/>
          <w:color w:val="000000"/>
          <w:sz w:val="32"/>
          <w:szCs w:val="32"/>
          <w:shd w:val="clear" w:color="auto" w:fill="FFFFFF"/>
        </w:rPr>
        <w:t>万元，主要是用于单位职工的工资薪金及各项保险缴费、福利和日常工作时的接待、办公支出。项目支出为</w:t>
      </w:r>
      <w:r>
        <w:rPr>
          <w:rFonts w:hint="eastAsia" w:ascii="仿宋" w:eastAsia="仿宋"/>
          <w:color w:val="000000"/>
          <w:sz w:val="32"/>
          <w:szCs w:val="32"/>
          <w:shd w:val="clear" w:color="auto" w:fill="FFFFFF"/>
          <w:lang w:val="en-US" w:eastAsia="zh-CN"/>
        </w:rPr>
        <w:t>1851.01</w:t>
      </w:r>
      <w:r>
        <w:rPr>
          <w:rFonts w:hint="eastAsia" w:ascii="仿宋" w:eastAsia="仿宋"/>
          <w:color w:val="000000"/>
          <w:sz w:val="32"/>
          <w:szCs w:val="32"/>
          <w:shd w:val="clear" w:color="auto" w:fill="FFFFFF"/>
        </w:rPr>
        <w:t>万元，本单位</w:t>
      </w:r>
      <w:r>
        <w:rPr>
          <w:rFonts w:hint="eastAsia" w:ascii="仿宋" w:eastAsia="仿宋"/>
          <w:color w:val="000000"/>
          <w:sz w:val="32"/>
          <w:szCs w:val="32"/>
          <w:shd w:val="clear" w:color="auto" w:fill="FFFFFF"/>
          <w:lang w:eastAsia="zh-CN"/>
        </w:rPr>
        <w:t>县级</w:t>
      </w:r>
      <w:r>
        <w:rPr>
          <w:rFonts w:hint="eastAsia" w:ascii="仿宋" w:eastAsia="仿宋"/>
          <w:color w:val="000000"/>
          <w:sz w:val="32"/>
          <w:szCs w:val="32"/>
          <w:shd w:val="clear" w:color="auto" w:fill="FFFFFF"/>
        </w:rPr>
        <w:t>项目主要用于单位开展</w:t>
      </w:r>
      <w:r>
        <w:rPr>
          <w:rFonts w:hint="eastAsia" w:ascii="仿宋" w:eastAsia="仿宋"/>
          <w:color w:val="000000"/>
          <w:sz w:val="32"/>
          <w:szCs w:val="32"/>
          <w:shd w:val="clear" w:color="auto" w:fill="FFFFFF"/>
          <w:lang w:eastAsia="zh-CN"/>
        </w:rPr>
        <w:t>基层党建工作、干部管理、全县离退休干部管理服务等</w:t>
      </w:r>
      <w:r>
        <w:rPr>
          <w:rFonts w:hint="eastAsia" w:ascii="仿宋" w:eastAsia="仿宋"/>
          <w:color w:val="000000"/>
          <w:sz w:val="32"/>
          <w:szCs w:val="32"/>
          <w:shd w:val="clear" w:color="auto" w:fill="FFFFFF"/>
        </w:rPr>
        <w:t>工作</w:t>
      </w:r>
      <w:r>
        <w:rPr>
          <w:rFonts w:hint="eastAsia" w:ascii="仿宋" w:hAnsi="宋体" w:eastAsia="仿宋" w:cs="宋体"/>
          <w:color w:val="000000"/>
          <w:sz w:val="32"/>
          <w:szCs w:val="32"/>
          <w:shd w:val="clear" w:color="auto" w:fill="FFFFFF"/>
        </w:rPr>
        <w:t>。</w:t>
      </w:r>
    </w:p>
    <w:p>
      <w:pPr>
        <w:pStyle w:val="22"/>
        <w:keepNext w:val="0"/>
        <w:keepLines w:val="0"/>
        <w:pageBreakBefore w:val="0"/>
        <w:kinsoku/>
        <w:wordWrap/>
        <w:overflowPunct/>
        <w:topLinePunct w:val="0"/>
        <w:autoSpaceDE/>
        <w:autoSpaceDN/>
        <w:bidi w:val="0"/>
        <w:snapToGrid w:val="0"/>
        <w:spacing w:line="360" w:lineRule="auto"/>
        <w:ind w:firstLine="640" w:firstLineChars="200"/>
        <w:jc w:val="left"/>
        <w:textAlignment w:val="auto"/>
        <w:rPr>
          <w:rFonts w:hint="eastAsia"/>
          <w:sz w:val="32"/>
          <w:szCs w:val="32"/>
        </w:rPr>
      </w:pPr>
      <w:r>
        <w:rPr>
          <w:rFonts w:hint="eastAsia" w:ascii="仿宋" w:hAnsi="宋体" w:eastAsia="仿宋" w:cs="宋体"/>
          <w:color w:val="000000"/>
          <w:sz w:val="32"/>
          <w:szCs w:val="32"/>
          <w:shd w:val="clear" w:color="auto" w:fill="FFFFFF"/>
        </w:rPr>
        <w:t>(3)</w:t>
      </w:r>
      <w:r>
        <w:rPr>
          <w:rFonts w:hint="eastAsia" w:ascii="仿宋" w:eastAsia="仿宋"/>
          <w:color w:val="000000"/>
          <w:sz w:val="32"/>
          <w:szCs w:val="32"/>
          <w:shd w:val="clear" w:color="auto" w:fill="FFFFFF"/>
        </w:rPr>
        <w:t>资金完成。202</w:t>
      </w:r>
      <w:r>
        <w:rPr>
          <w:rFonts w:hint="eastAsia" w:ascii="仿宋" w:eastAsia="仿宋"/>
          <w:color w:val="000000"/>
          <w:sz w:val="32"/>
          <w:szCs w:val="32"/>
          <w:shd w:val="clear" w:color="auto" w:fill="FFFFFF"/>
          <w:lang w:val="en-US" w:eastAsia="zh-CN"/>
        </w:rPr>
        <w:t>2</w:t>
      </w:r>
      <w:r>
        <w:rPr>
          <w:rFonts w:hint="eastAsia" w:ascii="仿宋" w:eastAsia="仿宋"/>
          <w:color w:val="000000"/>
          <w:sz w:val="32"/>
          <w:szCs w:val="32"/>
          <w:shd w:val="clear" w:color="auto" w:fill="FFFFFF"/>
        </w:rPr>
        <w:t>年度全面完成年初预算的各项工作，资金预算明晰、使用合理，资金用途与支出匹配，资金的使用率、合理化有效提高，资金支出无违规、预警记录现象。</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（二）特定目标类项目绩效分析。</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包括项目绩效目标制定、目标实现、支出控制、及时处置、执行进度、预算完成情况、资金结余率（低效无效率）和违规记录等情况。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1.整体情况</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仿宋_GB2312" w:hAnsi="宋体" w:eastAsia="仿宋_GB2312" w:cs="宋体"/>
          <w:color w:val="auto"/>
          <w:kern w:val="0"/>
          <w:sz w:val="32"/>
          <w:szCs w:val="32"/>
          <w:shd w:val="clear" w:color="auto" w:fill="FFFFFF"/>
          <w:lang w:val="zh-CN"/>
        </w:rPr>
      </w:pPr>
      <w:r>
        <w:rPr>
          <w:rFonts w:hint="eastAsia" w:ascii="仿宋_GB2312" w:hAnsi="宋体" w:eastAsia="仿宋_GB2312" w:cs="宋体"/>
          <w:color w:val="auto"/>
          <w:kern w:val="0"/>
          <w:sz w:val="32"/>
          <w:szCs w:val="32"/>
          <w:shd w:val="clear" w:color="auto" w:fill="FFFFFF"/>
          <w:lang w:val="zh-CN"/>
        </w:rPr>
        <w:t>100万以上项目：</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1：人才开发专项资金</w:t>
      </w:r>
      <w:r>
        <w:rPr>
          <w:rFonts w:hint="eastAsia" w:ascii="仿宋_GB2312" w:hAnsi="仿宋_GB2312" w:eastAsia="仿宋_GB2312" w:cs="仿宋_GB2312"/>
          <w:color w:val="auto"/>
          <w:kern w:val="0"/>
          <w:sz w:val="32"/>
          <w:szCs w:val="32"/>
          <w:shd w:val="clear" w:color="auto" w:fill="FFFFFF"/>
          <w:lang w:val="en-US" w:eastAsia="zh-CN"/>
        </w:rPr>
        <w:t>106.72万元</w:t>
      </w:r>
      <w:r>
        <w:rPr>
          <w:rFonts w:hint="eastAsia" w:ascii="仿宋_GB2312" w:hAnsi="仿宋_GB2312" w:eastAsia="仿宋_GB2312" w:cs="仿宋_GB2312"/>
          <w:color w:val="auto"/>
          <w:kern w:val="0"/>
          <w:sz w:val="32"/>
          <w:szCs w:val="32"/>
          <w:shd w:val="clear" w:color="auto" w:fill="FFFFFF"/>
          <w:lang w:val="zh-CN"/>
        </w:rPr>
        <w:t>，主要用于全县人才培训，人才交流人才引进使用，人才表扬奖励，人才补助补贴等。</w:t>
      </w:r>
    </w:p>
    <w:p>
      <w:pPr>
        <w:keepNext w:val="0"/>
        <w:keepLines w:val="0"/>
        <w:pageBreakBefore w:val="0"/>
        <w:widowControl/>
        <w:numPr>
          <w:ilvl w:val="0"/>
          <w:numId w:val="3"/>
        </w:numPr>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老干部活动经费103.98万元，主要用于县级及以上离退休干部工作经费，看望慰问老干部，重大节日开展慰问等。</w:t>
      </w:r>
    </w:p>
    <w:p>
      <w:pPr>
        <w:keepNext w:val="0"/>
        <w:keepLines w:val="0"/>
        <w:pageBreakBefore w:val="0"/>
        <w:widowControl/>
        <w:numPr>
          <w:ilvl w:val="0"/>
          <w:numId w:val="3"/>
        </w:numPr>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auto"/>
          <w:kern w:val="0"/>
          <w:sz w:val="32"/>
          <w:szCs w:val="32"/>
          <w:shd w:val="clear" w:color="auto" w:fill="FFFFFF"/>
          <w:lang w:val="en-US" w:eastAsia="zh-CN"/>
        </w:rPr>
        <w:t xml:space="preserve">基层党建工作经费179.48万元，主要用于加强基层党组织队伍建设，党建工作检查，乡镇党建建设资金及党员教育培训等。                                         </w:t>
      </w:r>
      <w:r>
        <w:rPr>
          <w:rFonts w:hint="eastAsia" w:ascii="楷体_GB2312" w:hAnsi="宋体" w:eastAsia="楷体_GB2312" w:cs="宋体"/>
          <w:color w:val="auto"/>
          <w:kern w:val="0"/>
          <w:sz w:val="32"/>
          <w:szCs w:val="32"/>
          <w:shd w:val="clear" w:color="auto" w:fill="FFFFFF"/>
          <w:lang w:val="zh-CN"/>
        </w:rPr>
        <w:t>（三）结果应用情况。</w:t>
      </w:r>
      <w:r>
        <w:rPr>
          <w:rFonts w:hint="eastAsia" w:ascii="楷体_GB2312" w:hAnsi="宋体" w:eastAsia="楷体_GB2312" w:cs="宋体"/>
          <w:color w:val="auto"/>
          <w:kern w:val="0"/>
          <w:sz w:val="32"/>
          <w:szCs w:val="32"/>
          <w:shd w:val="clear" w:color="auto" w:fill="FFFFFF"/>
          <w:lang w:val="en-US" w:eastAsia="zh-CN"/>
        </w:rPr>
        <w:t xml:space="preserve">    </w:t>
      </w:r>
    </w:p>
    <w:p>
      <w:pPr>
        <w:keepNext w:val="0"/>
        <w:keepLines w:val="0"/>
        <w:pageBreakBefore w:val="0"/>
        <w:widowControl/>
        <w:numPr>
          <w:numId w:val="0"/>
        </w:numPr>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kern w:val="0"/>
          <w:sz w:val="32"/>
          <w:szCs w:val="32"/>
          <w:shd w:val="clear" w:color="auto" w:fill="FFFFFF"/>
          <w:lang w:val="zh-CN"/>
        </w:rPr>
        <w:t>本单位按照财政局下达的预算指标，严格执行预算内开支，保障了单位正常运转。本部门的预决算编制均按照县财政局下达的相关文件指标进行了编制，按时完成编制工作，决算报表和说明均在县政府门户网站公开。绩效目标也按照有关文件如实进行了评价结论</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lang w:val="zh-CN"/>
        </w:rPr>
        <w:t>填报。专项预算也提前进行了规划和筹划。</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黑体" w:hAnsi="黑体" w:eastAsia="黑体" w:cs="宋体"/>
          <w:color w:val="000000"/>
          <w:kern w:val="0"/>
          <w:sz w:val="32"/>
          <w:szCs w:val="32"/>
          <w:shd w:val="clear" w:color="auto" w:fill="FFFFFF"/>
        </w:rPr>
      </w:pPr>
      <w:r>
        <w:rPr>
          <w:rFonts w:hint="eastAsia" w:ascii="黑体" w:hAnsi="黑体" w:eastAsia="黑体" w:cs="宋体"/>
          <w:color w:val="000000"/>
          <w:kern w:val="0"/>
          <w:sz w:val="32"/>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kern w:val="0"/>
          <w:sz w:val="32"/>
          <w:szCs w:val="32"/>
          <w:shd w:val="clear" w:color="auto" w:fill="FFFFFF"/>
          <w:lang w:val="zh-CN"/>
        </w:rPr>
        <w:t>根据《峨边彝族自治县财政局 关于开展20</w:t>
      </w:r>
      <w:r>
        <w:rPr>
          <w:rFonts w:hint="eastAsia" w:ascii="仿宋_GB2312" w:hAnsi="仿宋_GB2312" w:eastAsia="仿宋_GB2312" w:cs="仿宋_GB2312"/>
          <w:color w:val="000000"/>
          <w:kern w:val="0"/>
          <w:sz w:val="32"/>
          <w:szCs w:val="32"/>
          <w:shd w:val="clear" w:color="auto" w:fill="FFFFFF"/>
          <w:lang w:val="en-US" w:eastAsia="zh-CN"/>
        </w:rPr>
        <w:t>22</w:t>
      </w:r>
      <w:r>
        <w:rPr>
          <w:rFonts w:hint="eastAsia" w:ascii="仿宋_GB2312" w:hAnsi="仿宋_GB2312" w:eastAsia="仿宋_GB2312" w:cs="仿宋_GB2312"/>
          <w:color w:val="000000"/>
          <w:kern w:val="0"/>
          <w:sz w:val="32"/>
          <w:szCs w:val="32"/>
          <w:shd w:val="clear" w:color="auto" w:fill="FFFFFF"/>
          <w:lang w:val="zh-CN"/>
        </w:rPr>
        <w:t>年部门整体、项目和政策支出绩效评价工作的通知》文件精神，</w:t>
      </w:r>
      <w:r>
        <w:rPr>
          <w:rFonts w:hint="eastAsia" w:ascii="仿宋_GB2312" w:hAnsi="仿宋_GB2312" w:eastAsia="仿宋_GB2312" w:cs="仿宋_GB2312"/>
          <w:color w:val="000000"/>
          <w:kern w:val="0"/>
          <w:sz w:val="32"/>
          <w:szCs w:val="32"/>
          <w:shd w:val="clear" w:color="auto" w:fill="FFFFFF"/>
          <w:lang w:val="en-US" w:eastAsia="zh-CN"/>
        </w:rPr>
        <w:t>我单位认真组织开展了部门整体支出绩效评价工作，绩效评价</w:t>
      </w:r>
      <w:r>
        <w:rPr>
          <w:rFonts w:hint="eastAsia" w:ascii="仿宋_GB2312" w:hAnsi="仿宋_GB2312" w:eastAsia="仿宋_GB2312" w:cs="仿宋_GB2312"/>
          <w:color w:val="000000"/>
          <w:kern w:val="0"/>
          <w:sz w:val="32"/>
          <w:szCs w:val="32"/>
          <w:shd w:val="clear" w:color="auto" w:fill="FFFFFF"/>
          <w:lang w:val="zh-CN"/>
        </w:rPr>
        <w:t>得分：</w:t>
      </w:r>
      <w:r>
        <w:rPr>
          <w:rFonts w:hint="eastAsia" w:ascii="仿宋_GB2312" w:hAnsi="仿宋_GB2312" w:eastAsia="仿宋_GB2312" w:cs="仿宋_GB2312"/>
          <w:color w:val="000000"/>
          <w:kern w:val="0"/>
          <w:sz w:val="32"/>
          <w:szCs w:val="32"/>
          <w:shd w:val="clear" w:color="auto" w:fill="FFFFFF"/>
          <w:lang w:val="en-US" w:eastAsia="zh-CN"/>
        </w:rPr>
        <w:t>98</w:t>
      </w:r>
      <w:r>
        <w:rPr>
          <w:rFonts w:hint="eastAsia" w:ascii="仿宋_GB2312" w:hAnsi="仿宋_GB2312" w:eastAsia="仿宋_GB2312" w:cs="仿宋_GB2312"/>
          <w:color w:val="000000"/>
          <w:kern w:val="0"/>
          <w:sz w:val="32"/>
          <w:szCs w:val="32"/>
          <w:shd w:val="clear" w:color="auto" w:fill="FFFFFF"/>
          <w:lang w:val="zh-CN"/>
        </w:rPr>
        <w:t>分。</w:t>
      </w:r>
    </w:p>
    <w:p>
      <w:pPr>
        <w:pStyle w:val="22"/>
        <w:keepNext w:val="0"/>
        <w:keepLines w:val="0"/>
        <w:pageBreakBefore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sz w:val="32"/>
          <w:szCs w:val="32"/>
          <w:shd w:val="clear" w:color="auto" w:fill="FFFFFF"/>
          <w:lang w:val="zh-CN"/>
        </w:rPr>
      </w:pPr>
      <w:r>
        <w:rPr>
          <w:rFonts w:hint="eastAsia" w:ascii="仿宋_GB2312" w:hAnsi="仿宋_GB2312" w:eastAsia="仿宋_GB2312" w:cs="仿宋_GB2312"/>
          <w:sz w:val="32"/>
          <w:szCs w:val="32"/>
          <w:shd w:val="clear" w:color="auto" w:fill="FFFFFF"/>
          <w:lang w:val="zh-CN"/>
        </w:rPr>
        <w:t>（二）存在问题。</w:t>
      </w:r>
      <w:r>
        <w:rPr>
          <w:rFonts w:hint="eastAsia" w:ascii="仿宋_GB2312" w:hAnsi="仿宋_GB2312" w:eastAsia="仿宋_GB2312" w:cs="仿宋_GB2312"/>
          <w:sz w:val="32"/>
          <w:szCs w:val="32"/>
          <w:shd w:val="clear" w:color="auto" w:fill="FFFFFF"/>
        </w:rPr>
        <w:t>项目资金预算经费预算精细化不够，导致经费不够产生中期调整，</w:t>
      </w:r>
      <w:r>
        <w:rPr>
          <w:rFonts w:hint="eastAsia" w:ascii="仿宋_GB2312" w:hAnsi="仿宋_GB2312" w:eastAsia="仿宋_GB2312" w:cs="仿宋_GB2312"/>
          <w:sz w:val="32"/>
          <w:szCs w:val="32"/>
          <w:shd w:val="clear" w:color="auto" w:fill="FFFFFF"/>
          <w:lang w:val="zh-CN"/>
        </w:rPr>
        <w:t>偶尔</w:t>
      </w:r>
      <w:r>
        <w:rPr>
          <w:rStyle w:val="13"/>
          <w:rFonts w:hint="eastAsia" w:ascii="仿宋_GB2312" w:hAnsi="仿宋_GB2312" w:eastAsia="仿宋_GB2312" w:cs="仿宋_GB2312"/>
          <w:snapToGrid w:val="0"/>
          <w:sz w:val="32"/>
          <w:szCs w:val="32"/>
        </w:rPr>
        <w:t>有个别费用支付滞后。</w:t>
      </w:r>
    </w:p>
    <w:p>
      <w:pPr>
        <w:pStyle w:val="22"/>
        <w:keepNext w:val="0"/>
        <w:keepLines w:val="0"/>
        <w:pageBreakBefore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zh-CN"/>
        </w:rPr>
        <w:t>（三）改进建议。</w:t>
      </w:r>
      <w:r>
        <w:rPr>
          <w:rStyle w:val="13"/>
          <w:rFonts w:hint="eastAsia" w:ascii="仿宋_GB2312" w:hAnsi="仿宋_GB2312" w:eastAsia="仿宋_GB2312" w:cs="仿宋_GB2312"/>
          <w:snapToGrid w:val="0"/>
          <w:sz w:val="32"/>
          <w:szCs w:val="32"/>
        </w:rPr>
        <w:t>加强财政资金及时支付，</w:t>
      </w:r>
      <w:r>
        <w:rPr>
          <w:rFonts w:hint="eastAsia" w:ascii="仿宋_GB2312" w:hAnsi="仿宋_GB2312" w:eastAsia="仿宋_GB2312" w:cs="仿宋_GB2312"/>
          <w:color w:val="000000"/>
          <w:sz w:val="32"/>
          <w:szCs w:val="32"/>
          <w:shd w:val="clear" w:color="auto" w:fill="FFFFFF"/>
        </w:rPr>
        <w:t>加大对资金风险点的防控，进一步完善各项内部控制制度。</w:t>
      </w:r>
    </w:p>
    <w:p>
      <w:pPr>
        <w:pStyle w:val="8"/>
        <w:keepNext w:val="0"/>
        <w:keepLines w:val="0"/>
        <w:pageBreakBefore w:val="0"/>
        <w:numPr>
          <w:ilvl w:val="0"/>
          <w:numId w:val="0"/>
        </w:numPr>
        <w:kinsoku/>
        <w:wordWrap/>
        <w:overflowPunct/>
        <w:topLinePunct w:val="0"/>
        <w:autoSpaceDE/>
        <w:autoSpaceDN/>
        <w:bidi w:val="0"/>
        <w:spacing w:line="360" w:lineRule="auto"/>
        <w:ind w:leftChars="200"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contextualSpacing/>
        <w:jc w:val="left"/>
        <w:textAlignment w:val="auto"/>
        <w:rPr>
          <w:rFonts w:ascii="楷体_GB2312" w:hAnsi="宋体" w:eastAsia="楷体_GB2312" w:cs="宋体"/>
          <w:color w:val="000000"/>
          <w:kern w:val="0"/>
          <w:sz w:val="32"/>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2834E"/>
    <w:multiLevelType w:val="singleLevel"/>
    <w:tmpl w:val="A192834E"/>
    <w:lvl w:ilvl="0" w:tentative="0">
      <w:start w:val="2"/>
      <w:numFmt w:val="chineseCounting"/>
      <w:suff w:val="nothing"/>
      <w:lvlText w:val="（%1）"/>
      <w:lvlJc w:val="left"/>
      <w:rPr>
        <w:rFonts w:hint="eastAsia"/>
      </w:rPr>
    </w:lvl>
  </w:abstractNum>
  <w:abstractNum w:abstractNumId="1">
    <w:nsid w:val="BBC7853B"/>
    <w:multiLevelType w:val="singleLevel"/>
    <w:tmpl w:val="BBC7853B"/>
    <w:lvl w:ilvl="0" w:tentative="0">
      <w:start w:val="2"/>
      <w:numFmt w:val="decimal"/>
      <w:lvlText w:val="%1."/>
      <w:lvlJc w:val="left"/>
      <w:pPr>
        <w:tabs>
          <w:tab w:val="left" w:pos="312"/>
        </w:tabs>
      </w:pPr>
    </w:lvl>
  </w:abstractNum>
  <w:abstractNum w:abstractNumId="2">
    <w:nsid w:val="FBA11DE3"/>
    <w:multiLevelType w:val="singleLevel"/>
    <w:tmpl w:val="FBA11DE3"/>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GYyZjc3NTJhZGI1N2IzMTBjN2NhNzE2MDFhZDcwNz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96C53A7"/>
    <w:rsid w:val="0E7B6E7A"/>
    <w:rsid w:val="0F497356"/>
    <w:rsid w:val="13D11138"/>
    <w:rsid w:val="17E42604"/>
    <w:rsid w:val="185F3B18"/>
    <w:rsid w:val="18D17537"/>
    <w:rsid w:val="19927F78"/>
    <w:rsid w:val="1A0703FF"/>
    <w:rsid w:val="1FB566DF"/>
    <w:rsid w:val="21AE59D8"/>
    <w:rsid w:val="260D682B"/>
    <w:rsid w:val="272F4073"/>
    <w:rsid w:val="286F56EA"/>
    <w:rsid w:val="29407DBD"/>
    <w:rsid w:val="2B4C581C"/>
    <w:rsid w:val="2D527252"/>
    <w:rsid w:val="2EB8056E"/>
    <w:rsid w:val="329102D6"/>
    <w:rsid w:val="344C3924"/>
    <w:rsid w:val="351569ED"/>
    <w:rsid w:val="3A9520B3"/>
    <w:rsid w:val="3DE562B7"/>
    <w:rsid w:val="3E6507EA"/>
    <w:rsid w:val="3FDB3FFB"/>
    <w:rsid w:val="450705BE"/>
    <w:rsid w:val="47550EBA"/>
    <w:rsid w:val="48CD6F0C"/>
    <w:rsid w:val="4CC51E04"/>
    <w:rsid w:val="4DED3B42"/>
    <w:rsid w:val="502E3B28"/>
    <w:rsid w:val="50BB3388"/>
    <w:rsid w:val="58276AB4"/>
    <w:rsid w:val="598F67F5"/>
    <w:rsid w:val="60FC22D8"/>
    <w:rsid w:val="65092894"/>
    <w:rsid w:val="6636451A"/>
    <w:rsid w:val="669B46E7"/>
    <w:rsid w:val="67530DBD"/>
    <w:rsid w:val="6B457DCC"/>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qFormat/>
    <w:uiPriority w:val="99"/>
    <w:rPr>
      <w:rFonts w:ascii="宋体"/>
      <w:sz w:val="18"/>
      <w:szCs w:val="18"/>
    </w:rPr>
  </w:style>
  <w:style w:type="paragraph" w:styleId="3">
    <w:name w:val="Body Text"/>
    <w:basedOn w:val="1"/>
    <w:next w:val="1"/>
    <w:qFormat/>
    <w:locked/>
    <w:uiPriority w:val="99"/>
    <w:rPr>
      <w:rFonts w:ascii="Times New Roman" w:hAnsi="Times New Roman" w:eastAsia="仿宋" w:cs="Times New Roman"/>
      <w:b/>
      <w:bCs/>
      <w:sz w:val="32"/>
      <w:szCs w:val="32"/>
    </w:rPr>
  </w:style>
  <w:style w:type="paragraph" w:styleId="4">
    <w:name w:val="Balloon Text"/>
    <w:basedOn w:val="1"/>
    <w:link w:val="16"/>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locked/>
    <w:uiPriority w:val="0"/>
    <w:pPr>
      <w:spacing w:before="100" w:beforeAutospacing="1" w:after="100" w:afterAutospacing="1"/>
      <w:ind w:left="0" w:right="0"/>
      <w:jc w:val="left"/>
    </w:pPr>
    <w:rPr>
      <w:kern w:val="0"/>
      <w:sz w:val="24"/>
      <w:lang w:val="en-US" w:eastAsia="zh-CN" w:bidi="ar"/>
    </w:rPr>
  </w:style>
  <w:style w:type="paragraph" w:styleId="8">
    <w:name w:val="Title"/>
    <w:basedOn w:val="1"/>
    <w:next w:val="1"/>
    <w:qFormat/>
    <w:locked/>
    <w:uiPriority w:val="0"/>
    <w:pPr>
      <w:spacing w:before="240" w:after="60"/>
      <w:jc w:val="center"/>
      <w:outlineLvl w:val="0"/>
    </w:pPr>
    <w:rPr>
      <w:rFonts w:ascii="Arial" w:hAnsi="Arial" w:cs="Arial"/>
      <w:sz w:val="32"/>
      <w:szCs w:val="32"/>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99"/>
    <w:rPr>
      <w:rFonts w:cs="Times New Roman"/>
    </w:rPr>
  </w:style>
  <w:style w:type="character" w:styleId="13">
    <w:name w:val="Emphasis"/>
    <w:basedOn w:val="11"/>
    <w:qFormat/>
    <w:locked/>
    <w:uiPriority w:val="0"/>
  </w:style>
  <w:style w:type="paragraph" w:customStyle="1" w:styleId="14">
    <w:name w:val="BodyText"/>
    <w:basedOn w:val="1"/>
    <w:qFormat/>
    <w:uiPriority w:val="0"/>
    <w:pPr>
      <w:spacing w:after="120"/>
      <w:textAlignment w:val="baseline"/>
    </w:pPr>
    <w:rPr>
      <w:rFonts w:ascii="Times New Roman" w:hAnsi="Times New Roman"/>
      <w:szCs w:val="21"/>
    </w:rPr>
  </w:style>
  <w:style w:type="character" w:customStyle="1" w:styleId="15">
    <w:name w:val="文档结构图 Char"/>
    <w:link w:val="2"/>
    <w:qFormat/>
    <w:locked/>
    <w:uiPriority w:val="99"/>
    <w:rPr>
      <w:rFonts w:ascii="宋体" w:cs="Times New Roman"/>
      <w:kern w:val="2"/>
      <w:sz w:val="18"/>
      <w:szCs w:val="18"/>
    </w:rPr>
  </w:style>
  <w:style w:type="character" w:customStyle="1" w:styleId="16">
    <w:name w:val="批注框文本 Char"/>
    <w:link w:val="4"/>
    <w:semiHidden/>
    <w:qFormat/>
    <w:locked/>
    <w:uiPriority w:val="99"/>
    <w:rPr>
      <w:rFonts w:cs="Times New Roman"/>
      <w:sz w:val="2"/>
    </w:rPr>
  </w:style>
  <w:style w:type="character" w:customStyle="1" w:styleId="17">
    <w:name w:val="页脚 Char"/>
    <w:link w:val="5"/>
    <w:qFormat/>
    <w:locked/>
    <w:uiPriority w:val="99"/>
    <w:rPr>
      <w:rFonts w:cs="Times New Roman"/>
      <w:kern w:val="2"/>
      <w:sz w:val="18"/>
      <w:szCs w:val="18"/>
    </w:rPr>
  </w:style>
  <w:style w:type="character" w:customStyle="1" w:styleId="18">
    <w:name w:val="页眉 Char"/>
    <w:link w:val="6"/>
    <w:semiHidden/>
    <w:qFormat/>
    <w:locked/>
    <w:uiPriority w:val="99"/>
    <w:rPr>
      <w:rFonts w:cs="Times New Roman"/>
      <w:sz w:val="18"/>
      <w:szCs w:val="18"/>
    </w:rPr>
  </w:style>
  <w:style w:type="paragraph" w:customStyle="1" w:styleId="19">
    <w:name w:val="四号正文"/>
    <w:basedOn w:val="1"/>
    <w:link w:val="20"/>
    <w:qFormat/>
    <w:uiPriority w:val="99"/>
    <w:pPr>
      <w:spacing w:line="360" w:lineRule="auto"/>
    </w:pPr>
    <w:rPr>
      <w:rFonts w:ascii="??" w:hAnsi="??" w:cs="宋体"/>
      <w:color w:val="000000"/>
      <w:kern w:val="0"/>
      <w:sz w:val="28"/>
      <w:szCs w:val="21"/>
    </w:rPr>
  </w:style>
  <w:style w:type="character" w:customStyle="1" w:styleId="20">
    <w:name w:val="四号正文 Char"/>
    <w:link w:val="19"/>
    <w:qFormat/>
    <w:locked/>
    <w:uiPriority w:val="99"/>
    <w:rPr>
      <w:rFonts w:ascii="??" w:hAnsi="??" w:eastAsia="宋体" w:cs="宋体"/>
      <w:color w:val="000000"/>
      <w:sz w:val="21"/>
      <w:szCs w:val="21"/>
      <w:lang w:val="en-US" w:eastAsia="zh-CN" w:bidi="ar-SA"/>
    </w:rPr>
  </w:style>
  <w:style w:type="paragraph" w:customStyle="1" w:styleId="21">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22">
    <w:name w:val="p0"/>
    <w:basedOn w:val="1"/>
    <w:qFormat/>
    <w:uiPriority w:val="0"/>
    <w:pPr>
      <w:widowControl/>
    </w:pPr>
    <w:rPr>
      <w:kern w:val="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72</TotalTime>
  <ScaleCrop>false</ScaleCrop>
  <LinksUpToDate>false</LinksUpToDate>
  <CharactersWithSpaces>423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宁静</cp:lastModifiedBy>
  <cp:lastPrinted>2022-03-15T02:17:00Z</cp:lastPrinted>
  <dcterms:modified xsi:type="dcterms:W3CDTF">2023-07-26T09:41:47Z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53B7F86B27C64309879EEE75FFE498EF</vt:lpwstr>
  </property>
</Properties>
</file>