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55303">
      <w:pPr>
        <w:pStyle w:val="9"/>
        <w:jc w:val="center"/>
        <w:rPr>
          <w:rFonts w:hint="eastAsia" w:ascii="方正小标宋简体" w:hAnsi="宋体" w:eastAsia="方正小标宋简体" w:cs="Times New Roman"/>
          <w:color w:val="auto"/>
          <w:kern w:val="2"/>
          <w:sz w:val="44"/>
          <w:szCs w:val="44"/>
          <w:highlight w:val="none"/>
          <w:lang w:val="en-US" w:eastAsia="zh-CN" w:bidi="ar-SA"/>
        </w:rPr>
      </w:pPr>
    </w:p>
    <w:p w14:paraId="29EB78F2">
      <w:pPr>
        <w:pStyle w:val="9"/>
        <w:jc w:val="center"/>
        <w:rPr>
          <w:rFonts w:hint="eastAsia" w:ascii="方正小标宋简体" w:hAnsi="宋体" w:eastAsia="方正小标宋简体" w:cs="Times New Roman"/>
          <w:color w:val="auto"/>
          <w:kern w:val="2"/>
          <w:sz w:val="44"/>
          <w:szCs w:val="44"/>
          <w:highlight w:val="none"/>
          <w:lang w:val="en-US" w:eastAsia="zh-CN" w:bidi="ar-SA"/>
        </w:rPr>
      </w:pPr>
    </w:p>
    <w:p w14:paraId="6C40D129">
      <w:pPr>
        <w:pStyle w:val="9"/>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0" w:name="_Toc15377194"/>
      <w:bookmarkStart w:id="1" w:name="_Toc15378442"/>
      <w:bookmarkStart w:id="2" w:name="_Toc15377426"/>
      <w:bookmarkStart w:id="3" w:name="_Toc15396598"/>
      <w:bookmarkStart w:id="4" w:name="_Toc15396476"/>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5" w:name="_Toc15306268"/>
    </w:p>
    <w:p w14:paraId="3BA26601">
      <w:pPr>
        <w:pStyle w:val="9"/>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行政审批和数据局部门决算</w:t>
      </w:r>
      <w:bookmarkEnd w:id="0"/>
      <w:bookmarkEnd w:id="1"/>
      <w:bookmarkEnd w:id="2"/>
      <w:bookmarkEnd w:id="3"/>
      <w:bookmarkEnd w:id="4"/>
      <w:bookmarkEnd w:id="5"/>
    </w:p>
    <w:p w14:paraId="0D56D21F">
      <w:pPr>
        <w:pStyle w:val="5"/>
        <w:keepNext/>
        <w:keepLines/>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宋体" w:hAnsi="宋体" w:eastAsia="宋体" w:cs="宋体"/>
        </w:rPr>
        <w:sectPr>
          <w:footerReference r:id="rId3" w:type="default"/>
          <w:pgSz w:w="11906" w:h="16838"/>
          <w:pgMar w:top="2120" w:right="1463" w:bottom="2007" w:left="1576" w:header="851" w:footer="992" w:gutter="0"/>
          <w:pgNumType w:fmt="numberInDash" w:start="1"/>
          <w:cols w:space="425" w:num="1"/>
          <w:titlePg/>
          <w:docGrid w:type="lines" w:linePitch="312" w:charSpace="0"/>
        </w:sectPr>
      </w:pPr>
    </w:p>
    <w:sdt>
      <w:sdtPr>
        <w:rPr>
          <w:rFonts w:ascii="宋体" w:hAnsi="宋体" w:eastAsia="宋体" w:cs="Times New Roman"/>
          <w:kern w:val="2"/>
          <w:sz w:val="21"/>
          <w:szCs w:val="24"/>
          <w:lang w:val="en-US" w:eastAsia="zh-CN" w:bidi="ar-SA"/>
        </w:rPr>
        <w:id w:val="147470698"/>
        <w15:color w:val="DBDBDB"/>
        <w:docPartObj>
          <w:docPartGallery w:val="Table of Contents"/>
          <w:docPartUnique/>
        </w:docPartObj>
      </w:sdtPr>
      <w:sdtEndPr>
        <w:rPr>
          <w:rFonts w:hint="eastAsia" w:ascii="仿宋_GB2312" w:hAnsi="Times New Roman" w:eastAsia="宋体" w:cs="Times New Roman"/>
          <w:b/>
          <w:kern w:val="2"/>
          <w:sz w:val="21"/>
          <w:szCs w:val="32"/>
          <w:lang w:val="en-US" w:eastAsia="zh-CN" w:bidi="ar-SA"/>
        </w:rPr>
      </w:sdtEndPr>
      <w:sdtContent>
        <w:p w14:paraId="416CD45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1AA6697">
          <w:pPr>
            <w:widowControl/>
            <w:jc w:val="center"/>
            <w:rPr>
              <w:rFonts w:ascii="Times New Roman" w:hAnsi="Times New Roman" w:eastAsia="黑体" w:cstheme="minorBidi"/>
              <w:color w:val="auto"/>
              <w:sz w:val="28"/>
              <w:szCs w:val="28"/>
              <w:highlight w:val="none"/>
            </w:rPr>
          </w:pPr>
        </w:p>
        <w:p w14:paraId="1B871BD7">
          <w:pPr>
            <w:spacing w:before="0" w:beforeLines="0" w:after="0" w:afterLines="0" w:line="240" w:lineRule="auto"/>
            <w:ind w:left="0" w:leftChars="0" w:right="0" w:rightChars="0" w:firstLine="0" w:firstLineChars="0"/>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5C21C76A">
          <w:pPr>
            <w:pStyle w:val="2"/>
            <w:rPr>
              <w:rFonts w:hint="eastAsia" w:ascii="Times New Roman" w:hAnsi="Times New Roman" w:eastAsia="仿宋_GB2312" w:cs="仿宋_GB2312"/>
              <w:color w:val="auto"/>
              <w:sz w:val="32"/>
              <w:szCs w:val="32"/>
              <w:highlight w:val="none"/>
            </w:rPr>
          </w:pPr>
        </w:p>
        <w:p w14:paraId="39BC21D2">
          <w:pPr>
            <w:pStyle w:val="37"/>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b/>
            </w:rPr>
          </w:pPr>
          <w:r>
            <w:rPr>
              <w:rFonts w:hint="eastAsia"/>
            </w:rPr>
            <w:fldChar w:fldCharType="begin"/>
          </w:r>
          <w:r>
            <w:rPr>
              <w:rFonts w:hint="eastAsia"/>
            </w:rPr>
            <w:instrText xml:space="preserve">TOC \o "1-2" \h \u </w:instrText>
          </w:r>
          <w:r>
            <w:rPr>
              <w:rFonts w:hint="eastAsia"/>
            </w:rPr>
            <w:fldChar w:fldCharType="separate"/>
          </w:r>
          <w:r>
            <w:rPr>
              <w:rStyle w:val="39"/>
              <w:rFonts w:hint="eastAsia" w:ascii="黑体" w:hAnsi="黑体" w:eastAsia="黑体" w:cs="黑体"/>
              <w:sz w:val="30"/>
              <w:szCs w:val="30"/>
            </w:rPr>
            <w:fldChar w:fldCharType="begin"/>
          </w:r>
          <w:r>
            <w:rPr>
              <w:rStyle w:val="39"/>
              <w:rFonts w:hint="eastAsia" w:ascii="黑体" w:hAnsi="黑体" w:eastAsia="黑体" w:cs="黑体"/>
              <w:sz w:val="30"/>
              <w:szCs w:val="30"/>
            </w:rPr>
            <w:instrText xml:space="preserve"> HYPERLINK \l _Toc13756 </w:instrText>
          </w:r>
          <w:r>
            <w:rPr>
              <w:rStyle w:val="39"/>
              <w:rFonts w:hint="eastAsia" w:ascii="黑体" w:hAnsi="黑体" w:eastAsia="黑体" w:cs="黑体"/>
              <w:sz w:val="30"/>
              <w:szCs w:val="30"/>
            </w:rPr>
            <w:fldChar w:fldCharType="separate"/>
          </w:r>
          <w:r>
            <w:rPr>
              <w:rStyle w:val="39"/>
              <w:rFonts w:hint="eastAsia" w:ascii="黑体" w:hAnsi="黑体" w:eastAsia="黑体" w:cs="黑体"/>
              <w:sz w:val="30"/>
              <w:szCs w:val="30"/>
            </w:rPr>
            <w:t>第一部分</w:t>
          </w:r>
          <w:r>
            <w:rPr>
              <w:rStyle w:val="39"/>
              <w:rFonts w:hint="eastAsia" w:ascii="黑体" w:hAnsi="黑体" w:eastAsia="黑体" w:cs="黑体"/>
              <w:sz w:val="30"/>
              <w:szCs w:val="30"/>
              <w:lang w:val="en-US" w:eastAsia="zh-CN"/>
            </w:rPr>
            <w:t xml:space="preserve"> </w:t>
          </w:r>
          <w:r>
            <w:rPr>
              <w:rStyle w:val="39"/>
              <w:rFonts w:hint="eastAsia" w:ascii="黑体" w:hAnsi="黑体" w:eastAsia="黑体" w:cs="黑体"/>
              <w:sz w:val="30"/>
              <w:szCs w:val="30"/>
            </w:rPr>
            <w:t>部门概况</w:t>
          </w:r>
          <w:r>
            <w:rPr>
              <w:rStyle w:val="39"/>
              <w:rFonts w:hint="eastAsia" w:ascii="黑体" w:hAnsi="黑体" w:eastAsia="黑体" w:cs="黑体"/>
              <w:sz w:val="30"/>
              <w:szCs w:val="30"/>
            </w:rPr>
            <w:tab/>
          </w:r>
          <w:r>
            <w:rPr>
              <w:rStyle w:val="39"/>
              <w:rFonts w:hint="eastAsia" w:ascii="黑体" w:hAnsi="黑体" w:eastAsia="黑体" w:cs="黑体"/>
              <w:sz w:val="30"/>
              <w:szCs w:val="30"/>
            </w:rPr>
            <w:fldChar w:fldCharType="begin"/>
          </w:r>
          <w:r>
            <w:rPr>
              <w:rStyle w:val="39"/>
              <w:rFonts w:hint="eastAsia" w:ascii="黑体" w:hAnsi="黑体" w:eastAsia="黑体" w:cs="黑体"/>
              <w:sz w:val="30"/>
              <w:szCs w:val="30"/>
            </w:rPr>
            <w:instrText xml:space="preserve"> PAGEREF _Toc13756 \h </w:instrText>
          </w:r>
          <w:r>
            <w:rPr>
              <w:rStyle w:val="39"/>
              <w:rFonts w:hint="eastAsia" w:ascii="黑体" w:hAnsi="黑体" w:eastAsia="黑体" w:cs="黑体"/>
              <w:sz w:val="30"/>
              <w:szCs w:val="30"/>
            </w:rPr>
            <w:fldChar w:fldCharType="separate"/>
          </w:r>
          <w:r>
            <w:rPr>
              <w:rStyle w:val="39"/>
              <w:rFonts w:hint="eastAsia" w:ascii="黑体" w:hAnsi="黑体" w:eastAsia="黑体" w:cs="黑体"/>
              <w:sz w:val="30"/>
              <w:szCs w:val="30"/>
            </w:rPr>
            <w:t>- 1 -</w:t>
          </w:r>
          <w:r>
            <w:rPr>
              <w:rStyle w:val="39"/>
              <w:rFonts w:hint="eastAsia" w:ascii="黑体" w:hAnsi="黑体" w:eastAsia="黑体" w:cs="黑体"/>
              <w:sz w:val="30"/>
              <w:szCs w:val="30"/>
            </w:rPr>
            <w:fldChar w:fldCharType="end"/>
          </w:r>
          <w:r>
            <w:rPr>
              <w:rStyle w:val="39"/>
              <w:rFonts w:hint="eastAsia" w:ascii="黑体" w:hAnsi="黑体" w:eastAsia="黑体" w:cs="黑体"/>
              <w:sz w:val="30"/>
              <w:szCs w:val="30"/>
            </w:rPr>
            <w:fldChar w:fldCharType="end"/>
          </w:r>
        </w:p>
        <w:p w14:paraId="6B1D05D1">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_Toc5149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一、部门职责</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_Toc5149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- 1 -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71CC2C20">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_Toc6638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二、机构设置</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_Toc6638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- 1 -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1EB34654">
          <w:pPr>
            <w:pStyle w:val="37"/>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Style w:val="39"/>
              <w:rFonts w:hint="eastAsia" w:cstheme="minorBidi"/>
              <w:sz w:val="24"/>
              <w:szCs w:val="24"/>
            </w:rPr>
          </w:pPr>
          <w:r>
            <w:rPr>
              <w:rStyle w:val="39"/>
              <w:rFonts w:hint="eastAsia" w:ascii="黑体" w:hAnsi="黑体" w:eastAsia="黑体" w:cs="黑体"/>
              <w:sz w:val="30"/>
              <w:szCs w:val="30"/>
            </w:rPr>
            <w:fldChar w:fldCharType="begin"/>
          </w:r>
          <w:r>
            <w:rPr>
              <w:rStyle w:val="39"/>
              <w:rFonts w:hint="eastAsia" w:ascii="黑体" w:hAnsi="黑体" w:eastAsia="黑体" w:cs="黑体"/>
              <w:sz w:val="30"/>
              <w:szCs w:val="30"/>
            </w:rPr>
            <w:instrText xml:space="preserve"> HYPERLINK \l _Toc29453 </w:instrText>
          </w:r>
          <w:r>
            <w:rPr>
              <w:rStyle w:val="39"/>
              <w:rFonts w:hint="eastAsia" w:ascii="黑体" w:hAnsi="黑体" w:eastAsia="黑体" w:cs="黑体"/>
              <w:sz w:val="30"/>
              <w:szCs w:val="30"/>
            </w:rPr>
            <w:fldChar w:fldCharType="separate"/>
          </w:r>
          <w:r>
            <w:rPr>
              <w:rStyle w:val="39"/>
              <w:rFonts w:hint="eastAsia" w:ascii="黑体" w:hAnsi="黑体" w:eastAsia="黑体" w:cs="黑体"/>
              <w:sz w:val="30"/>
              <w:szCs w:val="30"/>
            </w:rPr>
            <w:t>第二部分</w:t>
          </w:r>
          <w:r>
            <w:rPr>
              <w:rStyle w:val="39"/>
              <w:rFonts w:hint="eastAsia" w:ascii="黑体" w:hAnsi="黑体" w:eastAsia="黑体" w:cs="黑体"/>
              <w:sz w:val="30"/>
              <w:szCs w:val="30"/>
              <w:lang w:val="en-US" w:eastAsia="zh-CN"/>
            </w:rPr>
            <w:t xml:space="preserve"> 2024年度</w:t>
          </w:r>
          <w:r>
            <w:rPr>
              <w:rStyle w:val="39"/>
              <w:rFonts w:hint="eastAsia" w:ascii="黑体" w:hAnsi="黑体" w:eastAsia="黑体" w:cs="黑体"/>
              <w:sz w:val="30"/>
              <w:szCs w:val="30"/>
            </w:rPr>
            <w:t>部门决算情况说明</w:t>
          </w:r>
          <w:r>
            <w:rPr>
              <w:rStyle w:val="39"/>
              <w:rFonts w:hint="eastAsia" w:ascii="黑体" w:hAnsi="黑体" w:eastAsia="黑体" w:cs="黑体"/>
              <w:sz w:val="30"/>
              <w:szCs w:val="30"/>
            </w:rPr>
            <w:tab/>
          </w:r>
          <w:r>
            <w:rPr>
              <w:rStyle w:val="39"/>
              <w:rFonts w:hint="eastAsia" w:ascii="黑体" w:hAnsi="黑体" w:eastAsia="黑体" w:cs="黑体"/>
              <w:sz w:val="30"/>
              <w:szCs w:val="30"/>
            </w:rPr>
            <w:fldChar w:fldCharType="begin"/>
          </w:r>
          <w:r>
            <w:rPr>
              <w:rStyle w:val="39"/>
              <w:rFonts w:hint="eastAsia" w:ascii="黑体" w:hAnsi="黑体" w:eastAsia="黑体" w:cs="黑体"/>
              <w:sz w:val="30"/>
              <w:szCs w:val="30"/>
            </w:rPr>
            <w:instrText xml:space="preserve"> PAGEREF _Toc29453 \h </w:instrText>
          </w:r>
          <w:r>
            <w:rPr>
              <w:rStyle w:val="39"/>
              <w:rFonts w:hint="eastAsia" w:ascii="黑体" w:hAnsi="黑体" w:eastAsia="黑体" w:cs="黑体"/>
              <w:sz w:val="30"/>
              <w:szCs w:val="30"/>
            </w:rPr>
            <w:fldChar w:fldCharType="separate"/>
          </w:r>
          <w:r>
            <w:rPr>
              <w:rStyle w:val="39"/>
              <w:rFonts w:hint="eastAsia" w:ascii="黑体" w:hAnsi="黑体" w:eastAsia="黑体" w:cs="黑体"/>
              <w:sz w:val="30"/>
              <w:szCs w:val="30"/>
            </w:rPr>
            <w:t>- 2 -</w:t>
          </w:r>
          <w:r>
            <w:rPr>
              <w:rStyle w:val="39"/>
              <w:rFonts w:hint="eastAsia" w:ascii="黑体" w:hAnsi="黑体" w:eastAsia="黑体" w:cs="黑体"/>
              <w:sz w:val="30"/>
              <w:szCs w:val="30"/>
            </w:rPr>
            <w:fldChar w:fldCharType="end"/>
          </w:r>
          <w:r>
            <w:rPr>
              <w:rStyle w:val="39"/>
              <w:rFonts w:hint="eastAsia" w:ascii="黑体" w:hAnsi="黑体" w:eastAsia="黑体" w:cs="黑体"/>
              <w:sz w:val="30"/>
              <w:szCs w:val="30"/>
            </w:rPr>
            <w:fldChar w:fldCharType="end"/>
          </w:r>
        </w:p>
        <w:p w14:paraId="08FE23A4">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_Toc32683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一、收入支出决算总体情况说明</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_Toc32683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- 2 -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1A670D0E">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_Toc11136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二、收入决算情况说明</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_Toc11136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- 2 -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02915290">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_Toc978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三、支出决算情况说明</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_Toc978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3938DCA3">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_Toc14762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四、财政拨款收入支出决算总体情况说明</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_Toc14762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- 4 -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205A2615">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_Toc6626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五、一般公共预算财政拨款支出决算情况说明</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_Toc6626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- 4 -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2F21AF90">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_Toc9587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六、一般公共预算财政拨款基本支出决算情况说明</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_Toc9587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- 7 -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3FE07695">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_Toc19084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七、财政拨款“三公”经费支出决算情况说明</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_Toc19084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- 8 -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6992C4A8">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_Toc1107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八、政府性基金预算支出决算情况说明</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_Toc1107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- 10 -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0F17C7A1">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_Toc28539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九、国有资本经营预算支出决算情况说明</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_Toc28539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- 10 -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2D962A70">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_Toc27004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十、其他重要事项的情况说明</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_Toc27004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- 10 -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7F3BF35A">
          <w:pPr>
            <w:pStyle w:val="37"/>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Style w:val="39"/>
              <w:rFonts w:hint="eastAsia" w:ascii="黑体" w:hAnsi="黑体" w:eastAsia="黑体" w:cs="黑体"/>
              <w:sz w:val="30"/>
              <w:szCs w:val="30"/>
            </w:rPr>
          </w:pPr>
          <w:r>
            <w:rPr>
              <w:rStyle w:val="39"/>
              <w:rFonts w:hint="eastAsia" w:ascii="黑体" w:hAnsi="黑体" w:eastAsia="黑体" w:cs="黑体"/>
              <w:sz w:val="30"/>
              <w:szCs w:val="30"/>
            </w:rPr>
            <w:fldChar w:fldCharType="begin"/>
          </w:r>
          <w:r>
            <w:rPr>
              <w:rStyle w:val="39"/>
              <w:rFonts w:hint="eastAsia" w:ascii="黑体" w:hAnsi="黑体" w:eastAsia="黑体" w:cs="黑体"/>
              <w:sz w:val="30"/>
              <w:szCs w:val="30"/>
            </w:rPr>
            <w:instrText xml:space="preserve"> HYPERLINK \l _Toc31290 </w:instrText>
          </w:r>
          <w:r>
            <w:rPr>
              <w:rStyle w:val="39"/>
              <w:rFonts w:hint="eastAsia" w:ascii="黑体" w:hAnsi="黑体" w:eastAsia="黑体" w:cs="黑体"/>
              <w:sz w:val="30"/>
              <w:szCs w:val="30"/>
            </w:rPr>
            <w:fldChar w:fldCharType="separate"/>
          </w:r>
          <w:r>
            <w:rPr>
              <w:rStyle w:val="39"/>
              <w:rFonts w:hint="eastAsia" w:ascii="黑体" w:hAnsi="黑体" w:eastAsia="黑体" w:cs="黑体"/>
              <w:sz w:val="30"/>
              <w:szCs w:val="30"/>
              <w:lang w:val="en-US" w:eastAsia="zh-CN"/>
            </w:rPr>
            <w:t>第三部分 名词解释</w:t>
          </w:r>
          <w:r>
            <w:rPr>
              <w:rStyle w:val="39"/>
              <w:rFonts w:hint="eastAsia" w:ascii="黑体" w:hAnsi="黑体" w:eastAsia="黑体" w:cs="黑体"/>
              <w:sz w:val="30"/>
              <w:szCs w:val="30"/>
            </w:rPr>
            <w:tab/>
          </w:r>
          <w:r>
            <w:rPr>
              <w:rStyle w:val="39"/>
              <w:rFonts w:hint="eastAsia" w:ascii="黑体" w:hAnsi="黑体" w:eastAsia="黑体" w:cs="黑体"/>
              <w:sz w:val="30"/>
              <w:szCs w:val="30"/>
            </w:rPr>
            <w:fldChar w:fldCharType="begin"/>
          </w:r>
          <w:r>
            <w:rPr>
              <w:rStyle w:val="39"/>
              <w:rFonts w:hint="eastAsia" w:ascii="黑体" w:hAnsi="黑体" w:eastAsia="黑体" w:cs="黑体"/>
              <w:sz w:val="30"/>
              <w:szCs w:val="30"/>
            </w:rPr>
            <w:instrText xml:space="preserve"> PAGEREF _Toc31290 \h </w:instrText>
          </w:r>
          <w:r>
            <w:rPr>
              <w:rStyle w:val="39"/>
              <w:rFonts w:hint="eastAsia" w:ascii="黑体" w:hAnsi="黑体" w:eastAsia="黑体" w:cs="黑体"/>
              <w:sz w:val="30"/>
              <w:szCs w:val="30"/>
            </w:rPr>
            <w:fldChar w:fldCharType="separate"/>
          </w:r>
          <w:r>
            <w:rPr>
              <w:rStyle w:val="39"/>
              <w:rFonts w:hint="eastAsia" w:ascii="黑体" w:hAnsi="黑体" w:eastAsia="黑体" w:cs="黑体"/>
              <w:sz w:val="30"/>
              <w:szCs w:val="30"/>
            </w:rPr>
            <w:t>- 12 -</w:t>
          </w:r>
          <w:r>
            <w:rPr>
              <w:rStyle w:val="39"/>
              <w:rFonts w:hint="eastAsia" w:ascii="黑体" w:hAnsi="黑体" w:eastAsia="黑体" w:cs="黑体"/>
              <w:sz w:val="30"/>
              <w:szCs w:val="30"/>
            </w:rPr>
            <w:fldChar w:fldCharType="end"/>
          </w:r>
          <w:r>
            <w:rPr>
              <w:rStyle w:val="39"/>
              <w:rFonts w:hint="eastAsia" w:ascii="黑体" w:hAnsi="黑体" w:eastAsia="黑体" w:cs="黑体"/>
              <w:sz w:val="30"/>
              <w:szCs w:val="30"/>
            </w:rPr>
            <w:fldChar w:fldCharType="end"/>
          </w:r>
        </w:p>
        <w:p w14:paraId="79B11060">
          <w:pPr>
            <w:pStyle w:val="37"/>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Style w:val="39"/>
              <w:rFonts w:hint="eastAsia" w:ascii="黑体" w:hAnsi="黑体" w:eastAsia="黑体" w:cs="黑体"/>
              <w:sz w:val="30"/>
              <w:szCs w:val="30"/>
            </w:rPr>
          </w:pPr>
          <w:r>
            <w:rPr>
              <w:rStyle w:val="39"/>
              <w:rFonts w:hint="eastAsia" w:ascii="黑体" w:hAnsi="黑体" w:eastAsia="黑体" w:cs="黑体"/>
              <w:sz w:val="30"/>
              <w:szCs w:val="30"/>
            </w:rPr>
            <w:fldChar w:fldCharType="begin"/>
          </w:r>
          <w:r>
            <w:rPr>
              <w:rStyle w:val="39"/>
              <w:rFonts w:hint="eastAsia" w:ascii="黑体" w:hAnsi="黑体" w:eastAsia="黑体" w:cs="黑体"/>
              <w:sz w:val="30"/>
              <w:szCs w:val="30"/>
            </w:rPr>
            <w:instrText xml:space="preserve"> HYPERLINK \l _Toc30766 </w:instrText>
          </w:r>
          <w:r>
            <w:rPr>
              <w:rStyle w:val="39"/>
              <w:rFonts w:hint="eastAsia" w:ascii="黑体" w:hAnsi="黑体" w:eastAsia="黑体" w:cs="黑体"/>
              <w:sz w:val="30"/>
              <w:szCs w:val="30"/>
            </w:rPr>
            <w:fldChar w:fldCharType="separate"/>
          </w:r>
          <w:r>
            <w:rPr>
              <w:rStyle w:val="39"/>
              <w:rFonts w:hint="eastAsia" w:ascii="黑体" w:hAnsi="黑体" w:eastAsia="黑体" w:cs="黑体"/>
              <w:sz w:val="30"/>
              <w:szCs w:val="30"/>
              <w:lang w:val="en-US" w:eastAsia="zh-CN"/>
            </w:rPr>
            <w:t>第四部分 附件</w:t>
          </w:r>
          <w:r>
            <w:rPr>
              <w:rStyle w:val="39"/>
              <w:rFonts w:hint="eastAsia" w:ascii="黑体" w:hAnsi="黑体" w:eastAsia="黑体" w:cs="黑体"/>
              <w:sz w:val="30"/>
              <w:szCs w:val="30"/>
            </w:rPr>
            <w:tab/>
          </w:r>
          <w:r>
            <w:rPr>
              <w:rStyle w:val="39"/>
              <w:rFonts w:hint="eastAsia" w:ascii="黑体" w:hAnsi="黑体" w:eastAsia="黑体" w:cs="黑体"/>
              <w:sz w:val="30"/>
              <w:szCs w:val="30"/>
            </w:rPr>
            <w:fldChar w:fldCharType="begin"/>
          </w:r>
          <w:r>
            <w:rPr>
              <w:rStyle w:val="39"/>
              <w:rFonts w:hint="eastAsia" w:ascii="黑体" w:hAnsi="黑体" w:eastAsia="黑体" w:cs="黑体"/>
              <w:sz w:val="30"/>
              <w:szCs w:val="30"/>
            </w:rPr>
            <w:instrText xml:space="preserve"> PAGEREF _Toc30766 \h </w:instrText>
          </w:r>
          <w:r>
            <w:rPr>
              <w:rStyle w:val="39"/>
              <w:rFonts w:hint="eastAsia" w:ascii="黑体" w:hAnsi="黑体" w:eastAsia="黑体" w:cs="黑体"/>
              <w:sz w:val="30"/>
              <w:szCs w:val="30"/>
            </w:rPr>
            <w:fldChar w:fldCharType="separate"/>
          </w:r>
          <w:r>
            <w:rPr>
              <w:rStyle w:val="39"/>
              <w:rFonts w:hint="eastAsia" w:ascii="黑体" w:hAnsi="黑体" w:eastAsia="黑体" w:cs="黑体"/>
              <w:sz w:val="30"/>
              <w:szCs w:val="30"/>
            </w:rPr>
            <w:t>- 14 -</w:t>
          </w:r>
          <w:r>
            <w:rPr>
              <w:rStyle w:val="39"/>
              <w:rFonts w:hint="eastAsia" w:ascii="黑体" w:hAnsi="黑体" w:eastAsia="黑体" w:cs="黑体"/>
              <w:sz w:val="30"/>
              <w:szCs w:val="30"/>
            </w:rPr>
            <w:fldChar w:fldCharType="end"/>
          </w:r>
          <w:r>
            <w:rPr>
              <w:rStyle w:val="39"/>
              <w:rFonts w:hint="eastAsia" w:ascii="黑体" w:hAnsi="黑体" w:eastAsia="黑体" w:cs="黑体"/>
              <w:sz w:val="30"/>
              <w:szCs w:val="30"/>
            </w:rPr>
            <w:fldChar w:fldCharType="end"/>
          </w:r>
        </w:p>
        <w:p w14:paraId="3E76EA64">
          <w:pPr>
            <w:pStyle w:val="37"/>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b/>
            </w:rPr>
          </w:pPr>
          <w:r>
            <w:rPr>
              <w:rStyle w:val="39"/>
              <w:rFonts w:hint="eastAsia" w:ascii="黑体" w:hAnsi="黑体" w:eastAsia="黑体" w:cs="黑体"/>
              <w:sz w:val="30"/>
              <w:szCs w:val="30"/>
            </w:rPr>
            <w:fldChar w:fldCharType="begin"/>
          </w:r>
          <w:r>
            <w:rPr>
              <w:rStyle w:val="39"/>
              <w:rFonts w:hint="eastAsia" w:ascii="黑体" w:hAnsi="黑体" w:eastAsia="黑体" w:cs="黑体"/>
              <w:sz w:val="30"/>
              <w:szCs w:val="30"/>
            </w:rPr>
            <w:instrText xml:space="preserve"> HYPERLINK \l _Toc10530 </w:instrText>
          </w:r>
          <w:r>
            <w:rPr>
              <w:rStyle w:val="39"/>
              <w:rFonts w:hint="eastAsia" w:ascii="黑体" w:hAnsi="黑体" w:eastAsia="黑体" w:cs="黑体"/>
              <w:sz w:val="30"/>
              <w:szCs w:val="30"/>
            </w:rPr>
            <w:fldChar w:fldCharType="separate"/>
          </w:r>
          <w:r>
            <w:rPr>
              <w:rStyle w:val="39"/>
              <w:rFonts w:hint="eastAsia" w:ascii="黑体" w:hAnsi="黑体" w:eastAsia="黑体" w:cs="黑体"/>
              <w:sz w:val="30"/>
              <w:szCs w:val="30"/>
              <w:lang w:val="en-US" w:eastAsia="zh-CN"/>
            </w:rPr>
            <w:t>第五部分 附表</w:t>
          </w:r>
          <w:r>
            <w:rPr>
              <w:rStyle w:val="39"/>
              <w:rFonts w:hint="eastAsia" w:ascii="黑体" w:hAnsi="黑体" w:eastAsia="黑体" w:cs="黑体"/>
              <w:sz w:val="30"/>
              <w:szCs w:val="30"/>
            </w:rPr>
            <w:tab/>
          </w:r>
          <w:r>
            <w:rPr>
              <w:rStyle w:val="39"/>
              <w:rFonts w:hint="eastAsia" w:ascii="黑体" w:hAnsi="黑体" w:eastAsia="黑体" w:cs="黑体"/>
              <w:sz w:val="30"/>
              <w:szCs w:val="30"/>
            </w:rPr>
            <w:fldChar w:fldCharType="begin"/>
          </w:r>
          <w:r>
            <w:rPr>
              <w:rStyle w:val="39"/>
              <w:rFonts w:hint="eastAsia" w:ascii="黑体" w:hAnsi="黑体" w:eastAsia="黑体" w:cs="黑体"/>
              <w:sz w:val="30"/>
              <w:szCs w:val="30"/>
            </w:rPr>
            <w:instrText xml:space="preserve"> PAGEREF _Toc10530 \h </w:instrText>
          </w:r>
          <w:r>
            <w:rPr>
              <w:rStyle w:val="39"/>
              <w:rFonts w:hint="eastAsia" w:ascii="黑体" w:hAnsi="黑体" w:eastAsia="黑体" w:cs="黑体"/>
              <w:sz w:val="30"/>
              <w:szCs w:val="30"/>
            </w:rPr>
            <w:fldChar w:fldCharType="separate"/>
          </w:r>
          <w:r>
            <w:rPr>
              <w:rStyle w:val="39"/>
              <w:rFonts w:hint="eastAsia" w:ascii="黑体" w:hAnsi="黑体" w:eastAsia="黑体" w:cs="黑体"/>
              <w:sz w:val="30"/>
              <w:szCs w:val="30"/>
            </w:rPr>
            <w:t>- 30 -</w:t>
          </w:r>
          <w:r>
            <w:rPr>
              <w:rStyle w:val="39"/>
              <w:rFonts w:hint="eastAsia" w:ascii="黑体" w:hAnsi="黑体" w:eastAsia="黑体" w:cs="黑体"/>
              <w:sz w:val="30"/>
              <w:szCs w:val="30"/>
            </w:rPr>
            <w:fldChar w:fldCharType="end"/>
          </w:r>
          <w:r>
            <w:rPr>
              <w:rStyle w:val="39"/>
              <w:rFonts w:hint="eastAsia" w:ascii="黑体" w:hAnsi="黑体" w:eastAsia="黑体" w:cs="黑体"/>
              <w:sz w:val="30"/>
              <w:szCs w:val="30"/>
            </w:rPr>
            <w:fldChar w:fldCharType="end"/>
          </w:r>
        </w:p>
        <w:p w14:paraId="6B9506AA">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_Toc703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一、收入支出决算总表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_Toc703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740177D2">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_Toc29312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二、收入决算表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_Toc29312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2CA42177">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_Toc16162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三、支出决算表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_Toc16162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4248BFF3">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_Toc4219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四、财政拨款收入支出决算总表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_Toc4219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15349BE0">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_Toc5606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五、财政拨款支出决算明细表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_Toc5606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3439CE4C">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_Toc31666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六、一般公共预算财政拨款支出决算表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_Toc31666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196A9DF1">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_Toc211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七、一般公共预算财政拨款支出决算明细表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_Toc211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1684FB75">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_Toc17363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八、一般公共预算财政拨款基本支出决算表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_Toc17363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5666AB49">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_Toc25054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九、一般公共预算财政拨款项目支出决算表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_Toc25054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1247B90F">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_Toc30731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十、政府性基金预算财政拨款收入支出决算表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_Toc30731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115664B3">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_Toc13379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十一、国有资本经营预算财政拨款收入支出决算表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_Toc13379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76C0CF3B">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rPr>
              <w:rStyle w:val="40"/>
              <w:rFonts w:hint="eastAsia" w:ascii="仿宋" w:hAnsi="仿宋" w:eastAsia="仿宋" w:cs="仿宋"/>
              <w:lang w:val="en-US" w:eastAsia="zh-CN"/>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_Toc21582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十二、国有资本经营预算财政拨款支出决算表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_Toc21582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1BE8666F">
          <w:pPr>
            <w:pStyle w:val="38"/>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auto"/>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\l _Toc17224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十三、财政拨款“三公”经费支出决算表</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PAGEREF _Toc17224 \h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Fonts w:hint="eastAsia" w:ascii="仿宋_GB2312" w:hAnsi="仿宋_GB2312" w:eastAsia="仿宋_GB2312" w:cs="仿宋_GB2312"/>
              <w:color w:val="auto"/>
              <w:kern w:val="2"/>
              <w:sz w:val="32"/>
              <w:szCs w:val="32"/>
              <w:highlight w:val="none"/>
              <w:lang w:val="en-US" w:eastAsia="zh-CN" w:bidi="ar-SA"/>
            </w:rPr>
            <w:t>- 30 -</w:t>
          </w:r>
          <w:r>
            <w:rPr>
              <w:rFonts w:hint="eastAsia" w:ascii="仿宋_GB2312" w:hAnsi="仿宋_GB2312" w:eastAsia="仿宋_GB2312" w:cs="仿宋_GB2312"/>
              <w:color w:val="auto"/>
              <w:kern w:val="2"/>
              <w:sz w:val="32"/>
              <w:szCs w:val="32"/>
              <w:highlight w:val="none"/>
              <w:lang w:val="en-US" w:eastAsia="zh-CN" w:bidi="ar-SA"/>
            </w:rPr>
            <w:fldChar w:fldCharType="end"/>
          </w:r>
          <w:r>
            <w:rPr>
              <w:rFonts w:hint="eastAsia" w:ascii="仿宋_GB2312" w:hAnsi="仿宋_GB2312" w:eastAsia="仿宋_GB2312" w:cs="仿宋_GB2312"/>
              <w:color w:val="auto"/>
              <w:kern w:val="2"/>
              <w:sz w:val="32"/>
              <w:szCs w:val="32"/>
              <w:highlight w:val="none"/>
              <w:lang w:val="en-US" w:eastAsia="zh-CN" w:bidi="ar-SA"/>
            </w:rPr>
            <w:fldChar w:fldCharType="end"/>
          </w:r>
        </w:p>
        <w:p w14:paraId="4D19BA62">
          <w:pPr>
            <w:pStyle w:val="3"/>
            <w:keepNext w:val="0"/>
            <w:keepLines w:val="0"/>
            <w:pageBreakBefore w:val="0"/>
            <w:kinsoku/>
            <w:wordWrap/>
            <w:overflowPunct/>
            <w:topLinePunct w:val="0"/>
            <w:autoSpaceDE/>
            <w:autoSpaceDN/>
            <w:bidi w:val="0"/>
            <w:adjustRightInd/>
            <w:spacing w:line="500" w:lineRule="exact"/>
            <w:textAlignment w:val="auto"/>
            <w:rPr>
              <w:rFonts w:hint="eastAsia"/>
            </w:rPr>
          </w:pPr>
          <w:r>
            <w:rPr>
              <w:rFonts w:hint="eastAsia"/>
              <w:b/>
            </w:rPr>
            <w:fldChar w:fldCharType="end"/>
          </w:r>
        </w:p>
      </w:sdtContent>
    </w:sdt>
    <w:p w14:paraId="67EC4707">
      <w:pPr>
        <w:pStyle w:val="2"/>
        <w:keepNext w:val="0"/>
        <w:keepLines w:val="0"/>
        <w:pageBreakBefore w:val="0"/>
        <w:kinsoku/>
        <w:wordWrap/>
        <w:overflowPunct/>
        <w:topLinePunct w:val="0"/>
        <w:autoSpaceDE/>
        <w:autoSpaceDN/>
        <w:bidi w:val="0"/>
        <w:adjustRightInd/>
        <w:spacing w:line="500" w:lineRule="exact"/>
        <w:textAlignment w:val="auto"/>
        <w:rPr>
          <w:rFonts w:hint="eastAsia"/>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F360303">
      <w:pPr>
        <w:pStyle w:val="3"/>
        <w:rPr>
          <w:rFonts w:hint="eastAsia"/>
        </w:rPr>
      </w:pPr>
    </w:p>
    <w:p w14:paraId="193F7E3A">
      <w:pPr>
        <w:pStyle w:val="5"/>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ascii="黑体" w:hAnsi="黑体" w:eastAsia="黑体" w:cs="黑体"/>
          <w:b w:val="0"/>
          <w:bCs w:val="0"/>
        </w:rPr>
      </w:pPr>
      <w:bookmarkStart w:id="6" w:name="_Toc9020"/>
      <w:bookmarkStart w:id="7" w:name="_Toc13756"/>
      <w:r>
        <w:rPr>
          <w:rFonts w:hint="eastAsia" w:ascii="黑体" w:hAnsi="黑体" w:eastAsia="黑体" w:cs="黑体"/>
          <w:b w:val="0"/>
          <w:bCs w:val="0"/>
        </w:rPr>
        <w:t>第一部分</w:t>
      </w:r>
      <w:r>
        <w:rPr>
          <w:rFonts w:hint="eastAsia" w:ascii="黑体" w:hAnsi="黑体" w:eastAsia="黑体" w:cs="黑体"/>
          <w:b w:val="0"/>
          <w:bCs w:val="0"/>
          <w:lang w:val="en-US" w:eastAsia="zh-CN"/>
        </w:rPr>
        <w:t xml:space="preserve"> </w:t>
      </w:r>
      <w:r>
        <w:rPr>
          <w:rFonts w:hint="eastAsia" w:ascii="黑体" w:hAnsi="黑体" w:eastAsia="黑体" w:cs="黑体"/>
          <w:b w:val="0"/>
          <w:bCs w:val="0"/>
        </w:rPr>
        <w:t xml:space="preserve"> 部门概况</w:t>
      </w:r>
      <w:bookmarkEnd w:id="6"/>
      <w:bookmarkEnd w:id="7"/>
    </w:p>
    <w:p w14:paraId="6B7A6BA6">
      <w:pPr>
        <w:widowControl/>
        <w:jc w:val="left"/>
        <w:rPr>
          <w:rFonts w:ascii="Times New Roman" w:hAnsi="Times New Roman" w:eastAsia="黑体"/>
          <w:color w:val="auto"/>
          <w:sz w:val="32"/>
          <w:szCs w:val="32"/>
          <w:highlight w:val="none"/>
        </w:rPr>
      </w:pPr>
    </w:p>
    <w:p w14:paraId="302E3164">
      <w:pPr>
        <w:pStyle w:val="6"/>
        <w:numPr>
          <w:ilvl w:val="0"/>
          <w:numId w:val="0"/>
        </w:numPr>
        <w:ind w:firstLine="640" w:firstLineChars="200"/>
        <w:rPr>
          <w:rFonts w:hint="eastAsia" w:ascii="Times New Roman" w:hAnsi="Times New Roman" w:eastAsia="黑体"/>
          <w:b w:val="0"/>
          <w:color w:val="auto"/>
          <w:highlight w:val="none"/>
          <w:lang w:eastAsia="zh-CN"/>
        </w:rPr>
      </w:pPr>
      <w:bookmarkStart w:id="8" w:name="_Toc5149"/>
      <w:bookmarkStart w:id="9" w:name="_Toc7021"/>
      <w:bookmarkStart w:id="10" w:name="_Toc12291"/>
      <w:bookmarkStart w:id="11" w:name="_Toc19947"/>
      <w:bookmarkStart w:id="12" w:name="_Toc3299"/>
      <w:r>
        <w:rPr>
          <w:rFonts w:hint="eastAsia" w:ascii="Times New Roman" w:hAnsi="Times New Roman" w:eastAsia="黑体"/>
          <w:b w:val="0"/>
          <w:color w:val="auto"/>
          <w:highlight w:val="none"/>
          <w:lang w:eastAsia="zh-CN"/>
        </w:rPr>
        <w:t>一、部门职责</w:t>
      </w:r>
      <w:bookmarkEnd w:id="8"/>
      <w:bookmarkEnd w:id="9"/>
      <w:bookmarkEnd w:id="10"/>
      <w:bookmarkEnd w:id="11"/>
      <w:bookmarkEnd w:id="12"/>
    </w:p>
    <w:p w14:paraId="2ECD5DFB">
      <w:pPr>
        <w:bidi w:val="0"/>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t>略</w:t>
      </w:r>
    </w:p>
    <w:p w14:paraId="5BAA07DE">
      <w:pPr>
        <w:pStyle w:val="6"/>
        <w:numPr>
          <w:ilvl w:val="0"/>
          <w:numId w:val="0"/>
        </w:numPr>
        <w:ind w:firstLine="640" w:firstLineChars="200"/>
        <w:rPr>
          <w:rFonts w:hint="eastAsia" w:ascii="Times New Roman" w:hAnsi="Times New Roman" w:eastAsia="黑体"/>
          <w:b w:val="0"/>
          <w:color w:val="auto"/>
          <w:highlight w:val="none"/>
          <w:lang w:eastAsia="zh-CN"/>
        </w:rPr>
      </w:pPr>
      <w:bookmarkStart w:id="13" w:name="_Toc11601"/>
      <w:bookmarkStart w:id="14" w:name="_Toc11945"/>
      <w:bookmarkStart w:id="15" w:name="_Toc22693"/>
      <w:bookmarkStart w:id="16" w:name="_Toc15377200"/>
      <w:bookmarkStart w:id="17" w:name="_Toc16038"/>
      <w:bookmarkStart w:id="18" w:name="_Toc15396601"/>
      <w:bookmarkStart w:id="19" w:name="_Toc6638"/>
      <w:r>
        <w:rPr>
          <w:rFonts w:hint="eastAsia" w:ascii="Times New Roman" w:hAnsi="Times New Roman" w:eastAsia="黑体"/>
          <w:b w:val="0"/>
          <w:color w:val="auto"/>
          <w:highlight w:val="none"/>
          <w:lang w:eastAsia="zh-CN"/>
        </w:rPr>
        <w:t>二、机构设置</w:t>
      </w:r>
      <w:bookmarkEnd w:id="13"/>
      <w:bookmarkEnd w:id="14"/>
      <w:bookmarkEnd w:id="15"/>
      <w:bookmarkEnd w:id="16"/>
      <w:bookmarkEnd w:id="17"/>
      <w:bookmarkEnd w:id="18"/>
      <w:bookmarkEnd w:id="19"/>
    </w:p>
    <w:p w14:paraId="4A4BFC9D">
      <w:pPr>
        <w:ind w:firstLine="640" w:firstLineChars="20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峨边彝族自治县行政审批和数据局</w:t>
      </w:r>
      <w:r>
        <w:rPr>
          <w:rFonts w:hint="eastAsia" w:ascii="仿宋_GB2312" w:hAnsi="仿宋_GB2312" w:eastAsia="仿宋_GB2312" w:cs="仿宋_GB2312"/>
          <w:color w:val="auto"/>
          <w:sz w:val="32"/>
          <w:szCs w:val="32"/>
          <w:highlight w:val="none"/>
        </w:rPr>
        <w:t>下属二级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个，其中行政单位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个，参照公务员法管理的事业单位</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w:t>
      </w:r>
      <w:r>
        <w:rPr>
          <w:rFonts w:hint="eastAsia" w:ascii="Times New Roman" w:hAnsi="Times New Roman" w:eastAsia="仿宋_GB2312" w:cs="仿宋_GB2312"/>
          <w:color w:val="auto"/>
          <w:sz w:val="32"/>
          <w:szCs w:val="32"/>
          <w:highlight w:val="none"/>
        </w:rPr>
        <w:t>。</w:t>
      </w:r>
    </w:p>
    <w:p w14:paraId="66B5FAB4">
      <w:pPr>
        <w:pStyle w:val="9"/>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14:paraId="531A18B6">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57D9B54">
      <w:pPr>
        <w:pStyle w:val="5"/>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ascii="黑体" w:hAnsi="黑体" w:eastAsia="黑体" w:cs="黑体"/>
          <w:b w:val="0"/>
          <w:bCs w:val="0"/>
        </w:rPr>
      </w:pPr>
      <w:bookmarkStart w:id="20" w:name="_Toc29356"/>
      <w:bookmarkStart w:id="21" w:name="_Toc29453"/>
      <w:bookmarkStart w:id="22" w:name="_Toc15396602"/>
      <w:bookmarkStart w:id="23" w:name="_Toc5831"/>
      <w:bookmarkStart w:id="24" w:name="_Toc15377204"/>
      <w:bookmarkStart w:id="25" w:name="_Toc28191"/>
      <w:bookmarkStart w:id="26" w:name="_Toc24493"/>
      <w:r>
        <w:rPr>
          <w:rFonts w:hint="eastAsia" w:ascii="黑体" w:hAnsi="黑体" w:eastAsia="黑体" w:cs="黑体"/>
          <w:b w:val="0"/>
          <w:bCs w:val="0"/>
        </w:rPr>
        <w:t>第二部分</w:t>
      </w:r>
      <w:r>
        <w:rPr>
          <w:rFonts w:hint="eastAsia" w:ascii="黑体" w:hAnsi="黑体" w:eastAsia="黑体" w:cs="黑体"/>
          <w:b w:val="0"/>
          <w:bCs w:val="0"/>
          <w:lang w:val="en-US" w:eastAsia="zh-CN"/>
        </w:rPr>
        <w:t xml:space="preserve"> </w:t>
      </w:r>
      <w:r>
        <w:rPr>
          <w:rFonts w:hint="eastAsia" w:ascii="黑体" w:hAnsi="黑体" w:eastAsia="黑体" w:cs="黑体"/>
          <w:b w:val="0"/>
          <w:bCs w:val="0"/>
        </w:rPr>
        <w:t xml:space="preserve"> </w:t>
      </w:r>
      <w:r>
        <w:rPr>
          <w:rFonts w:hint="eastAsia" w:ascii="黑体" w:hAnsi="黑体" w:eastAsia="黑体" w:cs="黑体"/>
          <w:b w:val="0"/>
          <w:bCs w:val="0"/>
          <w:lang w:val="en-US" w:eastAsia="zh-CN"/>
        </w:rPr>
        <w:t>2024年度</w:t>
      </w:r>
      <w:r>
        <w:rPr>
          <w:rFonts w:hint="eastAsia" w:ascii="黑体" w:hAnsi="黑体" w:eastAsia="黑体" w:cs="黑体"/>
          <w:b w:val="0"/>
          <w:bCs w:val="0"/>
        </w:rPr>
        <w:t>部门决算情况说明</w:t>
      </w:r>
      <w:bookmarkEnd w:id="20"/>
      <w:bookmarkEnd w:id="21"/>
      <w:bookmarkEnd w:id="22"/>
      <w:bookmarkEnd w:id="23"/>
      <w:bookmarkEnd w:id="24"/>
      <w:bookmarkEnd w:id="25"/>
      <w:bookmarkEnd w:id="26"/>
    </w:p>
    <w:p w14:paraId="6223B770">
      <w:pPr>
        <w:rPr>
          <w:rFonts w:ascii="Times New Roman" w:hAnsi="Times New Roman"/>
          <w:color w:val="auto"/>
          <w:highlight w:val="none"/>
        </w:rPr>
      </w:pPr>
    </w:p>
    <w:p w14:paraId="581A6CC1">
      <w:pPr>
        <w:pStyle w:val="6"/>
        <w:numPr>
          <w:ilvl w:val="0"/>
          <w:numId w:val="0"/>
        </w:numPr>
        <w:ind w:firstLine="640" w:firstLineChars="200"/>
        <w:rPr>
          <w:rFonts w:hint="eastAsia" w:ascii="Times New Roman" w:hAnsi="Times New Roman" w:eastAsia="黑体"/>
          <w:b w:val="0"/>
          <w:color w:val="auto"/>
          <w:highlight w:val="none"/>
          <w:lang w:eastAsia="zh-CN"/>
        </w:rPr>
      </w:pPr>
      <w:bookmarkStart w:id="27" w:name="_Toc32683"/>
      <w:bookmarkStart w:id="28" w:name="_Toc15396603"/>
      <w:bookmarkStart w:id="29" w:name="_Toc30177"/>
      <w:bookmarkStart w:id="30" w:name="_Toc15377205"/>
      <w:bookmarkStart w:id="31" w:name="_Toc12850"/>
      <w:bookmarkStart w:id="32" w:name="_Toc23859"/>
      <w:bookmarkStart w:id="33" w:name="_Toc4574"/>
      <w:r>
        <w:rPr>
          <w:rFonts w:hint="eastAsia" w:ascii="Times New Roman" w:hAnsi="Times New Roman" w:eastAsia="黑体"/>
          <w:b w:val="0"/>
          <w:color w:val="auto"/>
          <w:highlight w:val="none"/>
          <w:lang w:eastAsia="zh-CN"/>
        </w:rPr>
        <w:t>一、收入支出决算总体情况说明</w:t>
      </w:r>
      <w:bookmarkEnd w:id="27"/>
      <w:bookmarkEnd w:id="28"/>
      <w:bookmarkEnd w:id="29"/>
      <w:bookmarkEnd w:id="30"/>
      <w:bookmarkEnd w:id="31"/>
      <w:bookmarkEnd w:id="32"/>
      <w:bookmarkEnd w:id="33"/>
    </w:p>
    <w:p w14:paraId="5515BFA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bookmarkStart w:id="34" w:name="_Toc19660"/>
      <w:bookmarkStart w:id="35" w:name="_Toc20171"/>
      <w:bookmarkStart w:id="36" w:name="_Toc3741"/>
      <w:bookmarkStart w:id="37" w:name="_Toc19155"/>
      <w:bookmarkStart w:id="38" w:name="_Toc717"/>
      <w:r>
        <w:rPr>
          <w:rFonts w:hint="eastAsia" w:ascii="仿宋_GB2312" w:hAnsi="仿宋_GB2312" w:eastAsia="仿宋_GB2312" w:cs="仿宋_GB2312"/>
          <w:color w:val="auto"/>
          <w:kern w:val="2"/>
          <w:sz w:val="32"/>
          <w:szCs w:val="32"/>
          <w:highlight w:val="none"/>
          <w:lang w:val="en-US" w:eastAsia="zh-CN" w:bidi="ar-SA"/>
        </w:rPr>
        <w:t>2024年度收入、支出总计均为917.26万元。与2023年度相比，收入、支出总计各增加262.57万元，增长40.11%。主要变动原因是项目经费预算增加。</w:t>
      </w:r>
      <w:bookmarkEnd w:id="34"/>
      <w:bookmarkEnd w:id="35"/>
      <w:bookmarkEnd w:id="36"/>
      <w:bookmarkEnd w:id="37"/>
      <w:bookmarkEnd w:id="38"/>
    </w:p>
    <w:p w14:paraId="0C1EC3DD">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p>
    <w:p w14:paraId="595FA9F4">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（图1：收入、支出决算总计变动情况图）（柱状图）</w:t>
      </w:r>
    </w:p>
    <w:p w14:paraId="74C754E1">
      <w:pPr>
        <w:spacing w:line="600" w:lineRule="exact"/>
        <w:ind w:firstLine="640" w:firstLineChars="200"/>
        <w:jc w:val="left"/>
        <w:rPr>
          <w:rFonts w:hint="eastAsia" w:ascii="Times New Roman" w:hAnsi="Times New Roman" w:eastAsia="仿宋_GB2312" w:cs="仿宋_GB2312"/>
          <w:color w:val="auto"/>
          <w:sz w:val="32"/>
          <w:szCs w:val="32"/>
          <w:highlight w:val="none"/>
        </w:rPr>
      </w:pPr>
    </w:p>
    <w:p w14:paraId="2AA831E1">
      <w:pPr>
        <w:pStyle w:val="6"/>
        <w:numPr>
          <w:ilvl w:val="0"/>
          <w:numId w:val="0"/>
        </w:numPr>
        <w:ind w:firstLine="640" w:firstLineChars="200"/>
        <w:rPr>
          <w:rFonts w:hint="eastAsia" w:ascii="Times New Roman" w:hAnsi="Times New Roman" w:eastAsia="黑体"/>
          <w:b w:val="0"/>
          <w:color w:val="auto"/>
          <w:highlight w:val="none"/>
          <w:lang w:eastAsia="zh-CN"/>
        </w:rPr>
      </w:pPr>
      <w:bookmarkStart w:id="39" w:name="_Toc14293"/>
      <w:bookmarkStart w:id="40" w:name="_Toc15377206"/>
      <w:bookmarkStart w:id="41" w:name="_Toc24955"/>
      <w:bookmarkStart w:id="42" w:name="_Toc15396604"/>
      <w:bookmarkStart w:id="43" w:name="_Toc7377"/>
      <w:bookmarkStart w:id="44" w:name="_Toc27047"/>
      <w:bookmarkStart w:id="45" w:name="_Toc11136"/>
      <w:r>
        <w:rPr>
          <w:rFonts w:hint="eastAsia" w:ascii="Times New Roman" w:hAnsi="Times New Roman" w:eastAsia="黑体"/>
          <w:b w:val="0"/>
          <w:color w:val="auto"/>
          <w:highlight w:val="none"/>
          <w:lang w:eastAsia="zh-CN"/>
        </w:rPr>
        <w:drawing>
          <wp:anchor distT="0" distB="0" distL="114300" distR="114300" simplePos="0" relativeHeight="251661312" behindDoc="0" locked="0" layoutInCell="1" allowOverlap="1">
            <wp:simplePos x="0" y="0"/>
            <wp:positionH relativeFrom="column">
              <wp:posOffset>71755</wp:posOffset>
            </wp:positionH>
            <wp:positionV relativeFrom="paragraph">
              <wp:posOffset>11430</wp:posOffset>
            </wp:positionV>
            <wp:extent cx="4572000" cy="24003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imes New Roman" w:hAnsi="Times New Roman" w:eastAsia="黑体"/>
          <w:b w:val="0"/>
          <w:color w:val="auto"/>
          <w:highlight w:val="none"/>
          <w:lang w:eastAsia="zh-CN"/>
        </w:rPr>
        <w:t>二、收入决算情况说明</w:t>
      </w:r>
      <w:bookmarkEnd w:id="39"/>
      <w:bookmarkEnd w:id="40"/>
      <w:bookmarkEnd w:id="41"/>
      <w:bookmarkEnd w:id="42"/>
      <w:bookmarkEnd w:id="43"/>
      <w:bookmarkEnd w:id="44"/>
      <w:bookmarkEnd w:id="45"/>
    </w:p>
    <w:p w14:paraId="4216E518">
      <w:pPr>
        <w:spacing w:line="600" w:lineRule="exact"/>
        <w:ind w:firstLine="640" w:firstLineChars="200"/>
        <w:outlineLvl w:val="1"/>
        <w:rPr>
          <w:rFonts w:ascii="仿宋" w:hAnsi="仿宋" w:eastAsia="仿宋"/>
          <w:b/>
          <w:color w:val="auto"/>
          <w:sz w:val="32"/>
          <w:szCs w:val="32"/>
          <w:highlight w:val="none"/>
        </w:rPr>
      </w:pPr>
      <w:bookmarkStart w:id="46" w:name="_Toc17274"/>
      <w:bookmarkStart w:id="47" w:name="_Toc18224"/>
      <w:bookmarkStart w:id="48" w:name="_Toc27053"/>
      <w:bookmarkStart w:id="49" w:name="_Toc487"/>
      <w:bookmarkStart w:id="50" w:name="_Toc22660"/>
      <w:r>
        <w:rPr>
          <w:rFonts w:hint="eastAsia" w:ascii="仿宋_GB2312" w:hAnsi="仿宋_GB2312" w:eastAsia="仿宋_GB2312" w:cs="仿宋_GB2312"/>
          <w:color w:val="auto"/>
          <w:kern w:val="2"/>
          <w:sz w:val="32"/>
          <w:szCs w:val="32"/>
          <w:highlight w:val="none"/>
          <w:lang w:val="en-US" w:eastAsia="zh-CN" w:bidi="ar-SA"/>
        </w:rPr>
        <w:t>2024年度本年收入合计917.26万元，其中：一般公共预算财政拨款收入916.26万元，占99.89%；政府性基金预算财政拨款收入1万元，占0.1%。</w:t>
      </w:r>
      <w:bookmarkEnd w:id="46"/>
      <w:bookmarkEnd w:id="47"/>
      <w:bookmarkEnd w:id="48"/>
      <w:bookmarkEnd w:id="49"/>
      <w:bookmarkEnd w:id="50"/>
    </w:p>
    <w:p w14:paraId="1A849D55">
      <w:pPr>
        <w:spacing w:line="600" w:lineRule="exact"/>
        <w:ind w:firstLine="640" w:firstLineChars="200"/>
        <w:rPr>
          <w:rFonts w:hint="eastAsia" w:ascii="仿宋" w:hAnsi="仿宋" w:eastAsia="仿宋"/>
          <w:color w:val="auto"/>
          <w:sz w:val="32"/>
          <w:szCs w:val="32"/>
          <w:highlight w:val="none"/>
        </w:rPr>
      </w:pPr>
    </w:p>
    <w:p w14:paraId="04CD85AA">
      <w:pPr>
        <w:spacing w:line="600" w:lineRule="exact"/>
        <w:ind w:firstLine="640" w:firstLineChars="200"/>
        <w:outlineLvl w:val="1"/>
        <w:rPr>
          <w:rFonts w:hint="eastAsia" w:ascii="仿宋_GB2312" w:hAnsi="仿宋_GB2312" w:eastAsia="仿宋_GB2312" w:cs="仿宋_GB2312"/>
          <w:color w:val="auto"/>
          <w:kern w:val="2"/>
          <w:sz w:val="32"/>
          <w:szCs w:val="32"/>
          <w:highlight w:val="none"/>
          <w:lang w:val="en-US" w:eastAsia="zh-CN" w:bidi="ar-SA"/>
        </w:rPr>
      </w:pPr>
      <w:bookmarkStart w:id="51" w:name="_Toc23205"/>
      <w:bookmarkStart w:id="52" w:name="_Toc3133"/>
      <w:bookmarkStart w:id="53" w:name="_Toc22878"/>
      <w:bookmarkStart w:id="54" w:name="_Toc3632"/>
      <w:r>
        <w:rPr>
          <w:rFonts w:hint="eastAsia" w:ascii="仿宋_GB2312" w:hAnsi="仿宋_GB2312" w:eastAsia="仿宋_GB2312" w:cs="仿宋_GB2312"/>
          <w:color w:val="auto"/>
          <w:kern w:val="2"/>
          <w:sz w:val="32"/>
          <w:szCs w:val="32"/>
          <w:highlight w:val="none"/>
          <w:lang w:val="en-US" w:eastAsia="zh-CN" w:bidi="ar-SA"/>
        </w:rPr>
        <w:t>（图2：收入决算结构图）（饼状图）</w:t>
      </w:r>
      <w:bookmarkEnd w:id="51"/>
      <w:bookmarkEnd w:id="52"/>
      <w:bookmarkEnd w:id="53"/>
      <w:bookmarkEnd w:id="54"/>
    </w:p>
    <w:p w14:paraId="1CEDAA8E">
      <w:pPr>
        <w:pStyle w:val="3"/>
        <w:rPr>
          <w:rFonts w:hint="eastAsia" w:ascii="Times New Roman" w:hAnsi="Times New Roman" w:eastAsia="黑体"/>
          <w:color w:val="auto"/>
          <w:sz w:val="32"/>
          <w:szCs w:val="32"/>
          <w:highlight w:val="none"/>
          <w:lang w:eastAsia="zh-CN"/>
        </w:rPr>
      </w:pPr>
      <w:r>
        <w:drawing>
          <wp:inline distT="0" distB="0" distL="114300" distR="114300">
            <wp:extent cx="4572000" cy="2743200"/>
            <wp:effectExtent l="4445" t="4445" r="14605" b="14605"/>
            <wp:docPr id="3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AA65BD">
      <w:pPr>
        <w:pStyle w:val="6"/>
        <w:numPr>
          <w:ilvl w:val="0"/>
          <w:numId w:val="0"/>
        </w:numPr>
        <w:ind w:firstLine="640" w:firstLineChars="200"/>
        <w:rPr>
          <w:rFonts w:hint="eastAsia" w:ascii="Times New Roman" w:hAnsi="Times New Roman" w:eastAsia="黑体"/>
          <w:b w:val="0"/>
          <w:color w:val="auto"/>
          <w:highlight w:val="none"/>
          <w:lang w:eastAsia="zh-CN"/>
        </w:rPr>
      </w:pPr>
      <w:bookmarkStart w:id="55" w:name="_Toc7300"/>
      <w:bookmarkStart w:id="56" w:name="_Toc15377207"/>
      <w:bookmarkStart w:id="57" w:name="_Toc6172"/>
      <w:bookmarkStart w:id="58" w:name="_Toc1866"/>
      <w:bookmarkStart w:id="59" w:name="_Toc1901"/>
      <w:bookmarkStart w:id="60" w:name="_Toc978"/>
      <w:bookmarkStart w:id="61" w:name="_Toc15396605"/>
      <w:r>
        <w:rPr>
          <w:rFonts w:hint="eastAsia" w:ascii="Times New Roman" w:hAnsi="Times New Roman" w:eastAsia="黑体"/>
          <w:b w:val="0"/>
          <w:color w:val="auto"/>
          <w:highlight w:val="none"/>
          <w:lang w:eastAsia="zh-CN"/>
        </w:rPr>
        <w:t>三、支出决算情况说明</w:t>
      </w:r>
      <w:bookmarkEnd w:id="55"/>
      <w:bookmarkEnd w:id="56"/>
      <w:bookmarkEnd w:id="57"/>
      <w:bookmarkEnd w:id="58"/>
      <w:bookmarkEnd w:id="59"/>
      <w:bookmarkEnd w:id="60"/>
      <w:bookmarkEnd w:id="61"/>
    </w:p>
    <w:p w14:paraId="1F5FE378">
      <w:pPr>
        <w:spacing w:line="600" w:lineRule="exact"/>
        <w:ind w:firstLine="640" w:firstLineChars="200"/>
        <w:outlineLvl w:val="1"/>
        <w:rPr>
          <w:rFonts w:hint="eastAsia" w:ascii="仿宋_GB2312" w:hAnsi="仿宋_GB2312" w:eastAsia="仿宋_GB2312" w:cs="仿宋_GB2312"/>
          <w:color w:val="auto"/>
          <w:kern w:val="2"/>
          <w:sz w:val="32"/>
          <w:szCs w:val="32"/>
          <w:highlight w:val="none"/>
          <w:lang w:val="en-US" w:eastAsia="zh-CN" w:bidi="ar-SA"/>
        </w:rPr>
      </w:pPr>
      <w:bookmarkStart w:id="62" w:name="_Toc12325"/>
      <w:bookmarkStart w:id="63" w:name="_Toc23461"/>
      <w:bookmarkStart w:id="64" w:name="_Toc24733"/>
      <w:bookmarkStart w:id="65" w:name="_Toc30320"/>
      <w:bookmarkStart w:id="66" w:name="_Toc9344"/>
      <w:r>
        <w:rPr>
          <w:rFonts w:hint="eastAsia" w:ascii="仿宋_GB2312" w:hAnsi="仿宋_GB2312" w:eastAsia="仿宋_GB2312" w:cs="仿宋_GB2312"/>
          <w:color w:val="auto"/>
          <w:kern w:val="2"/>
          <w:sz w:val="32"/>
          <w:szCs w:val="32"/>
          <w:highlight w:val="none"/>
          <w:lang w:val="en-US" w:eastAsia="zh-CN" w:bidi="ar-SA"/>
        </w:rPr>
        <w:t>2024年度本年支出合计917.26万元，其中：基本支出564.51万元，占61.54%；项目支出352.75万元，占38.45%。</w:t>
      </w:r>
      <w:bookmarkEnd w:id="62"/>
      <w:bookmarkEnd w:id="63"/>
      <w:bookmarkEnd w:id="64"/>
      <w:bookmarkEnd w:id="65"/>
      <w:bookmarkEnd w:id="66"/>
    </w:p>
    <w:p w14:paraId="2A97BDB2">
      <w:pPr>
        <w:spacing w:line="600" w:lineRule="exact"/>
        <w:ind w:firstLine="640" w:firstLineChars="200"/>
        <w:rPr>
          <w:rFonts w:hint="eastAsia" w:ascii="仿宋" w:hAnsi="仿宋" w:eastAsia="仿宋"/>
          <w:color w:val="auto"/>
          <w:sz w:val="32"/>
          <w:szCs w:val="32"/>
          <w:highlight w:val="none"/>
        </w:rPr>
      </w:pPr>
    </w:p>
    <w:p w14:paraId="0063E083">
      <w:pPr>
        <w:spacing w:line="600" w:lineRule="exact"/>
        <w:ind w:firstLine="640" w:firstLineChars="200"/>
        <w:outlineLvl w:val="1"/>
        <w:rPr>
          <w:rFonts w:hint="eastAsia" w:ascii="仿宋_GB2312" w:hAnsi="仿宋_GB2312" w:eastAsia="仿宋_GB2312" w:cs="仿宋_GB2312"/>
          <w:color w:val="auto"/>
          <w:kern w:val="2"/>
          <w:sz w:val="32"/>
          <w:szCs w:val="32"/>
          <w:highlight w:val="none"/>
          <w:lang w:val="en-US" w:eastAsia="zh-CN" w:bidi="ar-SA"/>
        </w:rPr>
      </w:pPr>
      <w:bookmarkStart w:id="67" w:name="_Toc24804"/>
      <w:bookmarkStart w:id="68" w:name="_Toc15333"/>
      <w:bookmarkStart w:id="69" w:name="_Toc7380"/>
      <w:bookmarkStart w:id="70" w:name="_Toc2917"/>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175895</wp:posOffset>
            </wp:positionH>
            <wp:positionV relativeFrom="paragraph">
              <wp:posOffset>807720</wp:posOffset>
            </wp:positionV>
            <wp:extent cx="4572000" cy="2486025"/>
            <wp:effectExtent l="4445" t="4445" r="14605" b="5080"/>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color w:val="auto"/>
          <w:kern w:val="2"/>
          <w:sz w:val="32"/>
          <w:szCs w:val="32"/>
          <w:highlight w:val="none"/>
          <w:lang w:val="en-US" w:eastAsia="zh-CN" w:bidi="ar-SA"/>
        </w:rPr>
        <w:t>（图3：支出决算结构图）（饼状图）</w:t>
      </w:r>
      <w:bookmarkEnd w:id="67"/>
      <w:bookmarkEnd w:id="68"/>
      <w:bookmarkEnd w:id="69"/>
      <w:bookmarkEnd w:id="70"/>
    </w:p>
    <w:p w14:paraId="7F66CEA6">
      <w:pPr>
        <w:spacing w:line="600" w:lineRule="exact"/>
        <w:ind w:firstLine="640" w:firstLineChars="200"/>
        <w:rPr>
          <w:rFonts w:ascii="仿宋_GB2312" w:eastAsia="仿宋_GB2312"/>
          <w:color w:val="auto"/>
          <w:sz w:val="32"/>
          <w:szCs w:val="32"/>
          <w:highlight w:val="none"/>
        </w:rPr>
      </w:pPr>
    </w:p>
    <w:p w14:paraId="2A23BD61">
      <w:pPr>
        <w:pStyle w:val="2"/>
        <w:rPr>
          <w:rFonts w:hint="eastAsia" w:ascii="Times New Roman" w:hAnsi="Times New Roman" w:eastAsia="仿宋_GB2312" w:cs="仿宋_GB2312"/>
          <w:color w:val="auto"/>
          <w:sz w:val="32"/>
          <w:szCs w:val="32"/>
          <w:highlight w:val="none"/>
          <w:lang w:eastAsia="zh-CN"/>
        </w:rPr>
      </w:pPr>
    </w:p>
    <w:p w14:paraId="6A7E5786">
      <w:pPr>
        <w:pStyle w:val="6"/>
        <w:numPr>
          <w:ilvl w:val="0"/>
          <w:numId w:val="0"/>
        </w:numPr>
        <w:ind w:firstLine="640" w:firstLineChars="200"/>
        <w:rPr>
          <w:rFonts w:hint="eastAsia" w:ascii="Times New Roman" w:hAnsi="Times New Roman" w:eastAsia="黑体"/>
          <w:b w:val="0"/>
          <w:color w:val="auto"/>
          <w:highlight w:val="none"/>
          <w:lang w:eastAsia="zh-CN"/>
        </w:rPr>
      </w:pPr>
      <w:bookmarkStart w:id="71" w:name="_Toc15396606"/>
      <w:bookmarkStart w:id="72" w:name="_Toc26017"/>
      <w:bookmarkStart w:id="73" w:name="_Toc1717"/>
      <w:bookmarkStart w:id="74" w:name="_Toc18291"/>
      <w:bookmarkStart w:id="75" w:name="_Toc15885"/>
      <w:bookmarkStart w:id="76" w:name="_Toc15377208"/>
      <w:bookmarkStart w:id="77" w:name="_Toc14762"/>
      <w:r>
        <w:rPr>
          <w:rFonts w:hint="eastAsia" w:ascii="Times New Roman" w:hAnsi="Times New Roman" w:eastAsia="黑体"/>
          <w:b w:val="0"/>
          <w:color w:val="auto"/>
          <w:highlight w:val="none"/>
          <w:lang w:eastAsia="zh-CN"/>
        </w:rPr>
        <w:t>四、财政拨款收入支出决算总体情况说明</w:t>
      </w:r>
      <w:bookmarkEnd w:id="71"/>
      <w:bookmarkEnd w:id="72"/>
      <w:bookmarkEnd w:id="73"/>
      <w:bookmarkEnd w:id="74"/>
      <w:bookmarkEnd w:id="75"/>
      <w:bookmarkEnd w:id="76"/>
      <w:bookmarkEnd w:id="77"/>
    </w:p>
    <w:p w14:paraId="3FD3FCFD">
      <w:pPr>
        <w:spacing w:line="600" w:lineRule="exact"/>
        <w:ind w:firstLine="640" w:firstLineChars="200"/>
        <w:outlineLvl w:val="1"/>
        <w:rPr>
          <w:rFonts w:hint="eastAsia" w:ascii="仿宋_GB2312" w:hAnsi="仿宋_GB2312" w:eastAsia="仿宋_GB2312" w:cs="仿宋_GB2312"/>
          <w:color w:val="auto"/>
          <w:kern w:val="2"/>
          <w:sz w:val="32"/>
          <w:szCs w:val="32"/>
          <w:highlight w:val="none"/>
          <w:lang w:val="en-US" w:eastAsia="zh-CN" w:bidi="ar-SA"/>
        </w:rPr>
      </w:pPr>
      <w:bookmarkStart w:id="78" w:name="_Toc32623"/>
      <w:bookmarkStart w:id="79" w:name="_Toc9154"/>
      <w:bookmarkStart w:id="80" w:name="_Toc1467"/>
      <w:bookmarkStart w:id="81" w:name="_Toc1960"/>
      <w:bookmarkStart w:id="82" w:name="_Toc15396607"/>
      <w:bookmarkStart w:id="83" w:name="_Toc15377209"/>
      <w:r>
        <w:rPr>
          <w:rFonts w:hint="eastAsia" w:ascii="仿宋_GB2312" w:hAnsi="仿宋_GB2312" w:eastAsia="仿宋_GB2312" w:cs="仿宋_GB2312"/>
          <w:color w:val="auto"/>
          <w:kern w:val="2"/>
          <w:sz w:val="32"/>
          <w:szCs w:val="32"/>
          <w:highlight w:val="none"/>
          <w:lang w:val="en-US" w:eastAsia="zh-CN" w:bidi="ar-SA"/>
        </w:rPr>
        <w:t>2024年度财政拨款收入、支出总计均为917.26万元。与2023年度相比，财政拨款收入总计、支出总计各增加262.57万元，增长40.11%。主要变动原因是机构改革后职能增加项目增加项目经费预算增加。</w:t>
      </w:r>
      <w:bookmarkEnd w:id="78"/>
      <w:bookmarkEnd w:id="79"/>
      <w:bookmarkEnd w:id="80"/>
      <w:bookmarkEnd w:id="81"/>
    </w:p>
    <w:p w14:paraId="5318D6A8">
      <w:pPr>
        <w:spacing w:line="600" w:lineRule="exact"/>
        <w:ind w:firstLine="640" w:firstLineChars="200"/>
        <w:outlineLvl w:val="9"/>
        <w:rPr>
          <w:rFonts w:hint="eastAsia" w:ascii="仿宋_GB2312" w:hAnsi="仿宋_GB2312" w:eastAsia="仿宋_GB2312" w:cs="仿宋_GB2312"/>
          <w:color w:val="auto"/>
          <w:kern w:val="2"/>
          <w:sz w:val="32"/>
          <w:szCs w:val="32"/>
          <w:highlight w:val="none"/>
          <w:lang w:val="en-US" w:eastAsia="zh-CN" w:bidi="ar-SA"/>
        </w:rPr>
      </w:pPr>
    </w:p>
    <w:p w14:paraId="65AFFC89">
      <w:pPr>
        <w:spacing w:line="600" w:lineRule="exact"/>
        <w:ind w:firstLine="640" w:firstLineChars="200"/>
        <w:outlineLvl w:val="1"/>
        <w:rPr>
          <w:rFonts w:hint="eastAsia" w:ascii="仿宋_GB2312" w:hAnsi="仿宋_GB2312" w:eastAsia="仿宋_GB2312" w:cs="仿宋_GB2312"/>
          <w:color w:val="auto"/>
          <w:kern w:val="2"/>
          <w:sz w:val="32"/>
          <w:szCs w:val="32"/>
          <w:highlight w:val="none"/>
          <w:lang w:val="en-US" w:eastAsia="zh-CN" w:bidi="ar-SA"/>
        </w:rPr>
      </w:pPr>
      <w:bookmarkStart w:id="84" w:name="_Toc6113"/>
      <w:bookmarkStart w:id="85" w:name="_Toc18931"/>
      <w:bookmarkStart w:id="86" w:name="_Toc15987"/>
      <w:bookmarkStart w:id="87" w:name="_Toc29004"/>
      <w:r>
        <w:rPr>
          <w:rFonts w:hint="eastAsia" w:ascii="仿宋_GB2312" w:hAnsi="仿宋_GB2312" w:eastAsia="仿宋_GB2312" w:cs="仿宋_GB2312"/>
          <w:color w:val="auto"/>
          <w:kern w:val="2"/>
          <w:sz w:val="32"/>
          <w:szCs w:val="32"/>
          <w:highlight w:val="none"/>
          <w:lang w:val="en-US" w:eastAsia="zh-CN" w:bidi="ar-SA"/>
        </w:rPr>
        <w:t>（图4：财政拨款收、支决算总计变动情况）（柱状图）</w:t>
      </w:r>
      <w:bookmarkEnd w:id="84"/>
      <w:bookmarkEnd w:id="85"/>
      <w:bookmarkEnd w:id="86"/>
      <w:bookmarkEnd w:id="87"/>
    </w:p>
    <w:p w14:paraId="44011F77">
      <w:pPr>
        <w:spacing w:line="600" w:lineRule="exact"/>
        <w:ind w:firstLine="640" w:firstLineChars="200"/>
        <w:rPr>
          <w:rFonts w:hint="eastAsia" w:ascii="仿宋" w:hAnsi="仿宋" w:eastAsia="仿宋"/>
          <w:color w:val="auto"/>
          <w:sz w:val="32"/>
          <w:szCs w:val="32"/>
          <w:highlight w:val="none"/>
        </w:rPr>
      </w:pPr>
    </w:p>
    <w:p w14:paraId="31DD2D0F">
      <w:pPr>
        <w:spacing w:line="600" w:lineRule="exact"/>
        <w:ind w:firstLine="640"/>
        <w:rPr>
          <w:rFonts w:ascii="仿宋" w:hAnsi="仿宋" w:eastAsia="仿宋"/>
          <w:b/>
          <w:color w:val="auto"/>
          <w:sz w:val="32"/>
          <w:szCs w:val="32"/>
          <w:highlight w:val="none"/>
        </w:rPr>
      </w:pPr>
      <w:r>
        <w:drawing>
          <wp:anchor distT="0" distB="0" distL="114300" distR="114300" simplePos="0" relativeHeight="251659264" behindDoc="0" locked="0" layoutInCell="1" allowOverlap="1">
            <wp:simplePos x="0" y="0"/>
            <wp:positionH relativeFrom="column">
              <wp:posOffset>426085</wp:posOffset>
            </wp:positionH>
            <wp:positionV relativeFrom="paragraph">
              <wp:posOffset>66675</wp:posOffset>
            </wp:positionV>
            <wp:extent cx="4596130" cy="2767330"/>
            <wp:effectExtent l="0" t="0" r="13970" b="13970"/>
            <wp:wrapTopAndBottom/>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0"/>
                    <a:stretch>
                      <a:fillRect/>
                    </a:stretch>
                  </pic:blipFill>
                  <pic:spPr>
                    <a:xfrm>
                      <a:off x="0" y="0"/>
                      <a:ext cx="4596130" cy="2767330"/>
                    </a:xfrm>
                    <a:prstGeom prst="rect">
                      <a:avLst/>
                    </a:prstGeom>
                    <a:noFill/>
                    <a:ln>
                      <a:noFill/>
                    </a:ln>
                  </pic:spPr>
                </pic:pic>
              </a:graphicData>
            </a:graphic>
          </wp:anchor>
        </w:drawing>
      </w:r>
    </w:p>
    <w:p w14:paraId="5D1A5FE2">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firstLine="640" w:firstLineChars="200"/>
        <w:textAlignment w:val="auto"/>
        <w:rPr>
          <w:rFonts w:hint="eastAsia" w:ascii="Times New Roman" w:hAnsi="Times New Roman" w:eastAsia="黑体"/>
          <w:b w:val="0"/>
          <w:color w:val="auto"/>
          <w:highlight w:val="none"/>
          <w:lang w:eastAsia="zh-CN"/>
        </w:rPr>
      </w:pPr>
      <w:bookmarkStart w:id="88" w:name="_Toc15582"/>
      <w:bookmarkStart w:id="89" w:name="_Toc5517"/>
      <w:bookmarkStart w:id="90" w:name="_Toc6626"/>
      <w:bookmarkStart w:id="91" w:name="_Toc25577"/>
      <w:bookmarkStart w:id="92" w:name="_Toc12060"/>
      <w:r>
        <w:rPr>
          <w:rFonts w:hint="eastAsia" w:ascii="Times New Roman" w:hAnsi="Times New Roman" w:eastAsia="黑体"/>
          <w:b w:val="0"/>
          <w:color w:val="auto"/>
          <w:highlight w:val="none"/>
          <w:lang w:eastAsia="zh-CN"/>
        </w:rPr>
        <w:t>五、一般公共预算财政拨款支出决算情况说明</w:t>
      </w:r>
      <w:bookmarkEnd w:id="82"/>
      <w:bookmarkEnd w:id="83"/>
      <w:bookmarkEnd w:id="88"/>
      <w:bookmarkEnd w:id="89"/>
      <w:bookmarkEnd w:id="90"/>
      <w:bookmarkEnd w:id="91"/>
      <w:bookmarkEnd w:id="92"/>
    </w:p>
    <w:p w14:paraId="72A89376">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93" w:name="_Toc15377210"/>
      <w:bookmarkStart w:id="94" w:name="_Toc29993"/>
      <w:r>
        <w:rPr>
          <w:rFonts w:hint="eastAsia" w:ascii="Times New Roman" w:hAnsi="Times New Roman" w:eastAsia="楷体_GB2312" w:cs="楷体_GB2312"/>
          <w:b w:val="0"/>
          <w:bCs/>
          <w:color w:val="auto"/>
          <w:sz w:val="32"/>
          <w:szCs w:val="32"/>
          <w:highlight w:val="none"/>
        </w:rPr>
        <w:t>（一）一般公共预算财政拨款支出决算总体情况</w:t>
      </w:r>
      <w:bookmarkEnd w:id="93"/>
      <w:bookmarkEnd w:id="94"/>
    </w:p>
    <w:p w14:paraId="1C39DEE1">
      <w:pPr>
        <w:spacing w:line="600" w:lineRule="exact"/>
        <w:ind w:firstLine="640" w:firstLineChars="200"/>
        <w:outlineLvl w:val="1"/>
        <w:rPr>
          <w:rFonts w:hint="eastAsia" w:ascii="仿宋_GB2312" w:hAnsi="仿宋_GB2312" w:eastAsia="仿宋_GB2312" w:cs="仿宋_GB2312"/>
          <w:color w:val="auto"/>
          <w:kern w:val="2"/>
          <w:sz w:val="32"/>
          <w:szCs w:val="32"/>
          <w:highlight w:val="none"/>
          <w:lang w:val="en-US" w:eastAsia="zh-CN" w:bidi="ar-SA"/>
        </w:rPr>
      </w:pPr>
      <w:bookmarkStart w:id="95" w:name="_Toc8646"/>
      <w:bookmarkStart w:id="96" w:name="_Toc23320"/>
      <w:bookmarkStart w:id="97" w:name="_Toc24935"/>
      <w:bookmarkStart w:id="98" w:name="_Toc28399"/>
      <w:r>
        <w:rPr>
          <w:rFonts w:hint="eastAsia" w:ascii="仿宋_GB2312" w:hAnsi="仿宋_GB2312" w:eastAsia="仿宋_GB2312" w:cs="仿宋_GB2312"/>
          <w:color w:val="auto"/>
          <w:kern w:val="2"/>
          <w:sz w:val="32"/>
          <w:szCs w:val="32"/>
          <w:highlight w:val="none"/>
          <w:lang w:val="en-US" w:eastAsia="zh-CN" w:bidi="ar-SA"/>
        </w:rPr>
        <w:t>2024年度一般公共预算财政拨款支出916.26万元，占本年支出合计的99.89%。与2023年度相比，一般公共预算财政拨款支出增加352.25万元，增长62.46%。主要变动原因是机构改革后人员增加职能增加项目增加预算增加。</w:t>
      </w:r>
      <w:bookmarkEnd w:id="95"/>
      <w:bookmarkEnd w:id="96"/>
      <w:bookmarkEnd w:id="97"/>
      <w:bookmarkEnd w:id="98"/>
    </w:p>
    <w:p w14:paraId="0062673B">
      <w:pPr>
        <w:spacing w:line="600" w:lineRule="exact"/>
        <w:rPr>
          <w:rFonts w:ascii="仿宋" w:hAnsi="仿宋" w:eastAsia="仿宋"/>
          <w:color w:val="auto"/>
          <w:sz w:val="32"/>
          <w:szCs w:val="32"/>
          <w:highlight w:val="none"/>
        </w:rPr>
      </w:pPr>
    </w:p>
    <w:p w14:paraId="73597A3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3CDE00BB">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511175</wp:posOffset>
            </wp:positionH>
            <wp:positionV relativeFrom="paragraph">
              <wp:posOffset>6985</wp:posOffset>
            </wp:positionV>
            <wp:extent cx="4596130" cy="2767330"/>
            <wp:effectExtent l="0" t="0" r="13970" b="13970"/>
            <wp:wrapTopAndBottom/>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1"/>
                    <a:stretch>
                      <a:fillRect/>
                    </a:stretch>
                  </pic:blipFill>
                  <pic:spPr>
                    <a:xfrm>
                      <a:off x="0" y="0"/>
                      <a:ext cx="4596130" cy="2767330"/>
                    </a:xfrm>
                    <a:prstGeom prst="rect">
                      <a:avLst/>
                    </a:prstGeom>
                    <a:noFill/>
                    <a:ln>
                      <a:noFill/>
                    </a:ln>
                  </pic:spPr>
                </pic:pic>
              </a:graphicData>
            </a:graphic>
          </wp:anchor>
        </w:drawing>
      </w:r>
    </w:p>
    <w:p w14:paraId="18264BB9">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99" w:name="_Toc17543"/>
      <w:bookmarkStart w:id="100" w:name="_Toc15377211"/>
      <w:r>
        <w:rPr>
          <w:rFonts w:hint="eastAsia" w:ascii="Times New Roman" w:hAnsi="Times New Roman" w:eastAsia="楷体_GB2312" w:cs="楷体_GB2312"/>
          <w:b w:val="0"/>
          <w:bCs/>
          <w:color w:val="auto"/>
          <w:sz w:val="32"/>
          <w:szCs w:val="32"/>
          <w:highlight w:val="none"/>
        </w:rPr>
        <w:t>（二）一般公共预算财政拨款支出决算结构情况</w:t>
      </w:r>
      <w:bookmarkEnd w:id="99"/>
      <w:bookmarkEnd w:id="100"/>
    </w:p>
    <w:p w14:paraId="4E216DFF">
      <w:pPr>
        <w:spacing w:line="6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2024年度一般公共预算财政拨款支出916.26万元，主要用于以下方面：一般公共服务支出447.35万元，占48.83%；社会保障和就业支出76.68万元，占8.37%；卫生健康支出12.6万元，占1.38%；城乡社区支出327.07万元，占35.7%；农林水支出14.04万元，占1.53%；住房保障支出38.53万元，占4.21%。</w:t>
      </w:r>
    </w:p>
    <w:p w14:paraId="53DBF739">
      <w:pPr>
        <w:pStyle w:val="2"/>
      </w:pPr>
    </w:p>
    <w:p w14:paraId="45CED8D6">
      <w:pPr>
        <w:pStyle w:val="3"/>
      </w:pPr>
    </w:p>
    <w:p w14:paraId="2D05D91C">
      <w:pPr>
        <w:spacing w:line="6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（图6：一般公共预算财政拨款支出决算结构）（饼状图）</w:t>
      </w:r>
    </w:p>
    <w:p w14:paraId="255F9256">
      <w:pPr>
        <w:spacing w:line="600" w:lineRule="exact"/>
        <w:ind w:firstLine="640" w:firstLineChars="200"/>
        <w:rPr>
          <w:rFonts w:hint="eastAsia" w:ascii="仿宋" w:hAnsi="仿宋" w:eastAsia="仿宋" w:cs="Times New Roman"/>
          <w:color w:val="auto"/>
          <w:sz w:val="32"/>
          <w:szCs w:val="32"/>
          <w:highlight w:val="none"/>
          <w:lang w:val="en-US" w:eastAsia="zh-CN"/>
        </w:rPr>
      </w:pPr>
    </w:p>
    <w:p w14:paraId="350A3803">
      <w:pPr>
        <w:spacing w:line="600" w:lineRule="exact"/>
        <w:ind w:firstLine="640"/>
        <w:rPr>
          <w:rFonts w:hint="eastAsia" w:ascii="Times New Roman" w:hAnsi="Times New Roman" w:eastAsia="楷体_GB2312" w:cs="楷体_GB2312"/>
          <w:b w:val="0"/>
          <w:bCs/>
          <w:color w:val="auto"/>
          <w:sz w:val="32"/>
          <w:szCs w:val="32"/>
          <w:highlight w:val="none"/>
        </w:rPr>
      </w:pPr>
      <w:r>
        <w:drawing>
          <wp:anchor distT="0" distB="0" distL="114300" distR="114300" simplePos="0" relativeHeight="251663360" behindDoc="0" locked="0" layoutInCell="1" allowOverlap="1">
            <wp:simplePos x="0" y="0"/>
            <wp:positionH relativeFrom="column">
              <wp:posOffset>428625</wp:posOffset>
            </wp:positionH>
            <wp:positionV relativeFrom="paragraph">
              <wp:posOffset>-554990</wp:posOffset>
            </wp:positionV>
            <wp:extent cx="4572000" cy="2743200"/>
            <wp:effectExtent l="4445" t="4445" r="14605" b="14605"/>
            <wp:wrapTopAndBottom/>
            <wp:docPr id="3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101" w:name="_Toc15377212"/>
      <w:bookmarkStart w:id="102" w:name="_Toc27218"/>
      <w:r>
        <w:rPr>
          <w:rFonts w:hint="eastAsia" w:ascii="Times New Roman" w:hAnsi="Times New Roman" w:eastAsia="楷体_GB2312" w:cs="楷体_GB2312"/>
          <w:b w:val="0"/>
          <w:bCs/>
          <w:color w:val="auto"/>
          <w:sz w:val="32"/>
          <w:szCs w:val="32"/>
          <w:highlight w:val="none"/>
        </w:rPr>
        <w:t>（三）一般公共预算财政拨款支出决算具体情况</w:t>
      </w:r>
      <w:bookmarkEnd w:id="101"/>
      <w:bookmarkEnd w:id="102"/>
    </w:p>
    <w:p w14:paraId="773CD07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2024年度一般公共预算支出决算数为916.26，完成预算100%。其中：</w:t>
      </w:r>
    </w:p>
    <w:p w14:paraId="5A8517B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1.一般公共服务（类）政府办公厅（室）及相关机构事务（款）政务公开审批（项）： 支出决算为447.35万元，完成预算100%。</w:t>
      </w:r>
    </w:p>
    <w:p w14:paraId="29E2652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2.社会保障和就业（类）行政事业单位养老支出（款）机关事业单位基本养老保险缴费支出（项）： 支出决算为45.4万元，完成预算100%。</w:t>
      </w:r>
    </w:p>
    <w:p w14:paraId="6DDAE49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3.社会保障和就业（类）行政事业单位养老支出（款）机关事业单位职业年金缴费支出（项）： 支出决算为22.81万元，完成预算100%。</w:t>
      </w:r>
    </w:p>
    <w:p w14:paraId="03418E2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4.社会保障和就业（类）其他社会保障和就业支出（款）其他社会保障和就业支出（项）：支出决算为8.47万元，完成预算100%。</w:t>
      </w:r>
    </w:p>
    <w:p w14:paraId="3BDCAD1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5.卫生健康（类）行政事业单位医疗（款）行政单位医疗（项）：支出决算为12.6万元，完成预算100%。</w:t>
      </w:r>
    </w:p>
    <w:p w14:paraId="3D023B5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6.城乡社区支出（类）城乡社区管理事务（款）其他城乡社区管理事务支出（项）：支出决算为327.07万元，完成预算100%。</w:t>
      </w:r>
    </w:p>
    <w:p w14:paraId="1D0FCB7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7.农林水支出（类）</w:t>
      </w:r>
      <w:bookmarkStart w:id="197" w:name="_GoBack"/>
      <w:r>
        <w:rPr>
          <w:rFonts w:hint="eastAsia" w:ascii="仿宋_GB2312" w:hAnsi="仿宋_GB2312" w:eastAsia="仿宋_GB2312" w:cs="仿宋_GB2312"/>
          <w:color w:val="auto"/>
          <w:kern w:val="2"/>
          <w:sz w:val="32"/>
          <w:szCs w:val="32"/>
          <w:highlight w:val="none"/>
          <w:lang w:val="en-US" w:eastAsia="zh-CN" w:bidi="ar-SA"/>
        </w:rPr>
        <w:t>巩固脱贫攻坚成果</w:t>
      </w:r>
      <w:bookmarkEnd w:id="197"/>
      <w:r>
        <w:rPr>
          <w:rFonts w:hint="eastAsia" w:ascii="仿宋_GB2312" w:hAnsi="仿宋_GB2312" w:eastAsia="仿宋_GB2312" w:cs="仿宋_GB2312"/>
          <w:color w:val="auto"/>
          <w:kern w:val="2"/>
          <w:sz w:val="32"/>
          <w:szCs w:val="32"/>
          <w:highlight w:val="none"/>
          <w:lang w:val="en-US" w:eastAsia="zh-CN" w:bidi="ar-SA"/>
        </w:rPr>
        <w:t>衔接乡村振兴（款）其他巩固拓展脱贫攻坚成果衔接乡村振兴支出（项）：支出决算为14.04万元，完成预算100%。</w:t>
      </w:r>
    </w:p>
    <w:p w14:paraId="6C3907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8.住房保障（类）住房保障支出（款）住房公积金（项）：支出决算为38.53万元，完成预算100%。</w:t>
      </w:r>
    </w:p>
    <w:p w14:paraId="37FDACFC">
      <w:pPr>
        <w:pStyle w:val="6"/>
        <w:keepNext/>
        <w:keepLines/>
        <w:pageBreakBefore w:val="0"/>
        <w:widowControl w:val="0"/>
        <w:numPr>
          <w:ilvl w:val="0"/>
          <w:numId w:val="0"/>
        </w:numPr>
        <w:kinsoku/>
        <w:wordWrap/>
        <w:overflowPunct/>
        <w:topLinePunct w:val="0"/>
        <w:autoSpaceDE/>
        <w:autoSpaceDN/>
        <w:bidi w:val="0"/>
        <w:adjustRightInd/>
        <w:snapToGrid/>
        <w:spacing w:line="416" w:lineRule="auto"/>
        <w:ind w:firstLine="640" w:firstLineChars="200"/>
        <w:textAlignment w:val="auto"/>
        <w:rPr>
          <w:rFonts w:hint="eastAsia" w:ascii="Times New Roman" w:hAnsi="Times New Roman" w:eastAsia="黑体"/>
          <w:b w:val="0"/>
          <w:color w:val="auto"/>
          <w:highlight w:val="none"/>
          <w:lang w:eastAsia="zh-CN"/>
        </w:rPr>
      </w:pPr>
      <w:bookmarkStart w:id="103" w:name="_Toc9587"/>
      <w:bookmarkStart w:id="104" w:name="_Toc15396608"/>
      <w:bookmarkStart w:id="105" w:name="_Toc13637"/>
      <w:bookmarkStart w:id="106" w:name="_Toc32025"/>
      <w:bookmarkStart w:id="107" w:name="_Toc5101"/>
      <w:bookmarkStart w:id="108" w:name="_Toc15377214"/>
      <w:bookmarkStart w:id="109" w:name="_Toc14954"/>
      <w:r>
        <w:rPr>
          <w:rFonts w:hint="eastAsia" w:ascii="Times New Roman" w:hAnsi="Times New Roman" w:eastAsia="黑体"/>
          <w:b w:val="0"/>
          <w:color w:val="auto"/>
          <w:highlight w:val="none"/>
          <w:lang w:val="en-US" w:eastAsia="zh-CN"/>
        </w:rPr>
        <w:t>六、一般公共预算财政拨款基本支出决算情况说明</w:t>
      </w:r>
      <w:bookmarkEnd w:id="103"/>
      <w:bookmarkEnd w:id="104"/>
      <w:bookmarkEnd w:id="105"/>
      <w:bookmarkEnd w:id="106"/>
      <w:bookmarkEnd w:id="107"/>
      <w:bookmarkEnd w:id="108"/>
      <w:bookmarkEnd w:id="109"/>
      <w:r>
        <w:rPr>
          <w:rFonts w:hint="eastAsia" w:ascii="Times New Roman" w:hAnsi="Times New Roman" w:eastAsia="黑体"/>
          <w:b w:val="0"/>
          <w:color w:val="auto"/>
          <w:highlight w:val="none"/>
          <w:lang w:eastAsia="zh-CN"/>
        </w:rPr>
        <w:tab/>
      </w:r>
    </w:p>
    <w:p w14:paraId="011C5D4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2024年度一般公共预算财政拨款基本支出564.51万元，其中：</w:t>
      </w:r>
    </w:p>
    <w:p w14:paraId="34B72C6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491.55万元，主要包括：基本工资、津贴补贴、奖金、伙食补助费、绩效工资、机关事业单位基本养老保险缴费、职业年金缴费、其他社会保障缴费、其他工资福利支出、生活补助、医疗费补助、住房公积金、其他对个人和家庭的补助支出等。</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公用经费72.96万元，主要包括：办公费、水费、电费、差旅费、维修（护）费、公务接待费、委托业务费、工会经费、福利费、其他交通费、其他商品和服务支出、办公设备购置、其他资本性支出等。</w:t>
      </w:r>
    </w:p>
    <w:p w14:paraId="773E41F4">
      <w:pPr>
        <w:pStyle w:val="6"/>
        <w:bidi w:val="0"/>
        <w:ind w:firstLine="640" w:firstLineChars="200"/>
        <w:rPr>
          <w:rFonts w:hint="eastAsia" w:ascii="Times New Roman" w:hAnsi="Times New Roman" w:eastAsia="黑体"/>
          <w:b w:val="0"/>
          <w:color w:val="auto"/>
          <w:highlight w:val="none"/>
          <w:lang w:val="en-US" w:eastAsia="zh-CN"/>
        </w:rPr>
      </w:pPr>
      <w:bookmarkStart w:id="110" w:name="_Toc530"/>
      <w:bookmarkStart w:id="111" w:name="_Toc15377215"/>
      <w:bookmarkStart w:id="112" w:name="_Toc19084"/>
      <w:bookmarkStart w:id="113" w:name="_Toc19904"/>
      <w:bookmarkStart w:id="114" w:name="_Toc28917"/>
      <w:bookmarkStart w:id="115" w:name="_Toc15396609"/>
      <w:bookmarkStart w:id="116" w:name="_Toc20901"/>
      <w:r>
        <w:rPr>
          <w:rFonts w:hint="eastAsia" w:ascii="Times New Roman" w:hAnsi="Times New Roman" w:eastAsia="黑体"/>
          <w:b w:val="0"/>
          <w:color w:val="auto"/>
          <w:highlight w:val="none"/>
          <w:lang w:val="en-US" w:eastAsia="zh-CN"/>
        </w:rPr>
        <w:t>七、财政拨款“三公”经费支出决算情况说明</w:t>
      </w:r>
      <w:bookmarkEnd w:id="110"/>
      <w:bookmarkEnd w:id="111"/>
      <w:bookmarkEnd w:id="112"/>
      <w:bookmarkEnd w:id="113"/>
      <w:bookmarkEnd w:id="114"/>
      <w:bookmarkEnd w:id="115"/>
      <w:bookmarkEnd w:id="116"/>
    </w:p>
    <w:p w14:paraId="5A1ADB7A">
      <w:pPr>
        <w:spacing w:line="600" w:lineRule="exact"/>
        <w:ind w:firstLine="640"/>
        <w:outlineLvl w:val="2"/>
        <w:rPr>
          <w:rFonts w:ascii="仿宋" w:hAnsi="仿宋" w:eastAsia="仿宋"/>
          <w:b w:val="0"/>
          <w:bCs/>
          <w:color w:val="auto"/>
          <w:sz w:val="32"/>
          <w:szCs w:val="32"/>
          <w:highlight w:val="none"/>
        </w:rPr>
      </w:pPr>
      <w:bookmarkStart w:id="117" w:name="_Toc755"/>
      <w:r>
        <w:rPr>
          <w:rFonts w:hint="eastAsia" w:ascii="仿宋" w:hAnsi="仿宋" w:eastAsia="仿宋"/>
          <w:b w:val="0"/>
          <w:bCs/>
          <w:color w:val="auto"/>
          <w:sz w:val="32"/>
          <w:szCs w:val="32"/>
          <w:highlight w:val="none"/>
        </w:rPr>
        <w:t>（一）“三公”经费财政拨款支出决算总体情况说明</w:t>
      </w:r>
      <w:bookmarkEnd w:id="117"/>
    </w:p>
    <w:p w14:paraId="634D8394">
      <w:pPr>
        <w:spacing w:line="600" w:lineRule="exact"/>
        <w:ind w:firstLine="640"/>
        <w:rPr>
          <w:rFonts w:ascii="仿宋" w:hAnsi="仿宋" w:eastAsia="仿宋"/>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2024年度“三公”经费财政拨款支出决算为0.45万元，完成预算100%，较上年度增加0.21万元，增长46.67%。决算与预算数持平。</w:t>
      </w:r>
    </w:p>
    <w:p w14:paraId="66AB896C">
      <w:pPr>
        <w:spacing w:line="600" w:lineRule="exact"/>
        <w:ind w:firstLine="640"/>
        <w:outlineLvl w:val="2"/>
        <w:rPr>
          <w:rFonts w:ascii="仿宋" w:hAnsi="仿宋" w:eastAsia="仿宋"/>
          <w:b w:val="0"/>
          <w:bCs/>
          <w:color w:val="000000"/>
          <w:sz w:val="32"/>
          <w:szCs w:val="32"/>
          <w:highlight w:val="none"/>
        </w:rPr>
      </w:pPr>
      <w:bookmarkStart w:id="118" w:name="_Toc14800"/>
      <w:r>
        <w:rPr>
          <w:rFonts w:hint="eastAsia" w:ascii="仿宋" w:hAnsi="仿宋" w:eastAsia="仿宋"/>
          <w:b w:val="0"/>
          <w:bCs/>
          <w:color w:val="000000"/>
          <w:sz w:val="32"/>
          <w:szCs w:val="32"/>
          <w:highlight w:val="none"/>
        </w:rPr>
        <w:t>（二）“三公”经费财政拨款支出决算具体情况说明</w:t>
      </w:r>
      <w:bookmarkEnd w:id="118"/>
    </w:p>
    <w:p w14:paraId="38D63E8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2024年度“三公”经费财政拨款支出决算中，因公出国（境）费支出决算0万元，占0%；公务用车购置及运行维护费支出决算0万元，0%；公务接待费支出决算0.45万元，占100%。具体情况如下：</w:t>
      </w:r>
    </w:p>
    <w:p w14:paraId="0BD0185E">
      <w:pPr>
        <w:spacing w:line="600" w:lineRule="exact"/>
        <w:ind w:firstLine="640"/>
        <w:rPr>
          <w:rFonts w:hint="eastAsia" w:ascii="仿宋" w:hAnsi="仿宋" w:eastAsia="仿宋"/>
          <w:color w:val="000000"/>
          <w:sz w:val="32"/>
          <w:szCs w:val="32"/>
          <w:highlight w:val="none"/>
        </w:rPr>
      </w:pPr>
    </w:p>
    <w:p w14:paraId="1421D6A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（图7：“三公”经费财政拨款支出结构）（饼状图）</w:t>
      </w:r>
    </w:p>
    <w:p w14:paraId="08E5767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64633F41">
      <w:pPr>
        <w:pStyle w:val="2"/>
        <w:rPr>
          <w:rFonts w:hint="eastAsia"/>
        </w:rPr>
      </w:pPr>
      <w:r>
        <w:drawing>
          <wp:inline distT="0" distB="0" distL="114300" distR="114300">
            <wp:extent cx="4826000" cy="2743200"/>
            <wp:effectExtent l="4445" t="4445" r="825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EAB690">
      <w:pPr>
        <w:spacing w:line="600" w:lineRule="exact"/>
        <w:ind w:firstLine="640"/>
        <w:rPr>
          <w:rFonts w:ascii="仿宋_GB2312" w:eastAsia="仿宋_GB2312"/>
          <w:b/>
          <w:color w:val="auto"/>
          <w:sz w:val="32"/>
          <w:szCs w:val="32"/>
          <w:highlight w:val="none"/>
        </w:rPr>
      </w:pPr>
      <w:bookmarkStart w:id="119" w:name="_Toc15377218"/>
      <w:bookmarkStart w:id="120" w:name="_Toc15396610"/>
    </w:p>
    <w:p w14:paraId="01901FE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hAnsi="仿宋_GB2312" w:eastAsia="仿宋_GB2312" w:cs="仿宋_GB2312"/>
          <w:color w:val="auto"/>
          <w:kern w:val="2"/>
          <w:sz w:val="32"/>
          <w:szCs w:val="32"/>
          <w:highlight w:val="none"/>
          <w:lang w:val="en-US" w:eastAsia="zh-CN" w:bidi="ar-SA"/>
        </w:rPr>
        <w:t>0万元，完成预算0%。全年安排因公出国（境）团组0次，出国（境）0人。因公出国（境）支出决算比2023年度增加/减少0万元，增长/下降0%。</w:t>
      </w:r>
    </w:p>
    <w:p w14:paraId="1FBC1E03">
      <w:pPr>
        <w:spacing w:line="600" w:lineRule="exact"/>
        <w:ind w:firstLine="640"/>
        <w:rPr>
          <w:rFonts w:hint="eastAsia" w:ascii="仿宋_GB2312" w:hAnsi="Times New Roman" w:eastAsia="仿宋_GB2312" w:cs="Times New Roman"/>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hAnsi="仿宋_GB2312" w:eastAsia="仿宋_GB2312" w:cs="仿宋_GB2312"/>
          <w:color w:val="auto"/>
          <w:kern w:val="2"/>
          <w:sz w:val="32"/>
          <w:szCs w:val="32"/>
          <w:highlight w:val="none"/>
          <w:lang w:val="en-US" w:eastAsia="zh-CN" w:bidi="ar-SA"/>
        </w:rPr>
        <w:t>0万元，完成预算0%。公务用车购置及运行维护费支出决算比2023年度增加/减少0万元，增长/下降0%。</w:t>
      </w: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b/>
          <w:color w:val="auto"/>
          <w:sz w:val="32"/>
          <w:szCs w:val="32"/>
          <w:highlight w:val="none"/>
        </w:rPr>
        <w:t>公务用车运行维护费支出</w:t>
      </w:r>
      <w:r>
        <w:rPr>
          <w:rFonts w:hint="eastAsia" w:ascii="仿宋_GB2312" w:hAnsi="Times New Roman"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rPr>
        <w:t>万元。</w:t>
      </w:r>
    </w:p>
    <w:p w14:paraId="387EABF7">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b/>
          <w:color w:val="auto"/>
          <w:sz w:val="32"/>
          <w:szCs w:val="32"/>
          <w:highlight w:val="none"/>
          <w:lang w:val="en-US" w:eastAsia="zh-CN"/>
        </w:rPr>
        <w:t>3.公务接待费支出</w:t>
      </w:r>
      <w:r>
        <w:rPr>
          <w:rFonts w:hint="eastAsia" w:ascii="仿宋_GB2312" w:hAnsi="Times New Roman" w:eastAsia="仿宋_GB2312" w:cs="Times New Roman"/>
          <w:color w:val="auto"/>
          <w:sz w:val="32"/>
          <w:szCs w:val="32"/>
          <w:highlight w:val="none"/>
          <w:lang w:val="en-US" w:eastAsia="zh-CN"/>
        </w:rPr>
        <w:t>0.45万元，完成预算100%。公务接待费支出决算比2023年度增加0.21万元，增长87.5%。主要原因是公务接待全年预算较少，加上单位职能增加接待增加。其中：</w:t>
      </w:r>
    </w:p>
    <w:p w14:paraId="5D2F2585">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国内公务接待支出0.45万元，主要用于开展业务活动开支的用餐费。国内公务接待6批次，48人次，共计支出0.45万元，具体内容包括：四川电视台赴峨边开展“长者服务”采访工作接待用餐费0.0663万元；乐山市政务服务管理局关于开展“一网能办”能力巩固提升等工作调研接待用餐费0.088万元；乐山市数据局赴</w:t>
      </w:r>
      <w:r>
        <w:rPr>
          <w:rFonts w:hint="eastAsia" w:ascii="仿宋_GB2312" w:eastAsia="仿宋_GB2312" w:cs="Times New Roman"/>
          <w:color w:val="auto"/>
          <w:sz w:val="32"/>
          <w:szCs w:val="32"/>
          <w:highlight w:val="none"/>
          <w:lang w:val="en-US" w:eastAsia="zh-CN"/>
        </w:rPr>
        <w:t>峨边彝族自治县</w:t>
      </w:r>
      <w:r>
        <w:rPr>
          <w:rFonts w:hint="eastAsia" w:ascii="仿宋_GB2312" w:hAnsi="Times New Roman" w:eastAsia="仿宋_GB2312" w:cs="Times New Roman"/>
          <w:color w:val="auto"/>
          <w:sz w:val="32"/>
          <w:szCs w:val="32"/>
          <w:highlight w:val="none"/>
          <w:lang w:val="en-US" w:eastAsia="zh-CN"/>
        </w:rPr>
        <w:t>开展数字乐山建设情况及“十五五”前期工作调研接待用餐费0.0948万元；乐山市政务服务管理局赴峨边开展2024年乐山市提升政务服务效能专项督查接待用餐费0.085万元；关于成都国星宇航科技公司投资算力中心招商接待用餐费0.0594万元；省委网信办协助做好数字化绿色化协同转型发展试点工作实地辅导接待用餐费0.058万元。</w:t>
      </w:r>
    </w:p>
    <w:p w14:paraId="38F3E75E">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外事接待支出0万元。外事接待0批次，0人次（不包括陪同人员），共计支出0万元。</w:t>
      </w:r>
    </w:p>
    <w:p w14:paraId="70A628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7EF0AAC">
      <w:pPr>
        <w:pStyle w:val="6"/>
        <w:bidi w:val="0"/>
        <w:ind w:firstLine="640" w:firstLineChars="200"/>
        <w:rPr>
          <w:rFonts w:hint="eastAsia" w:ascii="Times New Roman" w:hAnsi="Times New Roman" w:eastAsia="黑体"/>
          <w:b w:val="0"/>
          <w:color w:val="auto"/>
          <w:highlight w:val="none"/>
          <w:lang w:val="en-US" w:eastAsia="zh-CN"/>
        </w:rPr>
      </w:pPr>
      <w:bookmarkStart w:id="121" w:name="_Toc22124"/>
      <w:bookmarkStart w:id="122" w:name="_Toc22795"/>
      <w:bookmarkStart w:id="123" w:name="_Toc30267"/>
      <w:bookmarkStart w:id="124" w:name="_Toc1107"/>
      <w:bookmarkStart w:id="125" w:name="_Toc715"/>
      <w:r>
        <w:rPr>
          <w:rFonts w:hint="eastAsia" w:ascii="Times New Roman" w:hAnsi="Times New Roman" w:eastAsia="黑体"/>
          <w:b w:val="0"/>
          <w:color w:val="auto"/>
          <w:highlight w:val="none"/>
          <w:lang w:val="en-US" w:eastAsia="zh-CN"/>
        </w:rPr>
        <w:t>八、政府性基金预算支出决算情况说明</w:t>
      </w:r>
      <w:bookmarkEnd w:id="119"/>
      <w:bookmarkEnd w:id="120"/>
      <w:bookmarkEnd w:id="121"/>
      <w:bookmarkEnd w:id="122"/>
      <w:bookmarkEnd w:id="123"/>
      <w:bookmarkEnd w:id="124"/>
      <w:bookmarkEnd w:id="125"/>
    </w:p>
    <w:p w14:paraId="2FECD105">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2024年度政府性基金预算财政拨款支出1万元，占本年支出合计的0.1%。与2023年度相比，政府性基金预算财政拨款支出减少89.68万元，下降98.9%。主要变动原因是2023年基金预算项目2024转为了一般预算。</w:t>
      </w:r>
    </w:p>
    <w:p w14:paraId="174A4973">
      <w:pPr>
        <w:pStyle w:val="2"/>
        <w:rPr>
          <w:rFonts w:hint="eastAsia"/>
          <w:lang w:val="en-US" w:eastAsia="zh-CN"/>
        </w:rPr>
      </w:pPr>
    </w:p>
    <w:p w14:paraId="79FB3A64">
      <w:pPr>
        <w:pStyle w:val="6"/>
        <w:bidi w:val="0"/>
        <w:ind w:firstLine="640" w:firstLineChars="200"/>
        <w:rPr>
          <w:rFonts w:hint="eastAsia" w:ascii="Times New Roman" w:hAnsi="Times New Roman" w:eastAsia="黑体"/>
          <w:b w:val="0"/>
          <w:color w:val="auto"/>
          <w:highlight w:val="none"/>
          <w:lang w:val="en-US" w:eastAsia="zh-CN"/>
        </w:rPr>
      </w:pPr>
      <w:bookmarkStart w:id="126" w:name="_Toc15377219"/>
      <w:bookmarkStart w:id="127" w:name="_Toc15396611"/>
      <w:bookmarkStart w:id="128" w:name="_Toc13300"/>
      <w:bookmarkStart w:id="129" w:name="_Toc28539"/>
      <w:bookmarkStart w:id="130" w:name="_Toc1923"/>
      <w:bookmarkStart w:id="131" w:name="_Toc25287"/>
      <w:bookmarkStart w:id="132" w:name="_Toc13158"/>
      <w:r>
        <w:rPr>
          <w:rFonts w:hint="eastAsia" w:ascii="Times New Roman" w:hAnsi="Times New Roman" w:eastAsia="黑体"/>
          <w:b w:val="0"/>
          <w:color w:val="auto"/>
          <w:highlight w:val="none"/>
          <w:lang w:val="en-US" w:eastAsia="zh-CN"/>
        </w:rPr>
        <w:t>九、国有资本经营预算支出决算情况说明</w:t>
      </w:r>
      <w:bookmarkEnd w:id="126"/>
      <w:bookmarkEnd w:id="127"/>
      <w:bookmarkEnd w:id="128"/>
      <w:bookmarkEnd w:id="129"/>
      <w:bookmarkEnd w:id="130"/>
      <w:bookmarkEnd w:id="131"/>
      <w:bookmarkEnd w:id="132"/>
    </w:p>
    <w:p w14:paraId="29C4A3DD">
      <w:pP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2024年度国有资本经营预算财政拨款支出0万元，占本年支出合计的0%。支出数与2023年度相比持平。</w:t>
      </w:r>
    </w:p>
    <w:p w14:paraId="4F5B8BE7">
      <w:pPr>
        <w:pStyle w:val="2"/>
        <w:rPr>
          <w:rFonts w:hint="eastAsia"/>
          <w:lang w:val="en-US" w:eastAsia="zh-CN"/>
        </w:rPr>
      </w:pPr>
    </w:p>
    <w:p w14:paraId="0AB1A0EB">
      <w:pPr>
        <w:pStyle w:val="6"/>
        <w:bidi w:val="0"/>
        <w:ind w:firstLine="640" w:firstLineChars="200"/>
        <w:rPr>
          <w:rFonts w:hint="eastAsia" w:ascii="Times New Roman" w:hAnsi="Times New Roman" w:eastAsia="黑体"/>
          <w:b w:val="0"/>
          <w:color w:val="auto"/>
          <w:highlight w:val="none"/>
          <w:lang w:val="en-US" w:eastAsia="zh-CN"/>
        </w:rPr>
      </w:pPr>
      <w:bookmarkStart w:id="133" w:name="_Toc15377221"/>
      <w:bookmarkStart w:id="134" w:name="_Toc80"/>
      <w:bookmarkStart w:id="135" w:name="_Toc2872"/>
      <w:bookmarkStart w:id="136" w:name="_Toc31440"/>
      <w:bookmarkStart w:id="137" w:name="_Toc15396612"/>
      <w:bookmarkStart w:id="138" w:name="_Toc23668"/>
      <w:bookmarkStart w:id="139" w:name="_Toc27004"/>
      <w:r>
        <w:rPr>
          <w:rFonts w:hint="eastAsia" w:ascii="Times New Roman" w:hAnsi="Times New Roman" w:eastAsia="黑体"/>
          <w:b w:val="0"/>
          <w:color w:val="auto"/>
          <w:highlight w:val="none"/>
          <w:lang w:val="en-US" w:eastAsia="zh-CN"/>
        </w:rPr>
        <w:t>十、其他重要事项的情况说明</w:t>
      </w:r>
      <w:bookmarkEnd w:id="133"/>
      <w:bookmarkEnd w:id="134"/>
      <w:bookmarkEnd w:id="135"/>
      <w:bookmarkEnd w:id="136"/>
      <w:bookmarkEnd w:id="137"/>
      <w:bookmarkEnd w:id="138"/>
      <w:bookmarkEnd w:id="139"/>
    </w:p>
    <w:p w14:paraId="1E808804">
      <w:pPr>
        <w:spacing w:line="600" w:lineRule="exact"/>
        <w:ind w:firstLine="640" w:firstLineChars="200"/>
        <w:outlineLvl w:val="2"/>
        <w:rPr>
          <w:rFonts w:ascii="仿宋" w:hAnsi="仿宋" w:eastAsia="仿宋"/>
          <w:b w:val="0"/>
          <w:bCs/>
          <w:color w:val="auto"/>
          <w:sz w:val="32"/>
          <w:szCs w:val="32"/>
          <w:highlight w:val="none"/>
        </w:rPr>
      </w:pPr>
      <w:bookmarkStart w:id="140" w:name="_Toc19994"/>
      <w:r>
        <w:rPr>
          <w:rFonts w:hint="eastAsia" w:ascii="Times New Roman" w:hAnsi="Times New Roman" w:eastAsia="楷体_GB2312" w:cs="楷体_GB2312"/>
          <w:b w:val="0"/>
          <w:bCs/>
          <w:color w:val="auto"/>
          <w:sz w:val="32"/>
          <w:szCs w:val="32"/>
          <w:highlight w:val="none"/>
        </w:rPr>
        <w:t>（一）机关运行经费支出情况</w:t>
      </w:r>
      <w:bookmarkEnd w:id="140"/>
    </w:p>
    <w:p w14:paraId="4FB7368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2024年度，峨边彝族自治县行政审批和数据局机关运行经费支出72.96万元，比2023年度减少0.63万元，下降0.09%，与2023年度决算数基本持平。</w:t>
      </w:r>
    </w:p>
    <w:p w14:paraId="16A8D7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C38FA7F">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141" w:name="_Toc15377223"/>
      <w:bookmarkStart w:id="142" w:name="_Toc27752"/>
      <w:r>
        <w:rPr>
          <w:rFonts w:hint="eastAsia" w:ascii="Times New Roman" w:hAnsi="Times New Roman" w:eastAsia="楷体_GB2312" w:cs="楷体_GB2312"/>
          <w:b w:val="0"/>
          <w:bCs/>
          <w:color w:val="auto"/>
          <w:sz w:val="32"/>
          <w:szCs w:val="32"/>
          <w:highlight w:val="none"/>
        </w:rPr>
        <w:t>（二）政府采购支出情况</w:t>
      </w:r>
      <w:bookmarkEnd w:id="141"/>
      <w:bookmarkEnd w:id="142"/>
    </w:p>
    <w:p w14:paraId="1D496FC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行政审批和数据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FEF09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AF8FC11">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143" w:name="_Toc22959"/>
      <w:bookmarkStart w:id="144" w:name="_Toc15377224"/>
      <w:r>
        <w:rPr>
          <w:rFonts w:hint="eastAsia" w:ascii="Times New Roman" w:hAnsi="Times New Roman" w:eastAsia="楷体_GB2312" w:cs="楷体_GB2312"/>
          <w:b w:val="0"/>
          <w:bCs/>
          <w:color w:val="auto"/>
          <w:sz w:val="32"/>
          <w:szCs w:val="32"/>
          <w:highlight w:val="none"/>
        </w:rPr>
        <w:t>（三）国有资产占有使用情况</w:t>
      </w:r>
      <w:bookmarkEnd w:id="143"/>
      <w:bookmarkEnd w:id="144"/>
    </w:p>
    <w:p w14:paraId="2C4CA16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截至2023年12月31日，行政审批和数据局共有车辆0辆。</w:t>
      </w:r>
    </w:p>
    <w:p w14:paraId="32AF720F">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p>
    <w:p w14:paraId="2E787518">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145" w:name="_Toc4983"/>
      <w:r>
        <w:rPr>
          <w:rFonts w:hint="eastAsia" w:ascii="Times New Roman" w:hAnsi="Times New Roman" w:eastAsia="楷体_GB2312" w:cs="楷体_GB2312"/>
          <w:b w:val="0"/>
          <w:bCs/>
          <w:color w:val="auto"/>
          <w:sz w:val="32"/>
          <w:szCs w:val="32"/>
          <w:highlight w:val="none"/>
        </w:rPr>
        <w:t>（四）预算绩效管理情况</w:t>
      </w:r>
      <w:bookmarkEnd w:id="145"/>
    </w:p>
    <w:p w14:paraId="1AE9876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行政审批和数据局在2024年度预算编制阶段，组织对便民服务体系建设专项经费、全县信息化建设项目、城乡融合重大项目前期工作经费等3个项目开展了预算事前绩效评估，对3个项目编制了绩效目标，在预算执行过程中，选取3个项目开展绩效监控。</w:t>
      </w:r>
    </w:p>
    <w:p w14:paraId="257129C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全面开展绩效自评，形成行政审批和数据局部门整体（含部门预算项目）绩效自评报告。行政审批和数据局部门整体（含部门预算项目）绩效自评得分为98分；便民服务体系建设专项经费、全县信息化建设项目、城乡融合重大项目前期工作经费专项预算项目绩效自评得分为100分。</w:t>
      </w:r>
    </w:p>
    <w:p w14:paraId="01E3B9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BFE7E9A">
      <w:pPr>
        <w:pStyle w:val="5"/>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ascii="黑体" w:hAnsi="黑体" w:eastAsia="黑体" w:cs="黑体"/>
          <w:b w:val="0"/>
          <w:bCs w:val="0"/>
        </w:rPr>
      </w:pPr>
      <w:bookmarkStart w:id="146" w:name="_Toc4790"/>
      <w:bookmarkStart w:id="147" w:name="_Toc15396613"/>
      <w:bookmarkStart w:id="148" w:name="_Toc15377225"/>
      <w:bookmarkStart w:id="149" w:name="_Toc21394"/>
      <w:bookmarkStart w:id="150" w:name="_Toc24092"/>
      <w:bookmarkStart w:id="151" w:name="_Toc32448"/>
      <w:bookmarkStart w:id="152" w:name="_Toc31290"/>
      <w:r>
        <w:rPr>
          <w:rFonts w:hint="eastAsia" w:ascii="黑体" w:hAnsi="黑体" w:eastAsia="黑体" w:cs="黑体"/>
          <w:b w:val="0"/>
          <w:bCs w:val="0"/>
          <w:lang w:val="en-US" w:eastAsia="zh-CN"/>
        </w:rPr>
        <w:t>第三部分  名词解释</w:t>
      </w:r>
      <w:bookmarkEnd w:id="146"/>
      <w:bookmarkEnd w:id="147"/>
      <w:bookmarkEnd w:id="148"/>
      <w:bookmarkEnd w:id="149"/>
      <w:bookmarkEnd w:id="150"/>
      <w:bookmarkEnd w:id="151"/>
      <w:bookmarkEnd w:id="152"/>
    </w:p>
    <w:p w14:paraId="53407947">
      <w:pPr>
        <w:spacing w:line="600" w:lineRule="exact"/>
        <w:jc w:val="left"/>
        <w:rPr>
          <w:rFonts w:ascii="Times New Roman" w:hAnsi="Times New Roman"/>
          <w:b/>
          <w:color w:val="auto"/>
          <w:sz w:val="44"/>
          <w:szCs w:val="44"/>
          <w:highlight w:val="none"/>
        </w:rPr>
      </w:pPr>
    </w:p>
    <w:p w14:paraId="596946A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1.财政拨款收入：指单位从同级财政单位取得的财政预算资金。</w:t>
      </w:r>
    </w:p>
    <w:p w14:paraId="410AED9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2.一般公共服务（类）政府办公厅（室）及相关机构事务（款）政务公开审批（项）： 指机关事业单位基本支出。</w:t>
      </w:r>
    </w:p>
    <w:p w14:paraId="0833032C">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3.社会保障和就业（类）行政事业单位离退休（款）机关事业单位基本养老保险缴费支出（项）：指机关事业单位实施养老保险制度由单位缴纳的基本养老保险费支出。</w:t>
      </w:r>
    </w:p>
    <w:p w14:paraId="29B8F949">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4.社会保障和就业（类）行政事业单位离退休（款）机关事业单位职业年金缴费支出（项）：指机关事业单位实施养老保险制度由单位实际缴纳的职业年金支出。</w:t>
      </w:r>
    </w:p>
    <w:p w14:paraId="366B2266">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5.社会保障和就业（类）行政事业单位离退休（款）其他社会保障和就业支出（项）：指机关事业单位其他用于社会保障和就业方面的支出。 </w:t>
      </w:r>
    </w:p>
    <w:p w14:paraId="422630CF">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6.卫生健康（类）行政事业单位医疗（款）行政单位医疗（项）：指机关事业单位基本医疗保险费支出。</w:t>
      </w:r>
    </w:p>
    <w:p w14:paraId="657C0A47">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 住房保障（类）住房保障支出（款）住房公积金（项）：指机关事业单位按人力资源和社会保障部、财政部规定的基本工资和津贴补贴以及规定比例为职工缴纳的住房公积金。</w:t>
      </w:r>
    </w:p>
    <w:p w14:paraId="6C8233F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8.基本支出：指为保障机构正常运转、完成日常工作任务而发生的人员支出和公用支出。</w:t>
      </w:r>
    </w:p>
    <w:p w14:paraId="4BFB76E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9.项目支出：指在基本支出之外为完成特定行政任务和事业发展目标所发生的支出。 </w:t>
      </w:r>
    </w:p>
    <w:p w14:paraId="2F07611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E0925D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88FA4C">
      <w:pPr>
        <w:pStyle w:val="28"/>
        <w:spacing w:line="560" w:lineRule="exact"/>
        <w:ind w:firstLine="640" w:firstLineChars="200"/>
        <w:rPr>
          <w:rFonts w:ascii="仿宋_GB2312" w:eastAsia="仿宋_GB2312"/>
          <w:color w:val="auto"/>
          <w:sz w:val="32"/>
          <w:szCs w:val="32"/>
          <w:highlight w:val="none"/>
        </w:rPr>
      </w:pPr>
    </w:p>
    <w:p w14:paraId="3A176C20">
      <w:pPr>
        <w:pStyle w:val="5"/>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ascii="Times New Roman" w:hAnsi="Times New Roman" w:eastAsia="宋体" w:cs="Times New Roman"/>
          <w:b/>
          <w:bCs/>
          <w:kern w:val="44"/>
          <w:szCs w:val="44"/>
          <w:lang w:val="en-US" w:eastAsia="zh-CN" w:bidi="ar-SA"/>
        </w:rPr>
      </w:pPr>
      <w:bookmarkStart w:id="153" w:name="_Toc15075"/>
      <w:bookmarkStart w:id="154" w:name="_Toc15396614"/>
      <w:bookmarkStart w:id="155" w:name="_Toc509"/>
      <w:bookmarkStart w:id="156" w:name="_Toc32120"/>
      <w:bookmarkStart w:id="157" w:name="_Toc29400"/>
      <w:bookmarkStart w:id="158" w:name="_Toc30766"/>
      <w:bookmarkStart w:id="159" w:name="_Toc15377226"/>
      <w:r>
        <w:rPr>
          <w:rFonts w:hint="eastAsia" w:ascii="黑体" w:hAnsi="黑体" w:eastAsia="黑体" w:cs="黑体"/>
          <w:b w:val="0"/>
          <w:bCs w:val="0"/>
          <w:lang w:val="en-US" w:eastAsia="zh-CN"/>
        </w:rPr>
        <w:t>第四部分  附件</w:t>
      </w:r>
      <w:bookmarkEnd w:id="153"/>
      <w:bookmarkEnd w:id="154"/>
      <w:bookmarkEnd w:id="155"/>
      <w:bookmarkEnd w:id="156"/>
      <w:bookmarkEnd w:id="157"/>
      <w:bookmarkEnd w:id="158"/>
    </w:p>
    <w:p w14:paraId="09551C29">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6D36CF2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160" w:name="_Toc3468"/>
      <w:bookmarkStart w:id="161" w:name="_Toc15257"/>
      <w:bookmarkStart w:id="162" w:name="_Toc8503"/>
      <w:bookmarkStart w:id="163" w:name="_Toc2695"/>
      <w:bookmarkStart w:id="164" w:name="_Toc10359"/>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160"/>
      <w:bookmarkEnd w:id="161"/>
      <w:bookmarkEnd w:id="162"/>
      <w:bookmarkEnd w:id="163"/>
      <w:bookmarkEnd w:id="164"/>
    </w:p>
    <w:p w14:paraId="1360D1F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C45725B">
      <w:pPr>
        <w:keepNext w:val="0"/>
        <w:keepLines w:val="0"/>
        <w:widowControl/>
        <w:suppressLineNumbers w:val="0"/>
        <w:spacing w:before="0" w:beforeAutospacing="0" w:after="0" w:afterAutospacing="0" w:line="580" w:lineRule="exact"/>
        <w:ind w:left="0" w:right="0"/>
        <w:contextualSpacing/>
        <w:jc w:val="center"/>
        <w:rPr>
          <w:rFonts w:hint="eastAsia" w:ascii="方正小标宋简体" w:hAnsi="宋体" w:eastAsia="方正小标宋简体" w:cs="Times New Roman"/>
          <w:kern w:val="2"/>
          <w:sz w:val="44"/>
          <w:szCs w:val="44"/>
          <w:shd w:val="clear" w:fill="FFFFFF"/>
        </w:rPr>
      </w:pPr>
      <w:r>
        <w:rPr>
          <w:rFonts w:hint="eastAsia" w:ascii="方正小标宋简体" w:hAnsi="方正小标宋简体" w:eastAsia="方正小标宋简体" w:cs="方正小标宋简体"/>
          <w:kern w:val="2"/>
          <w:sz w:val="44"/>
          <w:szCs w:val="44"/>
          <w:shd w:val="clear" w:fill="FFFFFF"/>
          <w:lang w:val="en-US" w:eastAsia="zh-CN" w:bidi="ar"/>
        </w:rPr>
        <w:t>部门整体支出预算绩效自评报告</w:t>
      </w:r>
    </w:p>
    <w:p w14:paraId="40ED4C1B">
      <w:pPr>
        <w:keepNext w:val="0"/>
        <w:keepLines w:val="0"/>
        <w:widowControl/>
        <w:suppressLineNumbers w:val="0"/>
        <w:spacing w:before="0" w:beforeAutospacing="0" w:after="0" w:afterAutospacing="0" w:line="580" w:lineRule="exact"/>
        <w:ind w:left="0" w:right="0"/>
        <w:contextualSpacing/>
        <w:jc w:val="center"/>
        <w:rPr>
          <w:rFonts w:hint="eastAsia" w:ascii="方正小标宋简体" w:hAnsi="Times New Roman" w:eastAsia="方正小标宋简体" w:cs="Times New Roman"/>
          <w:kern w:val="2"/>
          <w:sz w:val="44"/>
          <w:szCs w:val="44"/>
          <w:shd w:val="clear" w:fill="FFFFFF"/>
        </w:rPr>
      </w:pPr>
      <w:r>
        <w:rPr>
          <w:rFonts w:hint="eastAsia" w:ascii="仿宋_GB2312" w:hAnsi="宋体" w:eastAsia="仿宋_GB2312" w:cs="仿宋_GB2312"/>
          <w:kern w:val="2"/>
          <w:sz w:val="32"/>
          <w:szCs w:val="32"/>
          <w:shd w:val="clear" w:fill="FFFFFF"/>
          <w:lang w:val="en-US" w:eastAsia="zh-CN" w:bidi="ar"/>
        </w:rPr>
        <w:t>（县行政审批和数据局）</w:t>
      </w:r>
    </w:p>
    <w:p w14:paraId="2A7BC5FC">
      <w:pPr>
        <w:keepNext w:val="0"/>
        <w:keepLines w:val="0"/>
        <w:widowControl/>
        <w:suppressLineNumbers w:val="0"/>
        <w:adjustRightInd w:val="0"/>
        <w:snapToGrid w:val="0"/>
        <w:spacing w:before="0" w:beforeAutospacing="0" w:after="0" w:afterAutospacing="0" w:line="580" w:lineRule="exact"/>
        <w:ind w:left="0" w:right="0" w:firstLine="660" w:firstLineChars="200"/>
        <w:contextualSpacing/>
        <w:jc w:val="center"/>
        <w:rPr>
          <w:rFonts w:hint="default" w:ascii="方正仿宋_GBK" w:hAnsi="宋体" w:eastAsia="方正仿宋_GBK" w:cs="宋体"/>
          <w:color w:val="000000"/>
          <w:kern w:val="0"/>
          <w:sz w:val="33"/>
          <w:szCs w:val="33"/>
          <w:shd w:val="clear" w:fill="FFFFFF"/>
        </w:rPr>
      </w:pPr>
      <w:r>
        <w:rPr>
          <w:rFonts w:hint="default" w:ascii="方正仿宋_GBK" w:hAnsi="宋体" w:eastAsia="方正仿宋_GBK" w:cs="宋体"/>
          <w:color w:val="000000"/>
          <w:kern w:val="0"/>
          <w:sz w:val="33"/>
          <w:szCs w:val="33"/>
          <w:shd w:val="clear" w:fill="FFFFFF"/>
          <w:lang w:val="en-US" w:eastAsia="zh-CN" w:bidi="ar"/>
        </w:rPr>
        <w:t xml:space="preserve"> </w:t>
      </w:r>
    </w:p>
    <w:p w14:paraId="45755E5E">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eastAsia" w:ascii="黑体" w:hAnsi="宋体" w:eastAsia="黑体" w:cs="宋体"/>
          <w:color w:val="000000"/>
          <w:kern w:val="0"/>
          <w:sz w:val="32"/>
          <w:szCs w:val="32"/>
          <w:shd w:val="clear" w:fill="FFFFFF"/>
        </w:rPr>
      </w:pPr>
      <w:r>
        <w:rPr>
          <w:rFonts w:hint="eastAsia" w:ascii="黑体" w:hAnsi="宋体" w:eastAsia="黑体" w:cs="黑体"/>
          <w:color w:val="000000"/>
          <w:kern w:val="0"/>
          <w:sz w:val="32"/>
          <w:szCs w:val="32"/>
          <w:shd w:val="clear" w:fill="FFFFFF"/>
          <w:lang w:val="en-US" w:eastAsia="zh-CN" w:bidi="ar"/>
        </w:rPr>
        <w:t>一、部门基本情况</w:t>
      </w:r>
    </w:p>
    <w:p w14:paraId="636EC42C">
      <w:pPr>
        <w:spacing w:line="600" w:lineRule="exact"/>
        <w:ind w:firstLine="640" w:firstLineChars="200"/>
        <w:outlineLvl w:val="2"/>
        <w:rPr>
          <w:rFonts w:hint="default" w:ascii="Times New Roman" w:hAnsi="Times New Roman" w:eastAsia="楷体_GB2312" w:cs="楷体_GB2312"/>
          <w:b w:val="0"/>
          <w:bCs/>
          <w:color w:val="auto"/>
          <w:sz w:val="32"/>
          <w:szCs w:val="32"/>
          <w:highlight w:val="none"/>
        </w:rPr>
      </w:pPr>
      <w:r>
        <w:rPr>
          <w:rFonts w:hint="default" w:ascii="Times New Roman" w:hAnsi="Times New Roman" w:eastAsia="楷体_GB2312" w:cs="楷体_GB2312"/>
          <w:b w:val="0"/>
          <w:bCs/>
          <w:color w:val="auto"/>
          <w:sz w:val="32"/>
          <w:szCs w:val="32"/>
          <w:highlight w:val="none"/>
          <w:lang w:val="en-US" w:eastAsia="zh-CN"/>
        </w:rPr>
        <w:t>（一）机构组成</w:t>
      </w:r>
    </w:p>
    <w:p w14:paraId="3F0B439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峨边彝族自治县行政审批数据局内设一室四股，分别是办公室、政务服务股、项目推进股、社会事务股、数字经济股。</w:t>
      </w:r>
    </w:p>
    <w:p w14:paraId="3E94FC83">
      <w:pPr>
        <w:spacing w:line="600" w:lineRule="exact"/>
        <w:ind w:firstLine="640" w:firstLineChars="200"/>
        <w:outlineLvl w:val="2"/>
        <w:rPr>
          <w:rFonts w:hint="default" w:ascii="Times New Roman" w:hAnsi="Times New Roman" w:eastAsia="楷体_GB2312" w:cs="楷体_GB2312"/>
          <w:b w:val="0"/>
          <w:bCs/>
          <w:color w:val="auto"/>
          <w:sz w:val="32"/>
          <w:szCs w:val="32"/>
          <w:highlight w:val="none"/>
          <w:lang w:val="en-US" w:eastAsia="zh-CN"/>
        </w:rPr>
      </w:pPr>
      <w:r>
        <w:rPr>
          <w:rFonts w:hint="eastAsia" w:ascii="Times New Roman" w:hAnsi="Times New Roman" w:eastAsia="楷体_GB2312" w:cs="楷体_GB2312"/>
          <w:b w:val="0"/>
          <w:bCs/>
          <w:color w:val="auto"/>
          <w:sz w:val="32"/>
          <w:szCs w:val="32"/>
          <w:highlight w:val="none"/>
          <w:lang w:val="en-US" w:eastAsia="zh-CN"/>
        </w:rPr>
        <w:t>（二）</w:t>
      </w:r>
      <w:r>
        <w:rPr>
          <w:rFonts w:hint="default" w:ascii="Times New Roman" w:hAnsi="Times New Roman" w:eastAsia="楷体_GB2312" w:cs="楷体_GB2312"/>
          <w:b w:val="0"/>
          <w:bCs/>
          <w:color w:val="auto"/>
          <w:sz w:val="32"/>
          <w:szCs w:val="32"/>
          <w:highlight w:val="none"/>
          <w:lang w:val="en-US" w:eastAsia="zh-CN"/>
        </w:rPr>
        <w:t>机构职能和人员概况</w:t>
      </w:r>
    </w:p>
    <w:p w14:paraId="52D4E60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负责贯彻落实党中央关于优化政务服务、提升行政效能、数字经济发展和信息化建设工作的方针政策和省委、市委、县委的决策部署，在履行职责过程中坚持和加强党中央集中统一领导。聚焦政务服务和数字经济建设两大领域，优化政务服务、提升行政效能，推动线上线下融合发展；协调推进全县数字经济和信息化基础设施、“互联网+”建设，指导智慧城市和数字政府建设，实现办事方式多元化、办事流程最优化、办事材料最简化、办事成本最小化，形成便捷高效的政务服务体系，最大限度利企便民，激发经济社会发展动力。县行政审批数据局现有人员23人，其中：公务员12人， 事业11人。</w:t>
      </w:r>
    </w:p>
    <w:p w14:paraId="74F4CD42">
      <w:pPr>
        <w:keepNext w:val="0"/>
        <w:keepLines w:val="0"/>
        <w:widowControl/>
        <w:numPr>
          <w:ilvl w:val="0"/>
          <w:numId w:val="0"/>
        </w:numPr>
        <w:suppressLineNumbers w:val="0"/>
        <w:adjustRightInd w:val="0"/>
        <w:snapToGrid w:val="0"/>
        <w:spacing w:before="0" w:beforeAutospacing="0" w:after="0" w:afterAutospacing="0" w:line="580" w:lineRule="exact"/>
        <w:ind w:leftChars="200" w:right="0" w:rightChars="0"/>
        <w:contextualSpacing/>
        <w:jc w:val="left"/>
        <w:rPr>
          <w:rFonts w:hint="default" w:ascii="楷体_GB2312" w:hAnsi="宋体" w:eastAsia="楷体_GB2312" w:cs="宋体"/>
          <w:color w:val="000000"/>
          <w:kern w:val="0"/>
          <w:sz w:val="32"/>
          <w:szCs w:val="32"/>
          <w:shd w:val="clear" w:fill="FFFFFF"/>
        </w:rPr>
      </w:pPr>
      <w:r>
        <w:rPr>
          <w:rFonts w:hint="eastAsia" w:ascii="Times New Roman" w:hAnsi="Times New Roman" w:eastAsia="楷体_GB2312" w:cs="楷体_GB2312"/>
          <w:b w:val="0"/>
          <w:bCs/>
          <w:color w:val="auto"/>
          <w:sz w:val="32"/>
          <w:szCs w:val="32"/>
          <w:highlight w:val="none"/>
          <w:lang w:val="en-US" w:eastAsia="zh-CN"/>
        </w:rPr>
        <w:t>（三）</w:t>
      </w:r>
      <w:r>
        <w:rPr>
          <w:rFonts w:hint="default" w:ascii="Times New Roman" w:hAnsi="Times New Roman" w:eastAsia="楷体_GB2312" w:cs="楷体_GB2312"/>
          <w:b w:val="0"/>
          <w:bCs/>
          <w:color w:val="auto"/>
          <w:sz w:val="32"/>
          <w:szCs w:val="32"/>
          <w:highlight w:val="none"/>
          <w:lang w:val="en-US" w:eastAsia="zh-CN"/>
        </w:rPr>
        <w:t>年度主要工作任务</w:t>
      </w:r>
    </w:p>
    <w:p w14:paraId="0AB39463">
      <w:pPr>
        <w:keepNext w:val="0"/>
        <w:keepLines w:val="0"/>
        <w:widowControl/>
        <w:numPr>
          <w:ilvl w:val="0"/>
          <w:numId w:val="1"/>
        </w:numPr>
        <w:suppressLineNumbers w:val="0"/>
        <w:autoSpaceDE w:val="0"/>
        <w:autoSpaceDN/>
        <w:spacing w:before="0" w:beforeAutospacing="0" w:after="0" w:afterAutospacing="0" w:line="600" w:lineRule="exact"/>
        <w:ind w:left="0" w:leftChars="0" w:right="0" w:firstLine="640" w:firstLineChars="200"/>
        <w:jc w:val="left"/>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政务服务工作</w:t>
      </w:r>
    </w:p>
    <w:p w14:paraId="21C6634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（1）高效运行政务服务一体化平台。2024年全县共在省一体化政务服务平台上受理办件2.8万件。</w:t>
      </w:r>
    </w:p>
    <w:p w14:paraId="6F07225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（2）动态调整行政权力事项。指导13个乡镇便民中心结合本地实际规范优化进驻政务服务事项，目前各中心平均进驻事项255项。</w:t>
      </w:r>
    </w:p>
    <w:p w14:paraId="7A12EEC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（3）规范建设乡镇便民服务中心。成功申报4个省星级便民服务中心创建试点，通过定期实地指导、组织乡镇集中会审等方式，有序推进创建工作。</w:t>
      </w:r>
    </w:p>
    <w:p w14:paraId="1F6E125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不断提升政务服务质效。更新完善13件“高效办成一件事”办事指南，截至目前全部完成线上配置，受理事项2066件。成立惠企政策“直达快享”专班，依托省一体化政务服务平台认领编辑省市惠企政策142项，发布县本级惠企政策2项。</w:t>
      </w:r>
    </w:p>
    <w:p w14:paraId="4871739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开展已划转许可事项办理。办理林业事项2200件；办理水务事项72件；登记市场主体1806户，注销市场主体538户；核发食品经营许可证76个，注销29个；办理涉农事项728件；办理卫健事项718件；接待各类档案查询552次，信息比对查询5929件次。</w:t>
      </w:r>
    </w:p>
    <w:p w14:paraId="012C791F">
      <w:pPr>
        <w:keepNext w:val="0"/>
        <w:keepLines w:val="0"/>
        <w:widowControl/>
        <w:suppressLineNumbers w:val="0"/>
        <w:autoSpaceDE w:val="0"/>
        <w:autoSpaceDN/>
        <w:spacing w:before="0" w:beforeAutospacing="0" w:after="0" w:afterAutospacing="0" w:line="600" w:lineRule="exact"/>
        <w:ind w:left="0" w:leftChars="0" w:right="0" w:firstLine="640" w:firstLineChars="200"/>
        <w:jc w:val="left"/>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2.数字赋能工作</w:t>
      </w:r>
    </w:p>
    <w:p w14:paraId="4318DB0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着力构建智慧城市管理体系。围绕数字峨边“2+2”建设框架体系，开展智慧城市管理体系项目建设。布局城市大脑建设，组织专业团队对接各业务部门，汇集各项基础数据，部署建设时空地理信息、视频融合解析、融合通信、物联感知等多个平台。</w:t>
      </w:r>
    </w:p>
    <w:p w14:paraId="7D690CC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有序推进新型基础设施一张网。一是每周调度项目推进情况，对全县现有各类感知源1483个点位定位上图，对全县15个部门，500个规划点位统筹规划上图，形成新型基础设施一张网项目同规划、同部署，齐抓共管的格局。</w:t>
      </w:r>
    </w:p>
    <w:p w14:paraId="1F0FDEA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加强网络基础设施建设。实现村民小组光纤宽带通达率100%，新改建4G、5G基站34座。规范整改通信线路，组织运营商迁改机箱2处，光交缆线入地20根，天际线整治点位220余个，排查处理存在安全隐患通信杆体40根。</w:t>
      </w:r>
    </w:p>
    <w:p w14:paraId="7966200C">
      <w:pPr>
        <w:keepNext w:val="0"/>
        <w:keepLines w:val="0"/>
        <w:widowControl/>
        <w:numPr>
          <w:ilvl w:val="0"/>
          <w:numId w:val="0"/>
        </w:numPr>
        <w:suppressLineNumbers w:val="0"/>
        <w:adjustRightInd w:val="0"/>
        <w:snapToGrid w:val="0"/>
        <w:spacing w:before="0" w:beforeAutospacing="0" w:after="0" w:afterAutospacing="0" w:line="580" w:lineRule="exact"/>
        <w:ind w:leftChars="200" w:right="0" w:rightChars="0"/>
        <w:contextualSpacing/>
        <w:jc w:val="left"/>
        <w:rPr>
          <w:rFonts w:hint="default" w:ascii="Times New Roman" w:hAnsi="Times New Roman" w:eastAsia="楷体_GB2312" w:cs="楷体_GB2312"/>
          <w:b w:val="0"/>
          <w:bCs/>
          <w:color w:val="auto"/>
          <w:sz w:val="32"/>
          <w:szCs w:val="32"/>
          <w:highlight w:val="none"/>
          <w:lang w:val="en-US" w:eastAsia="zh-CN"/>
        </w:rPr>
      </w:pPr>
      <w:r>
        <w:rPr>
          <w:rFonts w:hint="default" w:ascii="Times New Roman" w:hAnsi="Times New Roman" w:eastAsia="楷体_GB2312" w:cs="楷体_GB2312"/>
          <w:b w:val="0"/>
          <w:bCs/>
          <w:color w:val="auto"/>
          <w:sz w:val="32"/>
          <w:szCs w:val="32"/>
          <w:highlight w:val="none"/>
          <w:lang w:val="en-US" w:eastAsia="zh-CN"/>
        </w:rPr>
        <w:t>（四）部门整体支出绩效目标</w:t>
      </w:r>
    </w:p>
    <w:p w14:paraId="2295157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1.保障机关人员经费开支；</w:t>
      </w:r>
    </w:p>
    <w:p w14:paraId="75D9BE5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2.保障政务服务相关网络平台运行；</w:t>
      </w:r>
    </w:p>
    <w:p w14:paraId="2C94186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3.受理办理行政审批及公共服务事项；</w:t>
      </w:r>
    </w:p>
    <w:p w14:paraId="57E7F8E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4.提升政务服务质效；</w:t>
      </w:r>
    </w:p>
    <w:p w14:paraId="1F1E5296">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eastAsia" w:ascii="黑体" w:hAnsi="宋体" w:eastAsia="黑体" w:cs="宋体"/>
          <w:color w:val="000000"/>
          <w:kern w:val="0"/>
          <w:sz w:val="32"/>
          <w:szCs w:val="32"/>
          <w:shd w:val="clear" w:fill="FFFFFF"/>
        </w:rPr>
      </w:pPr>
      <w:r>
        <w:rPr>
          <w:rFonts w:hint="eastAsia" w:ascii="黑体" w:hAnsi="宋体" w:eastAsia="黑体" w:cs="黑体"/>
          <w:color w:val="000000"/>
          <w:kern w:val="0"/>
          <w:sz w:val="32"/>
          <w:szCs w:val="32"/>
          <w:shd w:val="clear" w:fill="FFFFFF"/>
          <w:lang w:val="en-US" w:eastAsia="zh-CN" w:bidi="ar"/>
        </w:rPr>
        <w:t>二、部门财政资金收支情况</w:t>
      </w:r>
    </w:p>
    <w:p w14:paraId="446EA631">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楷体_GB2312" w:hAnsi="宋体" w:eastAsia="楷体_GB2312" w:cs="宋体"/>
          <w:color w:val="000000"/>
          <w:kern w:val="0"/>
          <w:sz w:val="32"/>
          <w:szCs w:val="32"/>
          <w:shd w:val="clear" w:fill="FFFFFF"/>
        </w:rPr>
      </w:pPr>
      <w:r>
        <w:rPr>
          <w:rFonts w:hint="default" w:ascii="Times New Roman" w:hAnsi="Times New Roman" w:eastAsia="楷体_GB2312" w:cs="楷体_GB2312"/>
          <w:b w:val="0"/>
          <w:bCs/>
          <w:color w:val="auto"/>
          <w:sz w:val="32"/>
          <w:szCs w:val="32"/>
          <w:highlight w:val="none"/>
          <w:lang w:val="en-US" w:eastAsia="zh-CN"/>
        </w:rPr>
        <w:t>（一）部门财政资金收入情况。</w:t>
      </w:r>
    </w:p>
    <w:p w14:paraId="1A633D7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行政审批数据局2024年财政拨款预算收入917.27万元，其中上级资金0万元，县级资金917.27万元。</w:t>
      </w:r>
    </w:p>
    <w:p w14:paraId="0DA2C386">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Times New Roman" w:hAnsi="Times New Roman" w:eastAsia="楷体_GB2312" w:cs="楷体_GB2312"/>
          <w:b w:val="0"/>
          <w:bCs/>
          <w:color w:val="auto"/>
          <w:sz w:val="32"/>
          <w:szCs w:val="32"/>
          <w:highlight w:val="none"/>
          <w:lang w:val="en-US" w:eastAsia="zh-CN"/>
        </w:rPr>
      </w:pPr>
      <w:r>
        <w:rPr>
          <w:rFonts w:hint="eastAsia" w:ascii="Times New Roman" w:hAnsi="Times New Roman" w:eastAsia="楷体_GB2312" w:cs="楷体_GB2312"/>
          <w:b w:val="0"/>
          <w:bCs/>
          <w:color w:val="auto"/>
          <w:sz w:val="32"/>
          <w:szCs w:val="32"/>
          <w:highlight w:val="none"/>
          <w:lang w:val="en-US" w:eastAsia="zh-CN"/>
        </w:rPr>
        <w:t>（二）</w:t>
      </w:r>
      <w:r>
        <w:rPr>
          <w:rFonts w:hint="default" w:ascii="Times New Roman" w:hAnsi="Times New Roman" w:eastAsia="楷体_GB2312" w:cs="楷体_GB2312"/>
          <w:b w:val="0"/>
          <w:bCs/>
          <w:color w:val="auto"/>
          <w:sz w:val="32"/>
          <w:szCs w:val="32"/>
          <w:highlight w:val="none"/>
          <w:lang w:val="en-US" w:eastAsia="zh-CN"/>
        </w:rPr>
        <w:t>部门财政资金支出情况。</w:t>
      </w:r>
    </w:p>
    <w:p w14:paraId="562627C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基本支出564.51万元，项目支出352.76万元，其中项目3个，具体支出为：便民服务体系建设专项经费24.69万元；全县信息化建设项目327.07万元；城乡融合重大项目前期工作经费1万元。</w:t>
      </w:r>
    </w:p>
    <w:p w14:paraId="27AB8B12">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Times New Roman" w:hAnsi="Times New Roman" w:eastAsia="楷体_GB2312" w:cs="楷体_GB2312"/>
          <w:b w:val="0"/>
          <w:bCs/>
          <w:color w:val="auto"/>
          <w:sz w:val="32"/>
          <w:szCs w:val="32"/>
          <w:highlight w:val="none"/>
          <w:lang w:val="en-US" w:eastAsia="zh-CN"/>
        </w:rPr>
      </w:pPr>
      <w:r>
        <w:rPr>
          <w:rFonts w:hint="eastAsia" w:ascii="Times New Roman" w:hAnsi="Times New Roman" w:eastAsia="楷体_GB2312" w:cs="楷体_GB2312"/>
          <w:b w:val="0"/>
          <w:bCs/>
          <w:color w:val="auto"/>
          <w:sz w:val="32"/>
          <w:szCs w:val="32"/>
          <w:highlight w:val="none"/>
          <w:lang w:val="en-US" w:eastAsia="zh-CN"/>
        </w:rPr>
        <w:t>（三）</w:t>
      </w:r>
      <w:r>
        <w:rPr>
          <w:rFonts w:hint="default" w:ascii="Times New Roman" w:hAnsi="Times New Roman" w:eastAsia="楷体_GB2312" w:cs="楷体_GB2312"/>
          <w:b w:val="0"/>
          <w:bCs/>
          <w:color w:val="auto"/>
          <w:sz w:val="32"/>
          <w:szCs w:val="32"/>
          <w:highlight w:val="none"/>
          <w:lang w:val="en-US" w:eastAsia="zh-CN"/>
        </w:rPr>
        <w:t>部门财政资金结转结余情况。</w:t>
      </w:r>
    </w:p>
    <w:p w14:paraId="09D0FC8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2024年本部门资金无结转结余。</w:t>
      </w:r>
    </w:p>
    <w:p w14:paraId="706BECA1">
      <w:pPr>
        <w:keepNext w:val="0"/>
        <w:keepLines w:val="0"/>
        <w:widowControl/>
        <w:numPr>
          <w:ilvl w:val="0"/>
          <w:numId w:val="2"/>
        </w:numPr>
        <w:suppressLineNumbers w:val="0"/>
        <w:adjustRightInd w:val="0"/>
        <w:snapToGrid w:val="0"/>
        <w:spacing w:before="0" w:beforeAutospacing="0" w:after="0" w:afterAutospacing="0" w:line="580" w:lineRule="exact"/>
        <w:ind w:left="0" w:right="0" w:firstLine="640" w:firstLineChars="200"/>
        <w:contextualSpacing/>
        <w:jc w:val="left"/>
        <w:rPr>
          <w:rFonts w:hint="eastAsia" w:ascii="黑体" w:hAnsi="宋体" w:eastAsia="黑体" w:cs="宋体"/>
          <w:color w:val="000000"/>
          <w:kern w:val="0"/>
          <w:sz w:val="32"/>
          <w:szCs w:val="32"/>
          <w:shd w:val="clear" w:fill="FFFFFF"/>
        </w:rPr>
      </w:pPr>
      <w:r>
        <w:rPr>
          <w:rFonts w:hint="eastAsia" w:ascii="黑体" w:hAnsi="宋体" w:eastAsia="黑体" w:cs="黑体"/>
          <w:color w:val="000000"/>
          <w:kern w:val="0"/>
          <w:sz w:val="32"/>
          <w:szCs w:val="32"/>
          <w:shd w:val="clear" w:fill="FFFFFF"/>
          <w:lang w:val="en-US" w:eastAsia="zh-CN" w:bidi="ar"/>
        </w:rPr>
        <w:t>部门整体绩效管理情况</w:t>
      </w:r>
    </w:p>
    <w:p w14:paraId="412C72E3">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楷体_GB2312" w:cs="楷体_GB2312"/>
          <w:b w:val="0"/>
          <w:bCs/>
          <w:color w:val="auto"/>
          <w:sz w:val="32"/>
          <w:szCs w:val="32"/>
          <w:highlight w:val="none"/>
          <w:lang w:val="en-US" w:eastAsia="zh-CN"/>
        </w:rPr>
        <w:t>（一）部门整体履职绩效分析。</w:t>
      </w:r>
      <w:r>
        <w:rPr>
          <w:rFonts w:hint="eastAsia" w:ascii="仿宋_GB2312" w:hAnsi="仿宋_GB2312" w:eastAsia="仿宋_GB2312" w:cs="仿宋_GB2312"/>
          <w:color w:val="auto"/>
          <w:kern w:val="2"/>
          <w:sz w:val="32"/>
          <w:szCs w:val="32"/>
          <w:highlight w:val="none"/>
          <w:lang w:val="en-US" w:eastAsia="zh-CN" w:bidi="ar-SA"/>
        </w:rPr>
        <w:t>围绕部门整体绩效目标完成情况和部门履职情况进行绩效分析。</w:t>
      </w:r>
    </w:p>
    <w:p w14:paraId="469F5FCB">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宋体" w:cs="仿宋_GB2312"/>
          <w:kern w:val="2"/>
          <w:sz w:val="32"/>
          <w:szCs w:val="32"/>
          <w:shd w:val="clear" w:fill="FFFFFF"/>
        </w:rPr>
      </w:pPr>
      <w:r>
        <w:rPr>
          <w:rFonts w:hint="eastAsia" w:ascii="仿宋_GB2312" w:hAnsi="宋体" w:eastAsia="仿宋_GB2312" w:cs="仿宋_GB2312"/>
          <w:kern w:val="0"/>
          <w:sz w:val="32"/>
          <w:szCs w:val="32"/>
          <w:shd w:val="clear" w:fill="FFFFFF"/>
          <w:lang w:val="en-US" w:eastAsia="zh-CN" w:bidi="ar"/>
        </w:rPr>
        <w:t>1.</w:t>
      </w:r>
      <w:r>
        <w:rPr>
          <w:rFonts w:hint="default" w:ascii="楷体_GB2312" w:hAnsi="宋体" w:eastAsia="楷体_GB2312" w:cs="楷体_GB2312"/>
          <w:kern w:val="0"/>
          <w:sz w:val="32"/>
          <w:szCs w:val="32"/>
          <w:shd w:val="clear" w:fill="FFFFFF"/>
          <w:lang w:val="en-US" w:eastAsia="zh-CN" w:bidi="ar"/>
        </w:rPr>
        <w:t>绩效目标制定情况</w:t>
      </w:r>
    </w:p>
    <w:p w14:paraId="22EEC04B">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行政审批数据局严格按照预算编制通知和有关要求，对部门内部绩效目标进行审核，对部门2024年工作目标在数量、质量、时效、成本、社会效益、可持续影响和社会满意度方面作出了具体明确的要求。</w:t>
      </w:r>
    </w:p>
    <w:p w14:paraId="33C9744F">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Times New Roman" w:eastAsia="宋体"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w:t>
      </w:r>
      <w:r>
        <w:rPr>
          <w:rFonts w:hint="default" w:ascii="楷体_GB2312" w:hAnsi="宋体" w:eastAsia="楷体_GB2312" w:cs="楷体_GB2312"/>
          <w:kern w:val="0"/>
          <w:sz w:val="32"/>
          <w:szCs w:val="32"/>
          <w:shd w:val="clear" w:fill="FFFFFF"/>
          <w:lang w:val="en-US" w:eastAsia="zh-CN" w:bidi="ar"/>
        </w:rPr>
        <w:t>绩效目标实现情况</w:t>
      </w:r>
    </w:p>
    <w:p w14:paraId="0A0BBED6">
      <w:pPr>
        <w:pStyle w:val="16"/>
        <w:keepNext w:val="0"/>
        <w:keepLines w:val="0"/>
        <w:widowControl/>
        <w:suppressLineNumbers w:val="0"/>
        <w:shd w:val="clear" w:fill="FFFFFF"/>
        <w:spacing w:before="0" w:beforeAutospacing="1" w:after="0" w:afterAutospacing="1" w:line="576" w:lineRule="atLeast"/>
        <w:ind w:left="0" w:right="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s="仿宋"/>
          <w:kern w:val="2"/>
          <w:sz w:val="32"/>
          <w:szCs w:val="32"/>
          <w:shd w:val="clear" w:fill="FFFFFF"/>
          <w:lang w:val="en-US" w:eastAsia="zh-CN" w:bidi="ar"/>
        </w:rPr>
        <w:t xml:space="preserve">  </w:t>
      </w:r>
      <w:r>
        <w:rPr>
          <w:rFonts w:hint="eastAsia" w:ascii="仿宋_GB2312" w:hAnsi="仿宋_GB2312" w:eastAsia="仿宋_GB2312" w:cs="仿宋_GB2312"/>
          <w:color w:val="auto"/>
          <w:kern w:val="2"/>
          <w:sz w:val="32"/>
          <w:szCs w:val="32"/>
          <w:highlight w:val="none"/>
          <w:lang w:val="en-US" w:eastAsia="zh-CN" w:bidi="ar-SA"/>
        </w:rPr>
        <w:t xml:space="preserve"> 行政审批数据局较好地完成了部门2024年目标任务，有效保障了各网格平台的正常运行，其目标完成情况与年初绩效保持一致。</w:t>
      </w:r>
    </w:p>
    <w:p w14:paraId="61748193">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Times New Roman" w:eastAsia="宋体"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w:t>
      </w:r>
      <w:r>
        <w:rPr>
          <w:rFonts w:hint="default" w:ascii="楷体_GB2312" w:hAnsi="宋体" w:eastAsia="楷体_GB2312" w:cs="楷体_GB2312"/>
          <w:kern w:val="0"/>
          <w:sz w:val="32"/>
          <w:szCs w:val="32"/>
          <w:shd w:val="clear" w:fill="FFFFFF"/>
          <w:lang w:val="en-US" w:eastAsia="zh-CN" w:bidi="ar"/>
        </w:rPr>
        <w:t>支出控制情况</w:t>
      </w:r>
    </w:p>
    <w:p w14:paraId="26BB2380">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严格实行领导负责制，坚决按内控制度要求和操作流程办理各项业务，对重大经济事项，坚持依法、科学、民主决策，坚持以局党组会议讨论通过确认实施。坚持勤俭节约，不铺张浪费，合理使用资金。</w:t>
      </w:r>
    </w:p>
    <w:p w14:paraId="2BA7DCCD">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default" w:ascii="楷体_GB2312" w:hAnsi="宋体" w:eastAsia="楷体_GB2312" w:cs="宋体"/>
          <w:kern w:val="0"/>
          <w:sz w:val="32"/>
          <w:szCs w:val="32"/>
          <w:shd w:val="clear" w:fill="FFFFFF"/>
        </w:rPr>
      </w:pPr>
      <w:r>
        <w:rPr>
          <w:rFonts w:hint="default" w:ascii="楷体_GB2312" w:hAnsi="宋体" w:eastAsia="楷体_GB2312" w:cs="楷体_GB2312"/>
          <w:kern w:val="0"/>
          <w:sz w:val="32"/>
          <w:szCs w:val="32"/>
          <w:shd w:val="clear" w:fill="FFFFFF"/>
          <w:lang w:val="en-US" w:eastAsia="zh-CN" w:bidi="ar"/>
        </w:rPr>
        <w:t>4.预算执行进行及完成情况</w:t>
      </w:r>
    </w:p>
    <w:p w14:paraId="546C65CB">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按照预算编制要求，我单位严格执行中央八项规定和省、市十项规定，厉行节约规范使用预算资金。收入上，严格执行 “收支两条线”管理制度，按规定使用非税票据并直接缴入国库，无隐瞒收入和其他违反国家收费管理规定的行为。在支出管理中， 认真执行国库集中支付、政府采购、重点工作和大额支付上会集体决策等相关财务管理制度。认真做好每月与银行对账工作，加强动态监控，保障机关各项工作顺利开展。2024年公务接待费支出0.45万元，完成预算0.5%。主要原因是贯彻执行中央八项规定和省委、省政府十项规定，坚决杜绝奢侈浪费，厉行节约，有效控制公务接待费用。2024年无因公出国（境）经费和公务用车购置及运行维护费支出。</w:t>
      </w:r>
    </w:p>
    <w:p w14:paraId="04985065">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default" w:ascii="楷体_GB2312" w:hAnsi="宋体" w:eastAsia="楷体_GB2312" w:cs="宋体"/>
          <w:kern w:val="0"/>
          <w:sz w:val="32"/>
          <w:szCs w:val="32"/>
          <w:shd w:val="clear" w:fill="FFFFFF"/>
        </w:rPr>
      </w:pPr>
      <w:r>
        <w:rPr>
          <w:rFonts w:hint="default" w:ascii="楷体_GB2312" w:hAnsi="宋体" w:eastAsia="楷体_GB2312" w:cs="楷体_GB2312"/>
          <w:kern w:val="0"/>
          <w:sz w:val="32"/>
          <w:szCs w:val="32"/>
          <w:shd w:val="clear" w:fill="FFFFFF"/>
          <w:lang w:val="en-US" w:eastAsia="zh-CN" w:bidi="ar"/>
        </w:rPr>
        <w:t>5.违规记录情况。</w:t>
      </w:r>
    </w:p>
    <w:p w14:paraId="6209842A">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14:paraId="38F49558">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eastAsia" w:ascii="Times New Roman" w:hAnsi="Times New Roman" w:eastAsia="楷体_GB2312" w:cs="楷体_GB2312"/>
          <w:b w:val="0"/>
          <w:bCs/>
          <w:color w:val="auto"/>
          <w:sz w:val="32"/>
          <w:szCs w:val="32"/>
          <w:highlight w:val="none"/>
          <w:lang w:val="en-US" w:eastAsia="zh-CN"/>
        </w:rPr>
      </w:pPr>
      <w:r>
        <w:rPr>
          <w:rFonts w:hint="eastAsia" w:ascii="Times New Roman" w:hAnsi="Times New Roman" w:eastAsia="楷体_GB2312" w:cs="楷体_GB2312"/>
          <w:b w:val="0"/>
          <w:bCs/>
          <w:color w:val="auto"/>
          <w:sz w:val="32"/>
          <w:szCs w:val="32"/>
          <w:highlight w:val="none"/>
          <w:lang w:val="en-US" w:eastAsia="zh-CN"/>
        </w:rPr>
        <w:t>（二）</w:t>
      </w:r>
      <w:r>
        <w:rPr>
          <w:rFonts w:hint="default" w:ascii="Times New Roman" w:hAnsi="Times New Roman" w:eastAsia="楷体_GB2312" w:cs="楷体_GB2312"/>
          <w:b w:val="0"/>
          <w:bCs/>
          <w:color w:val="auto"/>
          <w:sz w:val="32"/>
          <w:szCs w:val="32"/>
          <w:highlight w:val="none"/>
          <w:lang w:val="en-US" w:eastAsia="zh-CN"/>
        </w:rPr>
        <w:t>特定目标类项目绩效分析。</w:t>
      </w:r>
    </w:p>
    <w:p w14:paraId="31A9D6B8">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default" w:ascii="楷体_GB2312" w:hAnsi="宋体" w:eastAsia="楷体_GB2312" w:cs="宋体"/>
          <w:kern w:val="0"/>
          <w:sz w:val="32"/>
          <w:szCs w:val="32"/>
          <w:shd w:val="clear" w:fill="FFFFFF"/>
        </w:rPr>
      </w:pPr>
      <w:r>
        <w:rPr>
          <w:rFonts w:hint="default" w:ascii="楷体_GB2312" w:hAnsi="宋体" w:eastAsia="楷体_GB2312" w:cs="楷体_GB2312"/>
          <w:kern w:val="0"/>
          <w:sz w:val="32"/>
          <w:szCs w:val="32"/>
          <w:shd w:val="clear" w:fill="FFFFFF"/>
          <w:lang w:val="en-US" w:eastAsia="zh-CN" w:bidi="ar"/>
        </w:rPr>
        <w:t>1.整体情况</w:t>
      </w:r>
    </w:p>
    <w:p w14:paraId="3999E4F8">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我单位预算项目三个：一是为增强行政机关人员服务意识，提升工作效率，塑造良好政府形象，有效保障服务大厅正常运转，高效运行政务服务一体化平台设立便民服务体系建设专项经费项目。二是为完成数据经济工作，着力构建智慧城市管理体系，有序推进新型基础设施一张网，加强网络基础设施建设和网络安全防护工作设立的全县信息化建设项目。三是为申请专项债项目，前期准备资料包含可研报告和实施方案等设立了城乡融合重大项目前期工作经费项目。</w:t>
      </w:r>
    </w:p>
    <w:p w14:paraId="315E6B1D">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default" w:ascii="楷体_GB2312" w:hAnsi="宋体" w:eastAsia="楷体_GB2312" w:cs="宋体"/>
          <w:kern w:val="0"/>
          <w:sz w:val="32"/>
          <w:szCs w:val="32"/>
          <w:shd w:val="clear" w:fill="FFFFFF"/>
        </w:rPr>
      </w:pPr>
      <w:r>
        <w:rPr>
          <w:rFonts w:hint="default" w:ascii="楷体_GB2312" w:hAnsi="宋体" w:eastAsia="楷体_GB2312" w:cs="楷体_GB2312"/>
          <w:kern w:val="0"/>
          <w:sz w:val="32"/>
          <w:szCs w:val="32"/>
          <w:shd w:val="clear" w:fill="FFFFFF"/>
          <w:lang w:val="en-US" w:eastAsia="zh-CN" w:bidi="ar"/>
        </w:rPr>
        <w:t>2.目标完成情况</w:t>
      </w:r>
    </w:p>
    <w:p w14:paraId="6F85591A">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便民服务体系建设专项经费项目预算25万元，调剂减少0.32万元，实际支付24.68万元。与预算基本持平。全县信息化建设项目预算327.07万元，实际支付327.07万元；城乡融合重大项目前期工作经费项目预算1万元，实际支付1万元。</w:t>
      </w:r>
    </w:p>
    <w:p w14:paraId="0A6A6E81">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default" w:ascii="楷体_GB2312" w:hAnsi="宋体" w:eastAsia="楷体_GB2312" w:cs="宋体"/>
          <w:kern w:val="0"/>
          <w:sz w:val="32"/>
          <w:szCs w:val="32"/>
          <w:shd w:val="clear" w:fill="FFFFFF"/>
        </w:rPr>
      </w:pPr>
      <w:r>
        <w:rPr>
          <w:rFonts w:hint="default" w:ascii="楷体_GB2312" w:hAnsi="宋体" w:eastAsia="楷体_GB2312" w:cs="楷体_GB2312"/>
          <w:kern w:val="0"/>
          <w:sz w:val="32"/>
          <w:szCs w:val="32"/>
          <w:shd w:val="clear" w:fill="FFFFFF"/>
          <w:lang w:val="en-US" w:eastAsia="zh-CN" w:bidi="ar"/>
        </w:rPr>
        <w:t>3.项目效果情况</w:t>
      </w:r>
    </w:p>
    <w:p w14:paraId="6E9A19B8">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项目资金得到及时调整足额划拨，有效保障了行政事项办理相关平台网络正常运行和政务服务大厅、数据经济工作等正常运行，增强了行政机关人员服务意识，提升了工作效率。</w:t>
      </w:r>
    </w:p>
    <w:p w14:paraId="07A189D5">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楷体_GB2312" w:cs="楷体_GB2312"/>
          <w:b w:val="0"/>
          <w:bCs/>
          <w:color w:val="auto"/>
          <w:sz w:val="32"/>
          <w:szCs w:val="32"/>
          <w:highlight w:val="none"/>
          <w:lang w:val="en-US" w:eastAsia="zh-CN"/>
        </w:rPr>
        <w:t>（三）部门预算项目支出情况分析。</w:t>
      </w:r>
      <w:r>
        <w:rPr>
          <w:rFonts w:hint="eastAsia" w:ascii="仿宋_GB2312" w:hAnsi="仿宋_GB2312" w:eastAsia="仿宋_GB2312" w:cs="仿宋_GB2312"/>
          <w:color w:val="auto"/>
          <w:kern w:val="2"/>
          <w:sz w:val="32"/>
          <w:szCs w:val="32"/>
          <w:highlight w:val="none"/>
          <w:lang w:val="en-US" w:eastAsia="zh-CN" w:bidi="ar-SA"/>
        </w:rPr>
        <w:t>根据《部门预算项目支出绩效自评表》自评结果逐项描述自评情况。</w:t>
      </w:r>
    </w:p>
    <w:p w14:paraId="047DA315">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我单位2024预算项目分别为：便民服务体系建设专项经费项目年初预算25万元，实际支付24.68，完成评审项目15个，权威性审查100%，即办件在1个工作日内完成，项目预算执行率达98.76%，项目自评得分100分。</w:t>
      </w:r>
    </w:p>
    <w:p w14:paraId="3D4A8024">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全县信息化建设项目预算327.07万元，实际支付327.07万元。</w:t>
      </w:r>
    </w:p>
    <w:p w14:paraId="076D2805">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城乡融合重大项目前期工作经费项目预算1万元，实际支付1万元。</w:t>
      </w:r>
    </w:p>
    <w:p w14:paraId="542146D7">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eastAsia" w:ascii="Times New Roman" w:hAnsi="Times New Roman" w:eastAsia="楷体_GB2312" w:cs="楷体_GB2312"/>
          <w:b w:val="0"/>
          <w:bCs/>
          <w:color w:val="auto"/>
          <w:sz w:val="32"/>
          <w:szCs w:val="32"/>
          <w:highlight w:val="none"/>
          <w:lang w:val="en-US" w:eastAsia="zh-CN"/>
        </w:rPr>
      </w:pPr>
      <w:r>
        <w:rPr>
          <w:rFonts w:hint="default" w:ascii="Times New Roman" w:hAnsi="Times New Roman" w:eastAsia="楷体_GB2312" w:cs="楷体_GB2312"/>
          <w:b w:val="0"/>
          <w:bCs/>
          <w:color w:val="auto"/>
          <w:sz w:val="32"/>
          <w:szCs w:val="32"/>
          <w:highlight w:val="none"/>
          <w:lang w:val="en-US" w:eastAsia="zh-CN"/>
        </w:rPr>
        <w:t>（四）结果应用情况</w:t>
      </w:r>
    </w:p>
    <w:p w14:paraId="101F8B60">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宋体" w:eastAsia="仿宋_GB2312" w:cs="宋体"/>
          <w:kern w:val="0"/>
          <w:sz w:val="32"/>
          <w:szCs w:val="32"/>
          <w:shd w:val="clear" w:fill="FFFFFF"/>
        </w:rPr>
      </w:pPr>
      <w:r>
        <w:rPr>
          <w:rFonts w:hint="eastAsia" w:ascii="仿宋_GB2312" w:hAnsi="宋体" w:eastAsia="仿宋_GB2312" w:cs="仿宋_GB2312"/>
          <w:kern w:val="0"/>
          <w:sz w:val="32"/>
          <w:szCs w:val="32"/>
          <w:shd w:val="clear" w:fill="FFFFFF"/>
          <w:lang w:val="en-US" w:eastAsia="zh-CN" w:bidi="ar"/>
        </w:rPr>
        <w:t>1.绩效自评公开</w:t>
      </w:r>
    </w:p>
    <w:p w14:paraId="62C046AB">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我单位严格按照县财政信息公开工作的统一安排部署，在规定时间内对2024年度部门整体支出绩效报告和2024年度部门整体支出绩效评价报告进行了主动公开。</w:t>
      </w:r>
    </w:p>
    <w:p w14:paraId="412C6987">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宋体" w:eastAsia="仿宋_GB2312" w:cs="宋体"/>
          <w:kern w:val="0"/>
          <w:sz w:val="32"/>
          <w:szCs w:val="32"/>
          <w:shd w:val="clear" w:fill="FFFFFF"/>
        </w:rPr>
      </w:pPr>
      <w:r>
        <w:rPr>
          <w:rFonts w:hint="eastAsia" w:ascii="仿宋_GB2312" w:hAnsi="宋体" w:eastAsia="仿宋_GB2312" w:cs="仿宋_GB2312"/>
          <w:kern w:val="0"/>
          <w:sz w:val="32"/>
          <w:szCs w:val="32"/>
          <w:shd w:val="clear" w:fill="FFFFFF"/>
          <w:lang w:val="en-US" w:eastAsia="zh-CN" w:bidi="ar"/>
        </w:rPr>
        <w:t>2.评价结果整改情况</w:t>
      </w:r>
    </w:p>
    <w:p w14:paraId="4EFBE0A1">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县行政审批数据局严格按照支出绩效指示评价内容，对照预决算编制、项目支出和内控执行逐项进行评价，从自评情况看，预决算编制合理，财务支出比较规范，部门整体支出绩效自评得分良好。</w:t>
      </w:r>
    </w:p>
    <w:p w14:paraId="39507770">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宋体" w:eastAsia="仿宋_GB2312" w:cs="宋体"/>
          <w:kern w:val="0"/>
          <w:sz w:val="32"/>
          <w:szCs w:val="32"/>
          <w:shd w:val="clear" w:fill="FFFFFF"/>
        </w:rPr>
      </w:pPr>
      <w:r>
        <w:rPr>
          <w:rFonts w:hint="eastAsia" w:ascii="仿宋_GB2312" w:hAnsi="宋体" w:eastAsia="仿宋_GB2312" w:cs="仿宋_GB2312"/>
          <w:kern w:val="0"/>
          <w:sz w:val="32"/>
          <w:szCs w:val="32"/>
          <w:shd w:val="clear" w:fill="FFFFFF"/>
          <w:lang w:val="en-US" w:eastAsia="zh-CN" w:bidi="ar"/>
        </w:rPr>
        <w:t>3.应用结果反馈情况</w:t>
      </w:r>
    </w:p>
    <w:p w14:paraId="010E932D">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我局严格按照相关要求，均在规定时间内向县财政部门报送各类报告报表，未有延迟报送情况。</w:t>
      </w:r>
    </w:p>
    <w:p w14:paraId="6BA15F6D">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eastAsia" w:ascii="黑体" w:hAnsi="宋体" w:eastAsia="黑体" w:cs="宋体"/>
          <w:color w:val="000000"/>
          <w:kern w:val="0"/>
          <w:sz w:val="32"/>
          <w:szCs w:val="32"/>
          <w:shd w:val="clear" w:fill="FFFFFF"/>
        </w:rPr>
      </w:pPr>
      <w:r>
        <w:rPr>
          <w:rFonts w:hint="eastAsia" w:ascii="黑体" w:hAnsi="宋体" w:eastAsia="黑体" w:cs="黑体"/>
          <w:color w:val="000000"/>
          <w:kern w:val="0"/>
          <w:sz w:val="32"/>
          <w:szCs w:val="32"/>
          <w:shd w:val="clear" w:fill="FFFFFF"/>
          <w:lang w:val="en-US" w:eastAsia="zh-CN" w:bidi="ar"/>
        </w:rPr>
        <w:t>五、评价结论及建议</w:t>
      </w:r>
    </w:p>
    <w:p w14:paraId="51510A69">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Times New Roman" w:hAnsi="Times New Roman" w:eastAsia="楷体_GB2312" w:cs="楷体_GB2312"/>
          <w:b w:val="0"/>
          <w:bCs/>
          <w:color w:val="auto"/>
          <w:sz w:val="32"/>
          <w:szCs w:val="32"/>
          <w:highlight w:val="none"/>
          <w:lang w:val="en-US" w:eastAsia="zh-CN"/>
        </w:rPr>
      </w:pPr>
      <w:r>
        <w:rPr>
          <w:rFonts w:hint="default" w:ascii="Times New Roman" w:hAnsi="Times New Roman" w:eastAsia="楷体_GB2312" w:cs="楷体_GB2312"/>
          <w:b w:val="0"/>
          <w:bCs/>
          <w:color w:val="auto"/>
          <w:sz w:val="32"/>
          <w:szCs w:val="32"/>
          <w:highlight w:val="none"/>
          <w:lang w:val="en-US" w:eastAsia="zh-CN"/>
        </w:rPr>
        <w:t>（一）评价结论</w:t>
      </w:r>
    </w:p>
    <w:p w14:paraId="23108185">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楷体_GB2312" w:hAnsi="宋体" w:eastAsia="楷体_GB2312" w:cs="宋体"/>
          <w:color w:val="000000"/>
          <w:kern w:val="0"/>
          <w:sz w:val="32"/>
          <w:szCs w:val="32"/>
          <w:shd w:val="clear" w:fill="FFFFFF"/>
        </w:rPr>
      </w:pPr>
      <w:r>
        <w:rPr>
          <w:rFonts w:hint="eastAsia" w:ascii="仿宋_GB2312" w:hAnsi="仿宋_GB2312" w:eastAsia="仿宋_GB2312" w:cs="仿宋_GB2312"/>
          <w:color w:val="auto"/>
          <w:kern w:val="2"/>
          <w:sz w:val="32"/>
          <w:szCs w:val="32"/>
          <w:highlight w:val="none"/>
          <w:lang w:val="en-US" w:eastAsia="zh-CN" w:bidi="ar-SA"/>
        </w:rPr>
        <w:t>根据《关于开展2024年度部门整体、项目支出预算绩效评价工作的通知》文件精神，我单位认真组织开展了部门整体支出绩效评价工作，绩效评价得分：98分。</w:t>
      </w:r>
    </w:p>
    <w:p w14:paraId="0F0991C0">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Times New Roman" w:hAnsi="Times New Roman" w:eastAsia="楷体_GB2312" w:cs="楷体_GB2312"/>
          <w:b w:val="0"/>
          <w:bCs/>
          <w:color w:val="auto"/>
          <w:sz w:val="32"/>
          <w:szCs w:val="32"/>
          <w:highlight w:val="none"/>
          <w:lang w:val="en-US" w:eastAsia="zh-CN"/>
        </w:rPr>
      </w:pPr>
      <w:r>
        <w:rPr>
          <w:rFonts w:hint="default" w:ascii="Times New Roman" w:hAnsi="Times New Roman" w:eastAsia="楷体_GB2312" w:cs="楷体_GB2312"/>
          <w:b w:val="0"/>
          <w:bCs/>
          <w:color w:val="auto"/>
          <w:sz w:val="32"/>
          <w:szCs w:val="32"/>
          <w:highlight w:val="none"/>
          <w:lang w:val="en-US" w:eastAsia="zh-CN"/>
        </w:rPr>
        <w:t>（二）存在问题</w:t>
      </w:r>
    </w:p>
    <w:p w14:paraId="5C826C2C">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楷体_GB2312" w:hAnsi="宋体" w:eastAsia="楷体_GB2312" w:cs="宋体"/>
          <w:color w:val="000000"/>
          <w:kern w:val="0"/>
          <w:sz w:val="32"/>
          <w:szCs w:val="32"/>
          <w:shd w:val="clear" w:fill="FFFFFF"/>
        </w:rPr>
      </w:pPr>
      <w:r>
        <w:rPr>
          <w:rFonts w:hint="eastAsia" w:ascii="仿宋_GB2312" w:hAnsi="仿宋_GB2312" w:eastAsia="仿宋_GB2312" w:cs="仿宋_GB2312"/>
          <w:color w:val="auto"/>
          <w:kern w:val="2"/>
          <w:sz w:val="32"/>
          <w:szCs w:val="32"/>
          <w:highlight w:val="none"/>
          <w:lang w:val="en-US" w:eastAsia="zh-CN" w:bidi="ar-SA"/>
        </w:rPr>
        <w:t>存在预算编制不够完善，财务管理工作不够规范等问题。</w:t>
      </w:r>
    </w:p>
    <w:p w14:paraId="6785B0A5">
      <w:pPr>
        <w:keepNext w:val="0"/>
        <w:keepLines w:val="0"/>
        <w:widowControl/>
        <w:suppressLineNumbers w:val="0"/>
        <w:adjustRightInd w:val="0"/>
        <w:snapToGrid w:val="0"/>
        <w:spacing w:before="0" w:beforeAutospacing="0" w:after="0" w:afterAutospacing="0" w:line="580" w:lineRule="exact"/>
        <w:ind w:left="0" w:right="0" w:firstLine="640" w:firstLineChars="200"/>
        <w:contextualSpacing/>
        <w:jc w:val="left"/>
        <w:rPr>
          <w:rFonts w:hint="default" w:ascii="Times New Roman" w:hAnsi="Times New Roman" w:eastAsia="楷体_GB2312" w:cs="楷体_GB2312"/>
          <w:b w:val="0"/>
          <w:bCs/>
          <w:color w:val="auto"/>
          <w:sz w:val="32"/>
          <w:szCs w:val="32"/>
          <w:highlight w:val="none"/>
          <w:lang w:val="en-US" w:eastAsia="zh-CN"/>
        </w:rPr>
      </w:pPr>
      <w:r>
        <w:rPr>
          <w:rFonts w:hint="eastAsia" w:ascii="Times New Roman" w:hAnsi="Times New Roman" w:eastAsia="楷体_GB2312" w:cs="楷体_GB2312"/>
          <w:b w:val="0"/>
          <w:bCs/>
          <w:color w:val="auto"/>
          <w:sz w:val="32"/>
          <w:szCs w:val="32"/>
          <w:highlight w:val="none"/>
          <w:lang w:val="en-US" w:eastAsia="zh-CN"/>
        </w:rPr>
        <w:t>（三）</w:t>
      </w:r>
      <w:r>
        <w:rPr>
          <w:rFonts w:hint="default" w:ascii="Times New Roman" w:hAnsi="Times New Roman" w:eastAsia="楷体_GB2312" w:cs="楷体_GB2312"/>
          <w:b w:val="0"/>
          <w:bCs/>
          <w:color w:val="auto"/>
          <w:sz w:val="32"/>
          <w:szCs w:val="32"/>
          <w:highlight w:val="none"/>
          <w:lang w:val="en-US" w:eastAsia="zh-CN"/>
        </w:rPr>
        <w:t>改进建议</w:t>
      </w:r>
    </w:p>
    <w:p w14:paraId="53D123D8">
      <w:pPr>
        <w:pStyle w:val="16"/>
        <w:keepNext w:val="0"/>
        <w:keepLines w:val="0"/>
        <w:widowControl/>
        <w:suppressLineNumbers w:val="0"/>
        <w:shd w:val="clear" w:fill="FFFFFF"/>
        <w:spacing w:before="0" w:beforeAutospacing="1" w:after="0" w:afterAutospacing="1" w:line="576" w:lineRule="atLeast"/>
        <w:ind w:left="0" w:right="0"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在今后的工作中，我单位将严格按照新《中华人民共和国预算法》的部门内控制度要求，加强预算编制的科学性、合理性，让预算编制更加贴合实际，使项目预算与工作结合更加紧密。严格按照批复预算执行，并按照项目开展进度有计划申请资金及时支付。加强预算执行管理，增强预算约束力，做好预算项目支出绩效目标及各项绩效指标的细化、量化工作，用好用活各类财政资金，提高财政资金的使用效益。</w:t>
      </w:r>
    </w:p>
    <w:p w14:paraId="321C988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仿宋_GB2312" w:hAnsi="仿宋_GB2312" w:eastAsia="仿宋_GB2312" w:cs="仿宋_GB2312"/>
          <w:color w:val="auto"/>
          <w:kern w:val="2"/>
          <w:sz w:val="32"/>
          <w:szCs w:val="32"/>
          <w:highlight w:val="none"/>
          <w:lang w:val="zh-CN" w:eastAsia="zh-CN" w:bidi="ar-SA"/>
        </w:rPr>
        <w:t>附表：</w:t>
      </w:r>
      <w:r>
        <w:rPr>
          <w:rFonts w:hint="eastAsia" w:ascii="仿宋_GB2312" w:hAnsi="仿宋_GB2312" w:eastAsia="仿宋_GB2312" w:cs="仿宋_GB2312"/>
          <w:color w:val="auto"/>
          <w:kern w:val="2"/>
          <w:sz w:val="32"/>
          <w:szCs w:val="32"/>
          <w:highlight w:val="none"/>
          <w:lang w:val="en-US" w:eastAsia="zh-CN" w:bidi="ar-SA"/>
        </w:rPr>
        <w:t>部门预算项目支出绩效自评表（2024年度）</w:t>
      </w:r>
    </w:p>
    <w:tbl>
      <w:tblPr>
        <w:tblStyle w:val="17"/>
        <w:tblpPr w:leftFromText="180" w:rightFromText="180" w:vertAnchor="text" w:horzAnchor="page" w:tblpX="503" w:tblpY="748"/>
        <w:tblOverlap w:val="never"/>
        <w:tblW w:w="11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2039"/>
        <w:gridCol w:w="1378"/>
        <w:gridCol w:w="1010"/>
        <w:gridCol w:w="790"/>
        <w:gridCol w:w="920"/>
        <w:gridCol w:w="670"/>
        <w:gridCol w:w="920"/>
        <w:gridCol w:w="660"/>
        <w:gridCol w:w="520"/>
        <w:gridCol w:w="1860"/>
      </w:tblGrid>
      <w:tr w14:paraId="08AD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3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A866F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29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085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05D3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51113225T000012145014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城乡融合重大项目前期工作经费</w:t>
            </w:r>
          </w:p>
        </w:tc>
      </w:tr>
      <w:tr w14:paraId="57A6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073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EC3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峨边彝族自治县行政审批和数据局本级</w:t>
            </w:r>
          </w:p>
        </w:tc>
        <w:tc>
          <w:tcPr>
            <w:tcW w:w="920" w:type="dxa"/>
            <w:tcBorders>
              <w:top w:val="nil"/>
              <w:left w:val="nil"/>
              <w:bottom w:val="nil"/>
              <w:right w:val="nil"/>
            </w:tcBorders>
            <w:shd w:val="clear" w:color="auto" w:fill="auto"/>
            <w:vAlign w:val="center"/>
          </w:tcPr>
          <w:p w14:paraId="210E4D0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97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峨边彝族自治县行政审批和数据局</w:t>
            </w:r>
          </w:p>
        </w:tc>
      </w:tr>
      <w:tr w14:paraId="3C9C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77E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C59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EE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E2EE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05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FA56">
            <w:pP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8E0D">
            <w:pPr>
              <w:rPr>
                <w:rFonts w:hint="eastAsia" w:ascii="宋体" w:hAnsi="宋体" w:eastAsia="宋体" w:cs="宋体"/>
                <w:i w:val="0"/>
                <w:iCs w:val="0"/>
                <w:color w:val="000000"/>
                <w:sz w:val="18"/>
                <w:szCs w:val="18"/>
                <w:u w:val="none"/>
              </w:rPr>
            </w:pPr>
          </w:p>
        </w:tc>
        <w:tc>
          <w:tcPr>
            <w:tcW w:w="4768" w:type="dxa"/>
            <w:gridSpan w:val="5"/>
            <w:tcBorders>
              <w:top w:val="single" w:color="000000" w:sz="4" w:space="0"/>
              <w:left w:val="single" w:color="000000" w:sz="4" w:space="0"/>
              <w:bottom w:val="single" w:color="000000" w:sz="4" w:space="0"/>
              <w:right w:val="single" w:color="000000" w:sz="4" w:space="0"/>
            </w:tcBorders>
            <w:shd w:val="clear" w:color="auto" w:fill="FCE4D6"/>
            <w:vAlign w:val="center"/>
          </w:tcPr>
          <w:p w14:paraId="50313E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完成两个项目包装专项债相关资料申报</w:t>
            </w:r>
          </w:p>
        </w:tc>
        <w:tc>
          <w:tcPr>
            <w:tcW w:w="3960" w:type="dxa"/>
            <w:gridSpan w:val="4"/>
            <w:tcBorders>
              <w:top w:val="single" w:color="000000" w:sz="4" w:space="0"/>
              <w:left w:val="single" w:color="000000" w:sz="4" w:space="0"/>
              <w:bottom w:val="single" w:color="000000" w:sz="4" w:space="0"/>
              <w:right w:val="single" w:color="000000" w:sz="4" w:space="0"/>
            </w:tcBorders>
            <w:shd w:val="clear" w:color="auto" w:fill="FCE4D6"/>
            <w:vAlign w:val="center"/>
          </w:tcPr>
          <w:p w14:paraId="0714FF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完成了两个项目申报专项债资料的编制工作，形成了2篇可研报告等成果。</w:t>
            </w:r>
          </w:p>
        </w:tc>
      </w:tr>
      <w:tr w14:paraId="0F4A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DED0">
            <w:pP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A0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28" w:type="dxa"/>
            <w:gridSpan w:val="9"/>
            <w:tcBorders>
              <w:top w:val="single" w:color="000000" w:sz="4" w:space="0"/>
              <w:left w:val="single" w:color="000000" w:sz="4" w:space="0"/>
              <w:bottom w:val="single" w:color="000000" w:sz="4" w:space="0"/>
              <w:right w:val="single" w:color="000000" w:sz="4" w:space="0"/>
            </w:tcBorders>
            <w:shd w:val="clear" w:color="auto" w:fill="FCE4D6"/>
            <w:vAlign w:val="center"/>
          </w:tcPr>
          <w:p w14:paraId="7C8663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项目专项债资料编制费</w:t>
            </w:r>
          </w:p>
        </w:tc>
      </w:tr>
      <w:tr w14:paraId="30C8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56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4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0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0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CC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C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A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2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1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30A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FF9F">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9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E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9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FC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9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5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6201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F3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47BCB">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C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9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2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38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2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7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B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63B4">
            <w:pPr>
              <w:rPr>
                <w:rFonts w:hint="eastAsia" w:ascii="黑体" w:hAnsi="黑体" w:eastAsia="黑体" w:cs="黑体"/>
                <w:i/>
                <w:iCs/>
                <w:color w:val="000000"/>
                <w:sz w:val="18"/>
                <w:szCs w:val="18"/>
                <w:u w:val="none"/>
              </w:rPr>
            </w:pPr>
          </w:p>
        </w:tc>
      </w:tr>
      <w:tr w14:paraId="2905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01D4">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A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5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B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4F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B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7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5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7E4A">
            <w:pPr>
              <w:rPr>
                <w:rFonts w:hint="eastAsia" w:ascii="黑体" w:hAnsi="黑体" w:eastAsia="黑体" w:cs="黑体"/>
                <w:i/>
                <w:iCs/>
                <w:color w:val="000000"/>
                <w:sz w:val="18"/>
                <w:szCs w:val="18"/>
                <w:u w:val="none"/>
              </w:rPr>
            </w:pPr>
          </w:p>
        </w:tc>
      </w:tr>
      <w:tr w14:paraId="4798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0E5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C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0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1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99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4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8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E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34F47">
            <w:pPr>
              <w:rPr>
                <w:rFonts w:hint="eastAsia" w:ascii="黑体" w:hAnsi="黑体" w:eastAsia="黑体" w:cs="黑体"/>
                <w:i/>
                <w:iCs/>
                <w:color w:val="000000"/>
                <w:sz w:val="18"/>
                <w:szCs w:val="18"/>
                <w:u w:val="none"/>
              </w:rPr>
            </w:pPr>
          </w:p>
        </w:tc>
      </w:tr>
      <w:tr w14:paraId="4887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2293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A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991F">
            <w:pPr>
              <w:jc w:val="center"/>
              <w:rPr>
                <w:rFonts w:hint="eastAsia" w:ascii="微软雅黑" w:hAnsi="微软雅黑" w:eastAsia="微软雅黑" w:cs="微软雅黑"/>
                <w:i/>
                <w:iCs/>
                <w:color w:val="000000"/>
                <w:sz w:val="16"/>
                <w:szCs w:val="16"/>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04E3">
            <w:pPr>
              <w:jc w:val="center"/>
              <w:rPr>
                <w:rFonts w:hint="eastAsia" w:ascii="微软雅黑" w:hAnsi="微软雅黑" w:eastAsia="微软雅黑" w:cs="微软雅黑"/>
                <w:i/>
                <w:iCs/>
                <w:color w:val="000000"/>
                <w:sz w:val="16"/>
                <w:szCs w:val="16"/>
                <w:u w:val="none"/>
              </w:rPr>
            </w:pP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90AE7">
            <w:pPr>
              <w:jc w:val="center"/>
              <w:rPr>
                <w:rFonts w:hint="eastAsia" w:ascii="微软雅黑" w:hAnsi="微软雅黑" w:eastAsia="微软雅黑" w:cs="微软雅黑"/>
                <w:i/>
                <w:iCs/>
                <w:color w:val="000000"/>
                <w:sz w:val="16"/>
                <w:szCs w:val="16"/>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B2D6">
            <w:pPr>
              <w:jc w:val="center"/>
              <w:rPr>
                <w:rFonts w:hint="eastAsia" w:ascii="微软雅黑" w:hAnsi="微软雅黑" w:eastAsia="微软雅黑" w:cs="微软雅黑"/>
                <w:i/>
                <w:iCs/>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2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1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A77D">
            <w:pPr>
              <w:rPr>
                <w:rFonts w:hint="eastAsia" w:ascii="黑体" w:hAnsi="黑体" w:eastAsia="黑体" w:cs="黑体"/>
                <w:i/>
                <w:iCs/>
                <w:color w:val="000000"/>
                <w:sz w:val="18"/>
                <w:szCs w:val="18"/>
                <w:u w:val="none"/>
              </w:rPr>
            </w:pPr>
          </w:p>
        </w:tc>
      </w:tr>
      <w:tr w14:paraId="10B1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8A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3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A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D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9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B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9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297AA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5AF6A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7C684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CB81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DF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E416">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4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78" w:type="dxa"/>
            <w:tcBorders>
              <w:top w:val="nil"/>
              <w:left w:val="nil"/>
              <w:bottom w:val="nil"/>
              <w:right w:val="nil"/>
            </w:tcBorders>
            <w:shd w:val="clear" w:color="auto" w:fill="auto"/>
            <w:noWrap/>
            <w:vAlign w:val="center"/>
          </w:tcPr>
          <w:p w14:paraId="004DD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5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一个可研报告，一个初步建设方案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5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4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C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8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0B96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D2FD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2BCFFF3">
            <w:pPr>
              <w:jc w:val="center"/>
              <w:rPr>
                <w:rFonts w:hint="eastAsia" w:ascii="宋体" w:hAnsi="宋体" w:eastAsia="宋体" w:cs="宋体"/>
                <w:i w:val="0"/>
                <w:iCs w:val="0"/>
                <w:color w:val="000000"/>
                <w:sz w:val="18"/>
                <w:szCs w:val="18"/>
                <w:u w:val="none"/>
              </w:rPr>
            </w:pPr>
          </w:p>
        </w:tc>
      </w:tr>
      <w:tr w14:paraId="1200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345D">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3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9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7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6个月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B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B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4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E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E520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2617E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50B42BC9">
            <w:pPr>
              <w:jc w:val="center"/>
              <w:rPr>
                <w:rFonts w:hint="eastAsia" w:ascii="宋体" w:hAnsi="宋体" w:eastAsia="宋体" w:cs="宋体"/>
                <w:i w:val="0"/>
                <w:iCs w:val="0"/>
                <w:color w:val="000000"/>
                <w:sz w:val="18"/>
                <w:szCs w:val="18"/>
                <w:u w:val="none"/>
              </w:rPr>
            </w:pPr>
          </w:p>
        </w:tc>
      </w:tr>
      <w:tr w14:paraId="023B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DAFB">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F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D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F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提高行政工作效率</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3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0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EA72">
            <w:pPr>
              <w:jc w:val="center"/>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A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71590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013E0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FC6D86A">
            <w:pPr>
              <w:jc w:val="center"/>
              <w:rPr>
                <w:rFonts w:hint="eastAsia" w:ascii="宋体" w:hAnsi="宋体" w:eastAsia="宋体" w:cs="宋体"/>
                <w:i w:val="0"/>
                <w:iCs w:val="0"/>
                <w:color w:val="000000"/>
                <w:sz w:val="18"/>
                <w:szCs w:val="18"/>
                <w:u w:val="none"/>
              </w:rPr>
            </w:pPr>
          </w:p>
        </w:tc>
      </w:tr>
      <w:tr w14:paraId="681F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E291">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4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8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D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提升企业生产效率</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B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B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9F7A">
            <w:pPr>
              <w:jc w:val="center"/>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4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12E5D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A9FD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7A9B3B4D">
            <w:pPr>
              <w:jc w:val="center"/>
              <w:rPr>
                <w:rFonts w:hint="eastAsia" w:ascii="宋体" w:hAnsi="宋体" w:eastAsia="宋体" w:cs="宋体"/>
                <w:i w:val="0"/>
                <w:iCs w:val="0"/>
                <w:color w:val="000000"/>
                <w:sz w:val="18"/>
                <w:szCs w:val="18"/>
                <w:u w:val="none"/>
              </w:rPr>
            </w:pPr>
          </w:p>
        </w:tc>
      </w:tr>
      <w:tr w14:paraId="3ED0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BF90">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6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C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3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1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2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2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4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2EDDD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492A0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3B0690D0">
            <w:pPr>
              <w:jc w:val="center"/>
              <w:rPr>
                <w:rFonts w:hint="eastAsia" w:ascii="宋体" w:hAnsi="宋体" w:eastAsia="宋体" w:cs="宋体"/>
                <w:i w:val="0"/>
                <w:iCs w:val="0"/>
                <w:color w:val="000000"/>
                <w:sz w:val="18"/>
                <w:szCs w:val="18"/>
                <w:u w:val="none"/>
              </w:rPr>
            </w:pPr>
          </w:p>
        </w:tc>
      </w:tr>
      <w:tr w14:paraId="0A74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EE8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2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A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6D14">
            <w:pPr>
              <w:rPr>
                <w:rFonts w:hint="eastAsia" w:ascii="宋体" w:hAnsi="宋体" w:eastAsia="宋体" w:cs="宋体"/>
                <w:i w:val="0"/>
                <w:iCs w:val="0"/>
                <w:color w:val="000000"/>
                <w:sz w:val="18"/>
                <w:szCs w:val="18"/>
                <w:u w:val="none"/>
              </w:rPr>
            </w:pPr>
          </w:p>
        </w:tc>
      </w:tr>
      <w:tr w14:paraId="2231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98"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57030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767" w:type="dxa"/>
            <w:gridSpan w:val="10"/>
            <w:tcBorders>
              <w:top w:val="single" w:color="000000" w:sz="4" w:space="0"/>
              <w:left w:val="single" w:color="000000" w:sz="4" w:space="0"/>
              <w:bottom w:val="single" w:color="000000" w:sz="4" w:space="0"/>
              <w:right w:val="single" w:color="000000" w:sz="4" w:space="0"/>
            </w:tcBorders>
            <w:shd w:val="clear" w:color="auto" w:fill="FCE4D6"/>
            <w:vAlign w:val="center"/>
          </w:tcPr>
          <w:p w14:paraId="25FFD75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包装专项债项目，需要可行性研究报告、实施方案等申报材料。项目2024年预算经费1万元，实际支付1万元，预算执行率达100%。</w:t>
            </w:r>
          </w:p>
        </w:tc>
      </w:tr>
      <w:tr w14:paraId="21E7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98"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0CDA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53CA7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59B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98"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5B110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EBE1B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B37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15" w:type="dxa"/>
            <w:gridSpan w:val="5"/>
            <w:tcBorders>
              <w:top w:val="single" w:color="000000" w:sz="4" w:space="0"/>
              <w:left w:val="single" w:color="000000" w:sz="4" w:space="0"/>
              <w:bottom w:val="single" w:color="000000" w:sz="4" w:space="0"/>
              <w:right w:val="single" w:color="000000" w:sz="4" w:space="0"/>
            </w:tcBorders>
            <w:shd w:val="clear" w:color="auto" w:fill="FCE4D6"/>
            <w:vAlign w:val="center"/>
          </w:tcPr>
          <w:p w14:paraId="2793A5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项目负责人：宋雨娟</w:t>
            </w:r>
          </w:p>
        </w:tc>
        <w:tc>
          <w:tcPr>
            <w:tcW w:w="5550" w:type="dxa"/>
            <w:gridSpan w:val="6"/>
            <w:tcBorders>
              <w:top w:val="single" w:color="000000" w:sz="4" w:space="0"/>
              <w:left w:val="single" w:color="000000" w:sz="4" w:space="0"/>
              <w:bottom w:val="single" w:color="000000" w:sz="4" w:space="0"/>
              <w:right w:val="single" w:color="000000" w:sz="4" w:space="0"/>
            </w:tcBorders>
            <w:shd w:val="clear" w:color="auto" w:fill="FCE4D6"/>
            <w:vAlign w:val="center"/>
          </w:tcPr>
          <w:p w14:paraId="1B3FB7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财务负责人：宋雨娟</w:t>
            </w:r>
          </w:p>
        </w:tc>
      </w:tr>
      <w:tr w14:paraId="2180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8" w:type="dxa"/>
            <w:tcBorders>
              <w:top w:val="nil"/>
              <w:left w:val="nil"/>
              <w:bottom w:val="nil"/>
              <w:right w:val="nil"/>
            </w:tcBorders>
            <w:shd w:val="clear" w:color="auto" w:fill="auto"/>
            <w:vAlign w:val="center"/>
          </w:tcPr>
          <w:p w14:paraId="0F02BBC5">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4C6A682B">
            <w:pPr>
              <w:rPr>
                <w:rFonts w:hint="eastAsia" w:ascii="宋体" w:hAnsi="宋体" w:eastAsia="宋体" w:cs="宋体"/>
                <w:i w:val="0"/>
                <w:iCs w:val="0"/>
                <w:color w:val="000000"/>
                <w:sz w:val="18"/>
                <w:szCs w:val="18"/>
                <w:u w:val="none"/>
              </w:rPr>
            </w:pPr>
          </w:p>
        </w:tc>
        <w:tc>
          <w:tcPr>
            <w:tcW w:w="1378" w:type="dxa"/>
            <w:tcBorders>
              <w:top w:val="nil"/>
              <w:left w:val="nil"/>
              <w:bottom w:val="nil"/>
              <w:right w:val="nil"/>
            </w:tcBorders>
            <w:shd w:val="clear" w:color="auto" w:fill="auto"/>
            <w:vAlign w:val="center"/>
          </w:tcPr>
          <w:p w14:paraId="755FAAB9">
            <w:pPr>
              <w:rPr>
                <w:rFonts w:hint="eastAsia" w:ascii="宋体" w:hAnsi="宋体" w:eastAsia="宋体" w:cs="宋体"/>
                <w:i w:val="0"/>
                <w:iCs w:val="0"/>
                <w:color w:val="000000"/>
                <w:sz w:val="18"/>
                <w:szCs w:val="18"/>
                <w:u w:val="none"/>
              </w:rPr>
            </w:pPr>
          </w:p>
        </w:tc>
        <w:tc>
          <w:tcPr>
            <w:tcW w:w="1010" w:type="dxa"/>
            <w:tcBorders>
              <w:top w:val="nil"/>
              <w:left w:val="nil"/>
              <w:bottom w:val="nil"/>
              <w:right w:val="nil"/>
            </w:tcBorders>
            <w:shd w:val="clear" w:color="auto" w:fill="auto"/>
            <w:vAlign w:val="center"/>
          </w:tcPr>
          <w:p w14:paraId="4EF0EAC4">
            <w:pPr>
              <w:rPr>
                <w:rFonts w:hint="eastAsia" w:ascii="宋体" w:hAnsi="宋体" w:eastAsia="宋体" w:cs="宋体"/>
                <w:i w:val="0"/>
                <w:iCs w:val="0"/>
                <w:color w:val="000000"/>
                <w:sz w:val="18"/>
                <w:szCs w:val="18"/>
                <w:u w:val="none"/>
              </w:rPr>
            </w:pPr>
          </w:p>
        </w:tc>
        <w:tc>
          <w:tcPr>
            <w:tcW w:w="790" w:type="dxa"/>
            <w:tcBorders>
              <w:top w:val="nil"/>
              <w:left w:val="nil"/>
              <w:bottom w:val="nil"/>
              <w:right w:val="nil"/>
            </w:tcBorders>
            <w:shd w:val="clear" w:color="auto" w:fill="auto"/>
            <w:vAlign w:val="center"/>
          </w:tcPr>
          <w:p w14:paraId="67A66D68">
            <w:pPr>
              <w:rPr>
                <w:rFonts w:hint="eastAsia" w:ascii="宋体" w:hAnsi="宋体" w:eastAsia="宋体" w:cs="宋体"/>
                <w:i w:val="0"/>
                <w:iCs w:val="0"/>
                <w:color w:val="000000"/>
                <w:sz w:val="18"/>
                <w:szCs w:val="18"/>
                <w:u w:val="none"/>
              </w:rPr>
            </w:pPr>
          </w:p>
        </w:tc>
        <w:tc>
          <w:tcPr>
            <w:tcW w:w="920" w:type="dxa"/>
            <w:tcBorders>
              <w:top w:val="nil"/>
              <w:left w:val="nil"/>
              <w:bottom w:val="nil"/>
              <w:right w:val="nil"/>
            </w:tcBorders>
            <w:shd w:val="clear" w:color="auto" w:fill="auto"/>
            <w:vAlign w:val="center"/>
          </w:tcPr>
          <w:p w14:paraId="0399CBE1">
            <w:pPr>
              <w:rPr>
                <w:rFonts w:hint="eastAsia" w:ascii="宋体" w:hAnsi="宋体" w:eastAsia="宋体" w:cs="宋体"/>
                <w:i w:val="0"/>
                <w:iCs w:val="0"/>
                <w:color w:val="000000"/>
                <w:sz w:val="18"/>
                <w:szCs w:val="18"/>
                <w:u w:val="none"/>
              </w:rPr>
            </w:pPr>
          </w:p>
        </w:tc>
        <w:tc>
          <w:tcPr>
            <w:tcW w:w="670" w:type="dxa"/>
            <w:tcBorders>
              <w:top w:val="nil"/>
              <w:left w:val="nil"/>
              <w:bottom w:val="nil"/>
              <w:right w:val="nil"/>
            </w:tcBorders>
            <w:shd w:val="clear" w:color="auto" w:fill="auto"/>
            <w:vAlign w:val="center"/>
          </w:tcPr>
          <w:p w14:paraId="5EE8C2D8">
            <w:pPr>
              <w:rPr>
                <w:rFonts w:hint="eastAsia" w:ascii="宋体" w:hAnsi="宋体" w:eastAsia="宋体" w:cs="宋体"/>
                <w:i w:val="0"/>
                <w:iCs w:val="0"/>
                <w:color w:val="000000"/>
                <w:sz w:val="18"/>
                <w:szCs w:val="18"/>
                <w:u w:val="none"/>
              </w:rPr>
            </w:pPr>
          </w:p>
        </w:tc>
        <w:tc>
          <w:tcPr>
            <w:tcW w:w="920" w:type="dxa"/>
            <w:tcBorders>
              <w:top w:val="nil"/>
              <w:left w:val="nil"/>
              <w:bottom w:val="nil"/>
              <w:right w:val="nil"/>
            </w:tcBorders>
            <w:shd w:val="clear" w:color="auto" w:fill="auto"/>
            <w:vAlign w:val="center"/>
          </w:tcPr>
          <w:p w14:paraId="34107AD5">
            <w:pPr>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auto"/>
            <w:vAlign w:val="center"/>
          </w:tcPr>
          <w:p w14:paraId="1DCEA6DB">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27ED3E61">
            <w:pPr>
              <w:rPr>
                <w:rFonts w:hint="eastAsia" w:ascii="宋体" w:hAnsi="宋体" w:eastAsia="宋体" w:cs="宋体"/>
                <w:i w:val="0"/>
                <w:iCs w:val="0"/>
                <w:color w:val="000000"/>
                <w:sz w:val="18"/>
                <w:szCs w:val="18"/>
                <w:u w:val="none"/>
              </w:rPr>
            </w:pPr>
          </w:p>
        </w:tc>
        <w:tc>
          <w:tcPr>
            <w:tcW w:w="1860" w:type="dxa"/>
            <w:tcBorders>
              <w:top w:val="nil"/>
              <w:left w:val="nil"/>
              <w:bottom w:val="nil"/>
              <w:right w:val="nil"/>
            </w:tcBorders>
            <w:shd w:val="clear" w:color="auto" w:fill="auto"/>
            <w:vAlign w:val="center"/>
          </w:tcPr>
          <w:p w14:paraId="714D86A7">
            <w:pPr>
              <w:rPr>
                <w:rFonts w:hint="eastAsia" w:ascii="宋体" w:hAnsi="宋体" w:eastAsia="宋体" w:cs="宋体"/>
                <w:i w:val="0"/>
                <w:iCs w:val="0"/>
                <w:color w:val="000000"/>
                <w:sz w:val="18"/>
                <w:szCs w:val="18"/>
                <w:u w:val="none"/>
              </w:rPr>
            </w:pPr>
          </w:p>
        </w:tc>
      </w:tr>
      <w:tr w14:paraId="5697C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3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AD5D5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3D0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53E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4674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51113224T000011940530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全县信息化建设项目</w:t>
            </w:r>
          </w:p>
        </w:tc>
      </w:tr>
      <w:tr w14:paraId="1963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027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ADD2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峨边彝族自治县行政审批和数据局本级</w:t>
            </w:r>
          </w:p>
        </w:tc>
        <w:tc>
          <w:tcPr>
            <w:tcW w:w="920" w:type="dxa"/>
            <w:tcBorders>
              <w:top w:val="nil"/>
              <w:left w:val="nil"/>
              <w:bottom w:val="nil"/>
              <w:right w:val="nil"/>
            </w:tcBorders>
            <w:shd w:val="clear" w:color="auto" w:fill="auto"/>
            <w:vAlign w:val="center"/>
          </w:tcPr>
          <w:p w14:paraId="44397B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E2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峨边彝族自治县行政审批和数据局</w:t>
            </w:r>
          </w:p>
        </w:tc>
      </w:tr>
      <w:tr w14:paraId="33D1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3F8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5D8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7E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5DC95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1F6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313D2">
            <w:pP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D4DB1">
            <w:pPr>
              <w:rPr>
                <w:rFonts w:hint="eastAsia" w:ascii="宋体" w:hAnsi="宋体" w:eastAsia="宋体" w:cs="宋体"/>
                <w:i w:val="0"/>
                <w:iCs w:val="0"/>
                <w:color w:val="000000"/>
                <w:sz w:val="18"/>
                <w:szCs w:val="18"/>
                <w:u w:val="none"/>
              </w:rPr>
            </w:pPr>
          </w:p>
        </w:tc>
        <w:tc>
          <w:tcPr>
            <w:tcW w:w="4768" w:type="dxa"/>
            <w:gridSpan w:val="5"/>
            <w:tcBorders>
              <w:top w:val="single" w:color="000000" w:sz="4" w:space="0"/>
              <w:left w:val="single" w:color="000000" w:sz="4" w:space="0"/>
              <w:bottom w:val="single" w:color="000000" w:sz="4" w:space="0"/>
              <w:right w:val="single" w:color="000000" w:sz="4" w:space="0"/>
            </w:tcBorders>
            <w:shd w:val="clear" w:color="auto" w:fill="FCE4D6"/>
            <w:vAlign w:val="center"/>
          </w:tcPr>
          <w:p w14:paraId="45D3C0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完成2024年度全县信息化项目建设运维和网络方面费用的支出。</w:t>
            </w:r>
          </w:p>
        </w:tc>
        <w:tc>
          <w:tcPr>
            <w:tcW w:w="3960" w:type="dxa"/>
            <w:gridSpan w:val="4"/>
            <w:tcBorders>
              <w:top w:val="single" w:color="000000" w:sz="4" w:space="0"/>
              <w:left w:val="single" w:color="000000" w:sz="4" w:space="0"/>
              <w:bottom w:val="single" w:color="000000" w:sz="4" w:space="0"/>
              <w:right w:val="single" w:color="000000" w:sz="4" w:space="0"/>
            </w:tcBorders>
            <w:shd w:val="clear" w:color="auto" w:fill="FCE4D6"/>
            <w:vAlign w:val="center"/>
          </w:tcPr>
          <w:p w14:paraId="6760AE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顺利完成全县信息化项目资金拨付和各类系统以及网络的通畅，保障了各部门信息化系统正常运转。</w:t>
            </w:r>
          </w:p>
        </w:tc>
      </w:tr>
      <w:tr w14:paraId="5786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AA41">
            <w:pP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0F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28" w:type="dxa"/>
            <w:gridSpan w:val="9"/>
            <w:tcBorders>
              <w:top w:val="single" w:color="000000" w:sz="4" w:space="0"/>
              <w:left w:val="single" w:color="000000" w:sz="4" w:space="0"/>
              <w:bottom w:val="single" w:color="000000" w:sz="4" w:space="0"/>
              <w:right w:val="single" w:color="000000" w:sz="4" w:space="0"/>
            </w:tcBorders>
            <w:shd w:val="clear" w:color="auto" w:fill="FCE4D6"/>
            <w:vAlign w:val="center"/>
          </w:tcPr>
          <w:p w14:paraId="74B05C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全县信息化项目包含1.建设费。2.网络费。3.系统运维费。</w:t>
            </w:r>
          </w:p>
        </w:tc>
      </w:tr>
      <w:tr w14:paraId="48A5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33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D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1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F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85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B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E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8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7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9B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3F177">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2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0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A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327.07</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6F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327.07</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B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3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9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14:paraId="69D50AC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72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0077">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2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5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F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327.07</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0B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327.07</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8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5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2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14:paraId="2775EADC">
            <w:pPr>
              <w:rPr>
                <w:rFonts w:hint="eastAsia" w:ascii="黑体" w:hAnsi="黑体" w:eastAsia="黑体" w:cs="黑体"/>
                <w:i/>
                <w:iCs/>
                <w:color w:val="000000"/>
                <w:sz w:val="18"/>
                <w:szCs w:val="18"/>
                <w:u w:val="none"/>
              </w:rPr>
            </w:pPr>
          </w:p>
        </w:tc>
      </w:tr>
      <w:tr w14:paraId="46EE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032D">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A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6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3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FA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B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8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C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14:paraId="146A99B5">
            <w:pPr>
              <w:rPr>
                <w:rFonts w:hint="eastAsia" w:ascii="黑体" w:hAnsi="黑体" w:eastAsia="黑体" w:cs="黑体"/>
                <w:i/>
                <w:iCs/>
                <w:color w:val="000000"/>
                <w:sz w:val="18"/>
                <w:szCs w:val="18"/>
                <w:u w:val="none"/>
              </w:rPr>
            </w:pPr>
          </w:p>
        </w:tc>
      </w:tr>
      <w:tr w14:paraId="39E6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AF75">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5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4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A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07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B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A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B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14:paraId="02548819">
            <w:pPr>
              <w:rPr>
                <w:rFonts w:hint="eastAsia" w:ascii="黑体" w:hAnsi="黑体" w:eastAsia="黑体" w:cs="黑体"/>
                <w:i/>
                <w:iCs/>
                <w:color w:val="000000"/>
                <w:sz w:val="18"/>
                <w:szCs w:val="18"/>
                <w:u w:val="none"/>
              </w:rPr>
            </w:pPr>
          </w:p>
        </w:tc>
      </w:tr>
      <w:tr w14:paraId="7F75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EC100">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2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4FE2">
            <w:pPr>
              <w:jc w:val="center"/>
              <w:rPr>
                <w:rFonts w:hint="eastAsia" w:ascii="微软雅黑" w:hAnsi="微软雅黑" w:eastAsia="微软雅黑" w:cs="微软雅黑"/>
                <w:i/>
                <w:iCs/>
                <w:color w:val="000000"/>
                <w:sz w:val="16"/>
                <w:szCs w:val="16"/>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0E0B">
            <w:pPr>
              <w:jc w:val="center"/>
              <w:rPr>
                <w:rFonts w:hint="eastAsia" w:ascii="微软雅黑" w:hAnsi="微软雅黑" w:eastAsia="微软雅黑" w:cs="微软雅黑"/>
                <w:i/>
                <w:iCs/>
                <w:color w:val="000000"/>
                <w:sz w:val="16"/>
                <w:szCs w:val="16"/>
                <w:u w:val="none"/>
              </w:rPr>
            </w:pP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B083B">
            <w:pPr>
              <w:jc w:val="center"/>
              <w:rPr>
                <w:rFonts w:hint="eastAsia" w:ascii="微软雅黑" w:hAnsi="微软雅黑" w:eastAsia="微软雅黑" w:cs="微软雅黑"/>
                <w:i/>
                <w:iCs/>
                <w:color w:val="000000"/>
                <w:sz w:val="16"/>
                <w:szCs w:val="16"/>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5FA7">
            <w:pPr>
              <w:jc w:val="center"/>
              <w:rPr>
                <w:rFonts w:hint="eastAsia" w:ascii="微软雅黑" w:hAnsi="微软雅黑" w:eastAsia="微软雅黑" w:cs="微软雅黑"/>
                <w:i/>
                <w:iCs/>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A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E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14:paraId="4BD8B2D4">
            <w:pPr>
              <w:rPr>
                <w:rFonts w:hint="eastAsia" w:ascii="黑体" w:hAnsi="黑体" w:eastAsia="黑体" w:cs="黑体"/>
                <w:i/>
                <w:iCs/>
                <w:color w:val="000000"/>
                <w:sz w:val="18"/>
                <w:szCs w:val="18"/>
                <w:u w:val="none"/>
              </w:rPr>
            </w:pPr>
          </w:p>
        </w:tc>
      </w:tr>
      <w:tr w14:paraId="5C9C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BF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E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E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9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1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D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B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6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F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A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7AB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C147">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2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E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9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保障全县网络运行及住建局、综合行政执法局城市杆管、照明管理维护项目，强化城乡新型基础设施“一张网”统建共用。</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6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A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3C63">
            <w:pPr>
              <w:jc w:val="center"/>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0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6288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58C75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1F21F380">
            <w:pPr>
              <w:jc w:val="center"/>
              <w:rPr>
                <w:rFonts w:hint="eastAsia" w:ascii="宋体" w:hAnsi="宋体" w:eastAsia="宋体" w:cs="宋体"/>
                <w:i w:val="0"/>
                <w:iCs w:val="0"/>
                <w:color w:val="000000"/>
                <w:sz w:val="18"/>
                <w:szCs w:val="18"/>
                <w:u w:val="none"/>
              </w:rPr>
            </w:pPr>
          </w:p>
        </w:tc>
      </w:tr>
      <w:tr w14:paraId="59A8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663C0">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5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B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2024年全年完成</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F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0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A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A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0A617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73910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5D332F8">
            <w:pPr>
              <w:jc w:val="center"/>
              <w:rPr>
                <w:rFonts w:hint="eastAsia" w:ascii="宋体" w:hAnsi="宋体" w:eastAsia="宋体" w:cs="宋体"/>
                <w:i w:val="0"/>
                <w:iCs w:val="0"/>
                <w:color w:val="000000"/>
                <w:sz w:val="18"/>
                <w:szCs w:val="18"/>
                <w:u w:val="none"/>
              </w:rPr>
            </w:pPr>
          </w:p>
        </w:tc>
      </w:tr>
      <w:tr w14:paraId="1D6D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6096">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C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F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A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统筹城乡新型基础设施“一张网”运营，强化信息化项目投资效能，促进数据资源共享、释放数据资源潜力、提高信息化水平。</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B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5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0A8D">
            <w:pPr>
              <w:jc w:val="center"/>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2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1E338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30CF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298901E1">
            <w:pPr>
              <w:jc w:val="center"/>
              <w:rPr>
                <w:rFonts w:hint="eastAsia" w:ascii="宋体" w:hAnsi="宋体" w:eastAsia="宋体" w:cs="宋体"/>
                <w:i w:val="0"/>
                <w:iCs w:val="0"/>
                <w:color w:val="000000"/>
                <w:sz w:val="18"/>
                <w:szCs w:val="18"/>
                <w:u w:val="none"/>
              </w:rPr>
            </w:pPr>
          </w:p>
        </w:tc>
      </w:tr>
      <w:tr w14:paraId="3D93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3ECE5">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7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5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F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保障全县各部门数字化建设及住建局、综合行政执法局城市杆管、照明管理维护。</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4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7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859F">
            <w:pPr>
              <w:jc w:val="center"/>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6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55CBE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03315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077D9422">
            <w:pPr>
              <w:jc w:val="center"/>
              <w:rPr>
                <w:rFonts w:hint="eastAsia" w:ascii="宋体" w:hAnsi="宋体" w:eastAsia="宋体" w:cs="宋体"/>
                <w:i w:val="0"/>
                <w:iCs w:val="0"/>
                <w:color w:val="000000"/>
                <w:sz w:val="18"/>
                <w:szCs w:val="18"/>
                <w:u w:val="none"/>
              </w:rPr>
            </w:pPr>
          </w:p>
        </w:tc>
      </w:tr>
      <w:tr w14:paraId="4467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C395">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6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D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A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9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4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3D841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7087E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6F34E2BB">
            <w:pPr>
              <w:jc w:val="center"/>
              <w:rPr>
                <w:rFonts w:hint="eastAsia" w:ascii="宋体" w:hAnsi="宋体" w:eastAsia="宋体" w:cs="宋体"/>
                <w:i w:val="0"/>
                <w:iCs w:val="0"/>
                <w:color w:val="000000"/>
                <w:sz w:val="18"/>
                <w:szCs w:val="18"/>
                <w:u w:val="none"/>
              </w:rPr>
            </w:pPr>
          </w:p>
        </w:tc>
      </w:tr>
      <w:tr w14:paraId="583F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7CC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4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5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8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提升城市治理能力，统筹管理降本增效。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B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9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C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5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327.0677</w:t>
            </w:r>
          </w:p>
        </w:tc>
        <w:tc>
          <w:tcPr>
            <w:tcW w:w="6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42ACF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756E6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51045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1.2024年机构改革，部分经费由县港航中心支出。2.部分资金以指标形式划拨至各部门由部门支出。</w:t>
            </w:r>
          </w:p>
        </w:tc>
      </w:tr>
      <w:tr w14:paraId="3F79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BDA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E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4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955A">
            <w:pPr>
              <w:rPr>
                <w:rFonts w:hint="eastAsia" w:ascii="宋体" w:hAnsi="宋体" w:eastAsia="宋体" w:cs="宋体"/>
                <w:i w:val="0"/>
                <w:iCs w:val="0"/>
                <w:color w:val="000000"/>
                <w:sz w:val="18"/>
                <w:szCs w:val="18"/>
                <w:u w:val="none"/>
              </w:rPr>
            </w:pPr>
          </w:p>
        </w:tc>
      </w:tr>
      <w:tr w14:paraId="53CE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98"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752BF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767" w:type="dxa"/>
            <w:gridSpan w:val="10"/>
            <w:tcBorders>
              <w:top w:val="single" w:color="000000" w:sz="4" w:space="0"/>
              <w:left w:val="single" w:color="000000" w:sz="4" w:space="0"/>
              <w:bottom w:val="single" w:color="000000" w:sz="4" w:space="0"/>
              <w:right w:val="single" w:color="000000" w:sz="4" w:space="0"/>
            </w:tcBorders>
            <w:shd w:val="clear" w:color="auto" w:fill="FCE4D6"/>
            <w:vAlign w:val="center"/>
          </w:tcPr>
          <w:p w14:paraId="010C33B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信息化项目资金强调专款专用，按需申报项目使用计划。2024年项目预算经费900万元，由我单位实际支付327.0677万元，其余资金以指标的形式由其他部门支付。</w:t>
            </w:r>
          </w:p>
        </w:tc>
      </w:tr>
      <w:tr w14:paraId="7EF7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98"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3410F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10EF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F62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98" w:type="dxa"/>
            <w:tcBorders>
              <w:top w:val="single" w:color="000000" w:sz="4" w:space="0"/>
              <w:left w:val="single" w:color="000000" w:sz="4" w:space="0"/>
              <w:bottom w:val="single" w:color="000000" w:sz="4" w:space="0"/>
              <w:right w:val="single" w:color="000000" w:sz="4" w:space="0"/>
            </w:tcBorders>
            <w:shd w:val="clear" w:color="auto" w:fill="FCE4D6"/>
            <w:vAlign w:val="center"/>
          </w:tcPr>
          <w:p w14:paraId="06794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52384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594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15" w:type="dxa"/>
            <w:gridSpan w:val="5"/>
            <w:tcBorders>
              <w:top w:val="single" w:color="000000" w:sz="4" w:space="0"/>
              <w:left w:val="single" w:color="000000" w:sz="4" w:space="0"/>
              <w:bottom w:val="single" w:color="000000" w:sz="4" w:space="0"/>
              <w:right w:val="single" w:color="000000" w:sz="4" w:space="0"/>
            </w:tcBorders>
            <w:shd w:val="clear" w:color="auto" w:fill="FCE4D6"/>
            <w:vAlign w:val="center"/>
          </w:tcPr>
          <w:p w14:paraId="23D666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项目负责人：宋雨娟</w:t>
            </w:r>
          </w:p>
        </w:tc>
        <w:tc>
          <w:tcPr>
            <w:tcW w:w="5550" w:type="dxa"/>
            <w:gridSpan w:val="6"/>
            <w:tcBorders>
              <w:top w:val="single" w:color="000000" w:sz="4" w:space="0"/>
              <w:left w:val="single" w:color="000000" w:sz="4" w:space="0"/>
              <w:bottom w:val="single" w:color="000000" w:sz="4" w:space="0"/>
              <w:right w:val="single" w:color="000000" w:sz="4" w:space="0"/>
            </w:tcBorders>
            <w:shd w:val="clear" w:color="auto" w:fill="FCE4D6"/>
            <w:vAlign w:val="center"/>
          </w:tcPr>
          <w:p w14:paraId="6B934E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财务负责人：宋雨娟</w:t>
            </w:r>
          </w:p>
        </w:tc>
      </w:tr>
      <w:tr w14:paraId="0E44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8" w:type="dxa"/>
            <w:tcBorders>
              <w:top w:val="nil"/>
              <w:left w:val="nil"/>
              <w:bottom w:val="nil"/>
              <w:right w:val="nil"/>
            </w:tcBorders>
            <w:shd w:val="clear" w:color="auto" w:fill="auto"/>
            <w:vAlign w:val="center"/>
          </w:tcPr>
          <w:p w14:paraId="758F56D5">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14:paraId="74A9D2D5">
            <w:pPr>
              <w:rPr>
                <w:rFonts w:hint="eastAsia" w:ascii="宋体" w:hAnsi="宋体" w:eastAsia="宋体" w:cs="宋体"/>
                <w:i w:val="0"/>
                <w:iCs w:val="0"/>
                <w:color w:val="000000"/>
                <w:sz w:val="18"/>
                <w:szCs w:val="18"/>
                <w:u w:val="none"/>
              </w:rPr>
            </w:pPr>
          </w:p>
        </w:tc>
        <w:tc>
          <w:tcPr>
            <w:tcW w:w="1378" w:type="dxa"/>
            <w:tcBorders>
              <w:top w:val="nil"/>
              <w:left w:val="nil"/>
              <w:bottom w:val="nil"/>
              <w:right w:val="nil"/>
            </w:tcBorders>
            <w:shd w:val="clear" w:color="auto" w:fill="auto"/>
            <w:vAlign w:val="center"/>
          </w:tcPr>
          <w:p w14:paraId="7EBAA86C">
            <w:pPr>
              <w:rPr>
                <w:rFonts w:hint="eastAsia" w:ascii="宋体" w:hAnsi="宋体" w:eastAsia="宋体" w:cs="宋体"/>
                <w:i w:val="0"/>
                <w:iCs w:val="0"/>
                <w:color w:val="000000"/>
                <w:sz w:val="18"/>
                <w:szCs w:val="18"/>
                <w:u w:val="none"/>
              </w:rPr>
            </w:pPr>
          </w:p>
        </w:tc>
        <w:tc>
          <w:tcPr>
            <w:tcW w:w="1010" w:type="dxa"/>
            <w:tcBorders>
              <w:top w:val="nil"/>
              <w:left w:val="nil"/>
              <w:bottom w:val="nil"/>
              <w:right w:val="nil"/>
            </w:tcBorders>
            <w:shd w:val="clear" w:color="auto" w:fill="auto"/>
            <w:vAlign w:val="center"/>
          </w:tcPr>
          <w:p w14:paraId="6E4F4684">
            <w:pPr>
              <w:rPr>
                <w:rFonts w:hint="eastAsia" w:ascii="宋体" w:hAnsi="宋体" w:eastAsia="宋体" w:cs="宋体"/>
                <w:i w:val="0"/>
                <w:iCs w:val="0"/>
                <w:color w:val="000000"/>
                <w:sz w:val="18"/>
                <w:szCs w:val="18"/>
                <w:u w:val="none"/>
              </w:rPr>
            </w:pPr>
          </w:p>
        </w:tc>
        <w:tc>
          <w:tcPr>
            <w:tcW w:w="790" w:type="dxa"/>
            <w:tcBorders>
              <w:top w:val="nil"/>
              <w:left w:val="nil"/>
              <w:bottom w:val="nil"/>
              <w:right w:val="nil"/>
            </w:tcBorders>
            <w:shd w:val="clear" w:color="auto" w:fill="auto"/>
            <w:vAlign w:val="center"/>
          </w:tcPr>
          <w:p w14:paraId="15F2AAFA">
            <w:pPr>
              <w:rPr>
                <w:rFonts w:hint="eastAsia" w:ascii="宋体" w:hAnsi="宋体" w:eastAsia="宋体" w:cs="宋体"/>
                <w:i w:val="0"/>
                <w:iCs w:val="0"/>
                <w:color w:val="000000"/>
                <w:sz w:val="18"/>
                <w:szCs w:val="18"/>
                <w:u w:val="none"/>
              </w:rPr>
            </w:pPr>
          </w:p>
        </w:tc>
        <w:tc>
          <w:tcPr>
            <w:tcW w:w="920" w:type="dxa"/>
            <w:tcBorders>
              <w:top w:val="nil"/>
              <w:left w:val="nil"/>
              <w:bottom w:val="nil"/>
              <w:right w:val="nil"/>
            </w:tcBorders>
            <w:shd w:val="clear" w:color="auto" w:fill="auto"/>
            <w:vAlign w:val="center"/>
          </w:tcPr>
          <w:p w14:paraId="386CA57E">
            <w:pPr>
              <w:rPr>
                <w:rFonts w:hint="eastAsia" w:ascii="宋体" w:hAnsi="宋体" w:eastAsia="宋体" w:cs="宋体"/>
                <w:i w:val="0"/>
                <w:iCs w:val="0"/>
                <w:color w:val="000000"/>
                <w:sz w:val="18"/>
                <w:szCs w:val="18"/>
                <w:u w:val="none"/>
              </w:rPr>
            </w:pPr>
          </w:p>
        </w:tc>
        <w:tc>
          <w:tcPr>
            <w:tcW w:w="670" w:type="dxa"/>
            <w:tcBorders>
              <w:top w:val="nil"/>
              <w:left w:val="nil"/>
              <w:bottom w:val="nil"/>
              <w:right w:val="nil"/>
            </w:tcBorders>
            <w:shd w:val="clear" w:color="auto" w:fill="auto"/>
            <w:vAlign w:val="center"/>
          </w:tcPr>
          <w:p w14:paraId="37718B0A">
            <w:pPr>
              <w:rPr>
                <w:rFonts w:hint="eastAsia" w:ascii="宋体" w:hAnsi="宋体" w:eastAsia="宋体" w:cs="宋体"/>
                <w:i w:val="0"/>
                <w:iCs w:val="0"/>
                <w:color w:val="000000"/>
                <w:sz w:val="18"/>
                <w:szCs w:val="18"/>
                <w:u w:val="none"/>
              </w:rPr>
            </w:pPr>
          </w:p>
        </w:tc>
        <w:tc>
          <w:tcPr>
            <w:tcW w:w="920" w:type="dxa"/>
            <w:tcBorders>
              <w:top w:val="nil"/>
              <w:left w:val="nil"/>
              <w:bottom w:val="nil"/>
              <w:right w:val="nil"/>
            </w:tcBorders>
            <w:shd w:val="clear" w:color="auto" w:fill="auto"/>
            <w:vAlign w:val="center"/>
          </w:tcPr>
          <w:p w14:paraId="54324CFD">
            <w:pPr>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auto"/>
            <w:vAlign w:val="center"/>
          </w:tcPr>
          <w:p w14:paraId="3ECD316D">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7958225A">
            <w:pPr>
              <w:rPr>
                <w:rFonts w:hint="eastAsia" w:ascii="宋体" w:hAnsi="宋体" w:eastAsia="宋体" w:cs="宋体"/>
                <w:i w:val="0"/>
                <w:iCs w:val="0"/>
                <w:color w:val="000000"/>
                <w:sz w:val="18"/>
                <w:szCs w:val="18"/>
                <w:u w:val="none"/>
              </w:rPr>
            </w:pPr>
          </w:p>
        </w:tc>
        <w:tc>
          <w:tcPr>
            <w:tcW w:w="1860" w:type="dxa"/>
            <w:tcBorders>
              <w:top w:val="nil"/>
              <w:left w:val="nil"/>
              <w:bottom w:val="nil"/>
              <w:right w:val="nil"/>
            </w:tcBorders>
            <w:shd w:val="clear" w:color="auto" w:fill="auto"/>
            <w:vAlign w:val="center"/>
          </w:tcPr>
          <w:p w14:paraId="11652254">
            <w:pPr>
              <w:rPr>
                <w:rFonts w:hint="eastAsia" w:ascii="宋体" w:hAnsi="宋体" w:eastAsia="宋体" w:cs="宋体"/>
                <w:i w:val="0"/>
                <w:iCs w:val="0"/>
                <w:color w:val="000000"/>
                <w:sz w:val="18"/>
                <w:szCs w:val="18"/>
                <w:u w:val="none"/>
              </w:rPr>
            </w:pPr>
          </w:p>
        </w:tc>
      </w:tr>
      <w:tr w14:paraId="0BE8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13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288F4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6F5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4B8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B629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51113224T000011497300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便民服务体系建设专项经费</w:t>
            </w:r>
          </w:p>
        </w:tc>
      </w:tr>
      <w:tr w14:paraId="316A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16D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DA1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峨边彝族自治县行政审批和数据局本级</w:t>
            </w:r>
          </w:p>
        </w:tc>
        <w:tc>
          <w:tcPr>
            <w:tcW w:w="920" w:type="dxa"/>
            <w:tcBorders>
              <w:top w:val="nil"/>
              <w:left w:val="nil"/>
              <w:bottom w:val="nil"/>
              <w:right w:val="nil"/>
            </w:tcBorders>
            <w:shd w:val="clear" w:color="auto" w:fill="auto"/>
            <w:vAlign w:val="center"/>
          </w:tcPr>
          <w:p w14:paraId="64410D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99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峨边彝族自治县行政审批和数据局</w:t>
            </w:r>
          </w:p>
        </w:tc>
      </w:tr>
      <w:tr w14:paraId="45C2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F9F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E7F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8FE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3BE8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F3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5E3D3">
            <w:pP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AD45C">
            <w:pPr>
              <w:rPr>
                <w:rFonts w:hint="eastAsia" w:ascii="宋体" w:hAnsi="宋体" w:eastAsia="宋体" w:cs="宋体"/>
                <w:i w:val="0"/>
                <w:iCs w:val="0"/>
                <w:color w:val="000000"/>
                <w:sz w:val="18"/>
                <w:szCs w:val="18"/>
                <w:u w:val="none"/>
              </w:rPr>
            </w:pPr>
          </w:p>
        </w:tc>
        <w:tc>
          <w:tcPr>
            <w:tcW w:w="4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0F9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保障政务大厅行政审批服务工作正常运行（项目评审，窗口人员办公费等）</w:t>
            </w:r>
          </w:p>
        </w:tc>
        <w:tc>
          <w:tcPr>
            <w:tcW w:w="39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358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保障了政务大厅行政审批服务工作正常运行</w:t>
            </w:r>
          </w:p>
        </w:tc>
      </w:tr>
      <w:tr w14:paraId="49B0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0A89">
            <w:pP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E3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232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1.审批项目专家评审费；2.入驻窗口人员办公经费</w:t>
            </w:r>
          </w:p>
        </w:tc>
      </w:tr>
      <w:tr w14:paraId="27EF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25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2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1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F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24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C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7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C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5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0BF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A287">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7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A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0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24.69</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F0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24.69</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7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9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D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3F8E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8E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F1C6">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9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F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24.69</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D0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24.69</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A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A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F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B4474">
            <w:pPr>
              <w:rPr>
                <w:rFonts w:hint="eastAsia" w:ascii="黑体" w:hAnsi="黑体" w:eastAsia="黑体" w:cs="黑体"/>
                <w:i/>
                <w:iCs/>
                <w:color w:val="000000"/>
                <w:sz w:val="18"/>
                <w:szCs w:val="18"/>
                <w:u w:val="none"/>
              </w:rPr>
            </w:pPr>
          </w:p>
        </w:tc>
      </w:tr>
      <w:tr w14:paraId="4EEB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B0E8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6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2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E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AE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B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F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4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33352">
            <w:pPr>
              <w:rPr>
                <w:rFonts w:hint="eastAsia" w:ascii="黑体" w:hAnsi="黑体" w:eastAsia="黑体" w:cs="黑体"/>
                <w:i/>
                <w:iCs/>
                <w:color w:val="000000"/>
                <w:sz w:val="18"/>
                <w:szCs w:val="18"/>
                <w:u w:val="none"/>
              </w:rPr>
            </w:pPr>
          </w:p>
        </w:tc>
      </w:tr>
      <w:tr w14:paraId="34B3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0C899">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9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6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A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17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C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6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1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FC1A7">
            <w:pPr>
              <w:rPr>
                <w:rFonts w:hint="eastAsia" w:ascii="黑体" w:hAnsi="黑体" w:eastAsia="黑体" w:cs="黑体"/>
                <w:i/>
                <w:iCs/>
                <w:color w:val="000000"/>
                <w:sz w:val="18"/>
                <w:szCs w:val="18"/>
                <w:u w:val="none"/>
              </w:rPr>
            </w:pPr>
          </w:p>
        </w:tc>
      </w:tr>
      <w:tr w14:paraId="7DD1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79A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4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417">
            <w:pPr>
              <w:jc w:val="center"/>
              <w:rPr>
                <w:rFonts w:hint="eastAsia" w:ascii="微软雅黑" w:hAnsi="微软雅黑" w:eastAsia="微软雅黑" w:cs="微软雅黑"/>
                <w:i/>
                <w:iCs/>
                <w:color w:val="000000"/>
                <w:sz w:val="16"/>
                <w:szCs w:val="16"/>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C175">
            <w:pPr>
              <w:jc w:val="center"/>
              <w:rPr>
                <w:rFonts w:hint="eastAsia" w:ascii="微软雅黑" w:hAnsi="微软雅黑" w:eastAsia="微软雅黑" w:cs="微软雅黑"/>
                <w:i/>
                <w:iCs/>
                <w:color w:val="000000"/>
                <w:sz w:val="16"/>
                <w:szCs w:val="16"/>
                <w:u w:val="none"/>
              </w:rPr>
            </w:pPr>
          </w:p>
        </w:tc>
        <w:tc>
          <w:tcPr>
            <w:tcW w:w="2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04304">
            <w:pPr>
              <w:jc w:val="center"/>
              <w:rPr>
                <w:rFonts w:hint="eastAsia" w:ascii="微软雅黑" w:hAnsi="微软雅黑" w:eastAsia="微软雅黑" w:cs="微软雅黑"/>
                <w:i/>
                <w:iCs/>
                <w:color w:val="000000"/>
                <w:sz w:val="16"/>
                <w:szCs w:val="16"/>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BC4E">
            <w:pPr>
              <w:jc w:val="center"/>
              <w:rPr>
                <w:rFonts w:hint="eastAsia" w:ascii="微软雅黑" w:hAnsi="微软雅黑" w:eastAsia="微软雅黑" w:cs="微软雅黑"/>
                <w:i/>
                <w:iCs/>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9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7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D6F44">
            <w:pPr>
              <w:rPr>
                <w:rFonts w:hint="eastAsia" w:ascii="黑体" w:hAnsi="黑体" w:eastAsia="黑体" w:cs="黑体"/>
                <w:i/>
                <w:iCs/>
                <w:color w:val="000000"/>
                <w:sz w:val="18"/>
                <w:szCs w:val="18"/>
                <w:u w:val="none"/>
              </w:rPr>
            </w:pPr>
          </w:p>
        </w:tc>
      </w:tr>
      <w:tr w14:paraId="069F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E5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E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7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F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1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2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E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4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5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6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86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BD5D">
            <w:pPr>
              <w:jc w:val="center"/>
              <w:rPr>
                <w:rFonts w:hint="eastAsia" w:ascii="宋体" w:hAnsi="宋体" w:eastAsia="宋体" w:cs="宋体"/>
                <w:i w:val="0"/>
                <w:iCs w:val="0"/>
                <w:color w:val="000000"/>
                <w:sz w:val="18"/>
                <w:szCs w:val="18"/>
                <w:u w:val="none"/>
              </w:rPr>
            </w:pPr>
          </w:p>
        </w:tc>
        <w:tc>
          <w:tcPr>
            <w:tcW w:w="2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E0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0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4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项目评审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6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B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7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EF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9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2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0AB1">
            <w:pPr>
              <w:jc w:val="center"/>
              <w:rPr>
                <w:rFonts w:hint="eastAsia" w:ascii="微软雅黑" w:hAnsi="微软雅黑" w:eastAsia="微软雅黑" w:cs="微软雅黑"/>
                <w:i/>
                <w:iCs/>
                <w:color w:val="000000"/>
                <w:sz w:val="16"/>
                <w:szCs w:val="16"/>
                <w:u w:val="none"/>
              </w:rPr>
            </w:pPr>
          </w:p>
        </w:tc>
      </w:tr>
      <w:tr w14:paraId="37AC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1796F">
            <w:pPr>
              <w:jc w:val="cente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47C61">
            <w:pPr>
              <w:jc w:val="center"/>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E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8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权威性</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5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4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0F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E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A2E4">
            <w:pPr>
              <w:jc w:val="center"/>
              <w:rPr>
                <w:rFonts w:hint="eastAsia" w:ascii="微软雅黑" w:hAnsi="微软雅黑" w:eastAsia="微软雅黑" w:cs="微软雅黑"/>
                <w:i/>
                <w:iCs/>
                <w:color w:val="000000"/>
                <w:sz w:val="16"/>
                <w:szCs w:val="16"/>
                <w:u w:val="none"/>
              </w:rPr>
            </w:pPr>
          </w:p>
        </w:tc>
      </w:tr>
      <w:tr w14:paraId="77CA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AF86B">
            <w:pPr>
              <w:jc w:val="cente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B843">
            <w:pPr>
              <w:jc w:val="center"/>
              <w:rPr>
                <w:rFonts w:hint="eastAsia" w:ascii="宋体" w:hAnsi="宋体" w:eastAsia="宋体" w:cs="宋体"/>
                <w:i w:val="0"/>
                <w:iCs w:val="0"/>
                <w:color w:val="000000"/>
                <w:sz w:val="18"/>
                <w:szCs w:val="18"/>
                <w:u w:val="none"/>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98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7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即办件</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6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1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5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703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0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F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B194">
            <w:pPr>
              <w:jc w:val="center"/>
              <w:rPr>
                <w:rFonts w:hint="eastAsia" w:ascii="微软雅黑" w:hAnsi="微软雅黑" w:eastAsia="微软雅黑" w:cs="微软雅黑"/>
                <w:i/>
                <w:iCs/>
                <w:color w:val="000000"/>
                <w:sz w:val="16"/>
                <w:szCs w:val="16"/>
                <w:u w:val="none"/>
              </w:rPr>
            </w:pPr>
          </w:p>
        </w:tc>
      </w:tr>
      <w:tr w14:paraId="001D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B2EF">
            <w:pPr>
              <w:jc w:val="center"/>
              <w:rPr>
                <w:rFonts w:hint="eastAsia" w:ascii="宋体" w:hAnsi="宋体" w:eastAsia="宋体" w:cs="宋体"/>
                <w:i w:val="0"/>
                <w:iCs w:val="0"/>
                <w:color w:val="000000"/>
                <w:sz w:val="18"/>
                <w:szCs w:val="18"/>
                <w:u w:val="none"/>
              </w:rPr>
            </w:pPr>
          </w:p>
        </w:tc>
        <w:tc>
          <w:tcPr>
            <w:tcW w:w="2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53BE">
            <w:pPr>
              <w:jc w:val="center"/>
              <w:rPr>
                <w:rFonts w:hint="eastAsia" w:ascii="宋体" w:hAnsi="宋体" w:eastAsia="宋体" w:cs="宋体"/>
                <w:i w:val="0"/>
                <w:iCs w:val="0"/>
                <w:color w:val="000000"/>
                <w:sz w:val="18"/>
                <w:szCs w:val="18"/>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D49FA">
            <w:pPr>
              <w:jc w:val="center"/>
              <w:rPr>
                <w:rFonts w:hint="eastAsia" w:ascii="宋体" w:hAnsi="宋体" w:eastAsia="宋体" w:cs="宋体"/>
                <w:i w:val="0"/>
                <w:iCs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项目审查</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2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0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8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2E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C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6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366E">
            <w:pPr>
              <w:jc w:val="center"/>
              <w:rPr>
                <w:rFonts w:hint="eastAsia" w:ascii="微软雅黑" w:hAnsi="微软雅黑" w:eastAsia="微软雅黑" w:cs="微软雅黑"/>
                <w:i/>
                <w:iCs/>
                <w:color w:val="000000"/>
                <w:sz w:val="16"/>
                <w:szCs w:val="16"/>
                <w:u w:val="none"/>
              </w:rPr>
            </w:pPr>
          </w:p>
        </w:tc>
      </w:tr>
      <w:tr w14:paraId="63CB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78CD">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D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4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2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群众获得感</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4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3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3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0E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B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0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07B3">
            <w:pPr>
              <w:jc w:val="center"/>
              <w:rPr>
                <w:rFonts w:hint="eastAsia" w:ascii="微软雅黑" w:hAnsi="微软雅黑" w:eastAsia="微软雅黑" w:cs="微软雅黑"/>
                <w:i/>
                <w:iCs/>
                <w:color w:val="000000"/>
                <w:sz w:val="16"/>
                <w:szCs w:val="16"/>
                <w:u w:val="none"/>
              </w:rPr>
            </w:pPr>
          </w:p>
        </w:tc>
      </w:tr>
      <w:tr w14:paraId="3421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06F9A">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0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8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9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服务群众满意度</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9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6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8B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4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9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7AE8">
            <w:pPr>
              <w:jc w:val="center"/>
              <w:rPr>
                <w:rFonts w:hint="eastAsia" w:ascii="微软雅黑" w:hAnsi="微软雅黑" w:eastAsia="微软雅黑" w:cs="微软雅黑"/>
                <w:i/>
                <w:iCs/>
                <w:color w:val="000000"/>
                <w:sz w:val="16"/>
                <w:szCs w:val="16"/>
                <w:u w:val="none"/>
              </w:rPr>
            </w:pPr>
          </w:p>
        </w:tc>
      </w:tr>
      <w:tr w14:paraId="2046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21B8">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F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项目预算经费</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9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A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F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1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24.69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A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4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778D">
            <w:pPr>
              <w:jc w:val="center"/>
              <w:rPr>
                <w:rFonts w:hint="eastAsia" w:ascii="微软雅黑" w:hAnsi="微软雅黑" w:eastAsia="微软雅黑" w:cs="微软雅黑"/>
                <w:i/>
                <w:iCs/>
                <w:color w:val="000000"/>
                <w:sz w:val="16"/>
                <w:szCs w:val="16"/>
                <w:u w:val="none"/>
              </w:rPr>
            </w:pPr>
          </w:p>
        </w:tc>
      </w:tr>
      <w:tr w14:paraId="3674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3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A47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9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5E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5527">
            <w:pPr>
              <w:rPr>
                <w:rFonts w:hint="eastAsia" w:ascii="宋体" w:hAnsi="宋体" w:eastAsia="宋体" w:cs="宋体"/>
                <w:i w:val="0"/>
                <w:iCs w:val="0"/>
                <w:color w:val="000000"/>
                <w:sz w:val="18"/>
                <w:szCs w:val="18"/>
                <w:u w:val="none"/>
              </w:rPr>
            </w:pPr>
          </w:p>
        </w:tc>
      </w:tr>
      <w:tr w14:paraId="1A05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1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7DDDA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项目强调专款专用，按需申报项目使用计划，有效保障部门审批项目专家评审良性循环和大厅工作的正常运行。2024年项目预算经费25万元，实际支付24.69万元，预算执行率达98.76%。</w:t>
            </w:r>
          </w:p>
        </w:tc>
      </w:tr>
      <w:tr w14:paraId="17A5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A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7E686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C18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A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7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2978F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153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C9D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项目负责人：雷嘉明</w:t>
            </w:r>
          </w:p>
        </w:tc>
        <w:tc>
          <w:tcPr>
            <w:tcW w:w="5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20C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财务负责人：宋雨娟</w:t>
            </w:r>
          </w:p>
        </w:tc>
      </w:tr>
    </w:tbl>
    <w:p w14:paraId="7F8BF1C0">
      <w:pPr>
        <w:rPr>
          <w:rFonts w:hint="eastAsia"/>
          <w:lang w:val="zh-CN" w:eastAsia="zh-CN"/>
        </w:rPr>
      </w:pPr>
    </w:p>
    <w:p w14:paraId="2C3D2DDD">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E869614">
      <w:pPr>
        <w:pStyle w:val="9"/>
        <w:rPr>
          <w:rFonts w:hint="eastAsia" w:ascii="Times New Roman" w:hAnsi="Times New Roman" w:cs="宋体"/>
          <w:color w:val="FF0000"/>
          <w:kern w:val="0"/>
          <w:sz w:val="32"/>
          <w:szCs w:val="32"/>
          <w:highlight w:val="yellow"/>
          <w:shd w:val="clear" w:color="auto" w:fill="FFFFFF"/>
          <w:lang w:val="zh-CN"/>
        </w:rPr>
      </w:pPr>
    </w:p>
    <w:p w14:paraId="020F8676">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746A644C">
      <w:pPr>
        <w:pStyle w:val="9"/>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3DAF3C2A">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4F878AD5">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07C337AE">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eastAsia="宋体"/>
          <w:color w:val="auto"/>
          <w:kern w:val="2"/>
          <w:sz w:val="32"/>
          <w:szCs w:val="32"/>
          <w:highlight w:val="none"/>
          <w:lang w:val="en-US" w:eastAsia="zh-CN"/>
        </w:rPr>
      </w:pPr>
      <w:r>
        <w:rPr>
          <w:rFonts w:hint="eastAsia" w:ascii="Times New Roman" w:hAnsi="Times New Roman"/>
          <w:color w:val="auto"/>
          <w:kern w:val="2"/>
          <w:sz w:val="32"/>
          <w:szCs w:val="32"/>
          <w:highlight w:val="none"/>
          <w:lang w:val="en-US" w:eastAsia="zh-CN"/>
        </w:rPr>
        <w:t>（</w:t>
      </w:r>
      <w:r>
        <w:rPr>
          <w:rFonts w:hint="eastAsia" w:ascii="仿宋_GB2312" w:hAnsi="Times New Roman" w:eastAsia="仿宋_GB2312" w:cs="Times New Roman"/>
          <w:color w:val="auto"/>
          <w:sz w:val="32"/>
          <w:szCs w:val="32"/>
          <w:highlight w:val="none"/>
          <w:u w:val="none"/>
          <w:lang w:eastAsia="zh-CN"/>
        </w:rPr>
        <w:t>便民服务体系建设专项经费）</w:t>
      </w:r>
    </w:p>
    <w:p w14:paraId="079C114D">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eastAsia" w:ascii="Times New Roman" w:hAnsi="Times New Roman" w:eastAsia="宋体"/>
          <w:color w:val="auto"/>
          <w:kern w:val="2"/>
          <w:sz w:val="32"/>
          <w:szCs w:val="32"/>
          <w:highlight w:val="none"/>
          <w:lang w:val="en-US" w:eastAsia="zh-CN"/>
        </w:rPr>
      </w:pPr>
    </w:p>
    <w:p w14:paraId="4702764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6A0A86C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Times New Roman" w:hAnsi="Times New Roman" w:eastAsia="楷体_GB2312"/>
          <w:b w:val="0"/>
          <w:bCs/>
          <w:color w:val="auto"/>
          <w:sz w:val="32"/>
          <w:szCs w:val="32"/>
          <w:highlight w:val="none"/>
          <w:u w:val="none"/>
          <w:lang w:val="zh-CN"/>
        </w:rPr>
        <w:t>（一）设立背景及基本情况。</w:t>
      </w:r>
      <w:r>
        <w:rPr>
          <w:rFonts w:hint="eastAsia" w:ascii="仿宋_GB2312" w:hAnsi="仿宋_GB2312" w:eastAsia="仿宋_GB2312" w:cs="仿宋_GB2312"/>
          <w:color w:val="auto"/>
          <w:kern w:val="2"/>
          <w:sz w:val="32"/>
          <w:szCs w:val="32"/>
          <w:highlight w:val="none"/>
          <w:lang w:val="zh-CN" w:eastAsia="zh-CN" w:bidi="ar-SA"/>
        </w:rPr>
        <w:t>为更好地保障政务服务大厅办理审批和服务事项的正常运行。有效保障常驻窗口人员办公设备和办公耗材的使用，以及特定项目百分百达到专家评审要求，特设立此项目。</w:t>
      </w:r>
    </w:p>
    <w:p w14:paraId="27408A6F">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楷体_GB2312" w:cs="Times New Roman"/>
          <w:b w:val="0"/>
          <w:bCs/>
          <w:color w:val="auto"/>
          <w:sz w:val="32"/>
          <w:szCs w:val="32"/>
          <w:highlight w:val="none"/>
          <w:u w:val="none"/>
          <w:lang w:val="zh-CN"/>
        </w:rPr>
        <w:t>（二）</w:t>
      </w:r>
      <w:r>
        <w:rPr>
          <w:rFonts w:hint="default" w:ascii="Times New Roman" w:hAnsi="Times New Roman" w:eastAsia="楷体_GB2312" w:cs="Times New Roman"/>
          <w:b w:val="0"/>
          <w:bCs/>
          <w:color w:val="auto"/>
          <w:sz w:val="32"/>
          <w:szCs w:val="32"/>
          <w:highlight w:val="none"/>
          <w:u w:val="none"/>
          <w:lang w:val="en-US" w:eastAsia="zh-CN"/>
        </w:rPr>
        <w:t>实施目的及支持方向</w:t>
      </w:r>
      <w:r>
        <w:rPr>
          <w:rFonts w:hint="eastAsia" w:ascii="Times New Roman" w:hAnsi="Times New Roman" w:eastAsia="楷体_GB2312" w:cs="Times New Roman"/>
          <w:b w:val="0"/>
          <w:bCs/>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政务大厅常驻窗口人员办公费和水土保持和水资源论证评审费，</w:t>
      </w:r>
      <w:r>
        <w:rPr>
          <w:rFonts w:hint="eastAsia" w:ascii="仿宋_GB2312" w:hAnsi="仿宋_GB2312" w:eastAsia="仿宋_GB2312" w:cs="仿宋_GB2312"/>
          <w:color w:val="auto"/>
          <w:kern w:val="2"/>
          <w:sz w:val="32"/>
          <w:szCs w:val="32"/>
          <w:highlight w:val="none"/>
          <w:lang w:val="zh-CN" w:eastAsia="zh-CN" w:bidi="ar-SA"/>
        </w:rPr>
        <w:t>确保专业性强的项目可行性、控制风险优化资源配置。</w:t>
      </w:r>
    </w:p>
    <w:p w14:paraId="75FA72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Times New Roman" w:hAnsi="Times New Roman" w:eastAsia="楷体_GB2312" w:cs="Times New Roman"/>
          <w:b w:val="0"/>
          <w:bCs/>
          <w:color w:val="auto"/>
          <w:sz w:val="32"/>
          <w:szCs w:val="32"/>
          <w:highlight w:val="none"/>
          <w:u w:val="none"/>
          <w:lang w:val="zh-CN" w:eastAsia="zh-CN"/>
        </w:rPr>
        <w:t>（三）</w:t>
      </w:r>
      <w:r>
        <w:rPr>
          <w:rFonts w:hint="default" w:ascii="Times New Roman" w:hAnsi="Times New Roman" w:eastAsia="楷体_GB2312" w:cs="Times New Roman"/>
          <w:b w:val="0"/>
          <w:bCs/>
          <w:color w:val="auto"/>
          <w:sz w:val="32"/>
          <w:szCs w:val="32"/>
          <w:highlight w:val="none"/>
          <w:u w:val="none"/>
          <w:lang w:val="en-US" w:eastAsia="zh-CN"/>
        </w:rPr>
        <w:t>预算安排及分配管理</w:t>
      </w:r>
      <w:r>
        <w:rPr>
          <w:rFonts w:hint="eastAsia" w:ascii="Times New Roman" w:hAnsi="Times New Roman" w:eastAsia="楷体_GB2312" w:cs="Times New Roman"/>
          <w:b w:val="0"/>
          <w:bCs/>
          <w:color w:val="auto"/>
          <w:sz w:val="32"/>
          <w:szCs w:val="32"/>
          <w:highlight w:val="none"/>
          <w:u w:val="none"/>
          <w:lang w:val="zh-CN" w:eastAsia="zh-CN"/>
        </w:rPr>
        <w:t>。</w:t>
      </w:r>
      <w:r>
        <w:rPr>
          <w:rFonts w:hint="eastAsia" w:ascii="仿宋_GB2312" w:hAnsi="仿宋_GB2312" w:eastAsia="仿宋_GB2312" w:cs="仿宋_GB2312"/>
          <w:color w:val="auto"/>
          <w:kern w:val="2"/>
          <w:sz w:val="32"/>
          <w:szCs w:val="32"/>
          <w:highlight w:val="none"/>
          <w:lang w:val="zh-CN" w:eastAsia="zh-CN" w:bidi="ar-SA"/>
        </w:rPr>
        <w:t>项目根据常驻窗口入驻人数、水土保持和水资源论证预估项目数进行预算安排，项目总预算</w:t>
      </w:r>
      <w:r>
        <w:rPr>
          <w:rFonts w:hint="eastAsia" w:ascii="仿宋_GB2312" w:hAnsi="仿宋_GB2312" w:eastAsia="仿宋_GB2312" w:cs="仿宋_GB2312"/>
          <w:color w:val="auto"/>
          <w:kern w:val="2"/>
          <w:sz w:val="32"/>
          <w:szCs w:val="32"/>
          <w:highlight w:val="none"/>
          <w:lang w:val="en-US" w:eastAsia="zh-CN" w:bidi="ar-SA"/>
        </w:rPr>
        <w:t xml:space="preserve"> 25万元，其中，</w:t>
      </w:r>
      <w:r>
        <w:rPr>
          <w:rFonts w:hint="eastAsia" w:ascii="仿宋_GB2312" w:hAnsi="仿宋_GB2312" w:eastAsia="仿宋_GB2312" w:cs="仿宋_GB2312"/>
          <w:color w:val="auto"/>
          <w:kern w:val="2"/>
          <w:sz w:val="32"/>
          <w:szCs w:val="32"/>
          <w:highlight w:val="none"/>
          <w:lang w:val="zh-CN" w:eastAsia="zh-CN" w:bidi="ar-SA"/>
        </w:rPr>
        <w:t>常驻窗口人员办公费预算为</w:t>
      </w:r>
      <w:r>
        <w:rPr>
          <w:rFonts w:hint="eastAsia" w:ascii="仿宋_GB2312" w:hAnsi="仿宋_GB2312" w:eastAsia="仿宋_GB2312" w:cs="仿宋_GB2312"/>
          <w:color w:val="auto"/>
          <w:kern w:val="2"/>
          <w:sz w:val="32"/>
          <w:szCs w:val="32"/>
          <w:highlight w:val="none"/>
          <w:lang w:val="en-US" w:eastAsia="zh-CN" w:bidi="ar-SA"/>
        </w:rPr>
        <w:t>23万元，</w:t>
      </w:r>
      <w:r>
        <w:rPr>
          <w:rFonts w:hint="eastAsia" w:ascii="仿宋_GB2312" w:hAnsi="仿宋_GB2312" w:eastAsia="仿宋_GB2312" w:cs="仿宋_GB2312"/>
          <w:color w:val="auto"/>
          <w:kern w:val="2"/>
          <w:sz w:val="32"/>
          <w:szCs w:val="32"/>
          <w:highlight w:val="none"/>
          <w:lang w:val="zh-CN" w:eastAsia="zh-CN" w:bidi="ar-SA"/>
        </w:rPr>
        <w:t>水土保持和水资源论证委托业务费预算</w:t>
      </w:r>
      <w:r>
        <w:rPr>
          <w:rFonts w:hint="eastAsia" w:ascii="仿宋_GB2312" w:hAnsi="仿宋_GB2312" w:eastAsia="仿宋_GB2312" w:cs="仿宋_GB2312"/>
          <w:color w:val="auto"/>
          <w:kern w:val="2"/>
          <w:sz w:val="32"/>
          <w:szCs w:val="32"/>
          <w:highlight w:val="none"/>
          <w:lang w:val="en-US" w:eastAsia="zh-CN" w:bidi="ar-SA"/>
        </w:rPr>
        <w:t>2万元</w:t>
      </w:r>
      <w:r>
        <w:rPr>
          <w:rFonts w:hint="eastAsia" w:ascii="仿宋_GB2312" w:hAnsi="仿宋_GB2312" w:eastAsia="仿宋_GB2312" w:cs="仿宋_GB2312"/>
          <w:color w:val="auto"/>
          <w:kern w:val="2"/>
          <w:sz w:val="32"/>
          <w:szCs w:val="32"/>
          <w:highlight w:val="none"/>
          <w:lang w:val="zh-CN" w:eastAsia="zh-CN" w:bidi="ar-SA"/>
        </w:rPr>
        <w:t>。</w:t>
      </w:r>
    </w:p>
    <w:p w14:paraId="45B1F19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Times New Roman" w:hAnsi="Times New Roman" w:eastAsia="楷体_GB2312" w:cs="Times New Roman"/>
          <w:b w:val="0"/>
          <w:bCs/>
          <w:color w:val="auto"/>
          <w:sz w:val="32"/>
          <w:szCs w:val="32"/>
          <w:highlight w:val="none"/>
          <w:u w:val="none"/>
          <w:lang w:val="zh-CN" w:eastAsia="zh-CN"/>
        </w:rPr>
        <w:t>（四）项目绩效目标设置。</w:t>
      </w:r>
      <w:r>
        <w:rPr>
          <w:rFonts w:hint="eastAsia" w:ascii="仿宋_GB2312" w:hAnsi="仿宋_GB2312" w:eastAsia="仿宋_GB2312" w:cs="仿宋_GB2312"/>
          <w:color w:val="auto"/>
          <w:kern w:val="2"/>
          <w:sz w:val="32"/>
          <w:szCs w:val="32"/>
          <w:highlight w:val="none"/>
          <w:lang w:val="zh-CN" w:eastAsia="zh-CN" w:bidi="ar-SA"/>
        </w:rPr>
        <w:t>绩效目标设置是为指明项目实施方向，逐层分解，逐步落实。目标设置做到合理且符合实际。</w:t>
      </w:r>
    </w:p>
    <w:p w14:paraId="58E185C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rPr>
        <w:t>二、</w:t>
      </w:r>
      <w:r>
        <w:rPr>
          <w:rFonts w:hint="eastAsia" w:ascii="Times New Roman" w:hAnsi="Times New Roman" w:eastAsia="黑体"/>
          <w:color w:val="auto"/>
          <w:sz w:val="32"/>
          <w:szCs w:val="32"/>
          <w:highlight w:val="none"/>
          <w:lang w:eastAsia="zh-CN"/>
        </w:rPr>
        <w:t>评价实施</w:t>
      </w:r>
    </w:p>
    <w:p w14:paraId="195748F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FF0000"/>
          <w:kern w:val="0"/>
          <w:position w:val="0"/>
          <w:sz w:val="32"/>
          <w:szCs w:val="32"/>
          <w:highlight w:val="none"/>
          <w:lang w:val="zh-CN" w:eastAsia="zh-CN" w:bidi="ar-SA"/>
        </w:rPr>
      </w:pPr>
      <w:r>
        <w:rPr>
          <w:rFonts w:hint="eastAsia" w:ascii="Times New Roman" w:hAnsi="Times New Roman" w:eastAsia="楷体_GB2312" w:cs="Times New Roman"/>
          <w:b w:val="0"/>
          <w:bCs/>
          <w:color w:val="auto"/>
          <w:sz w:val="32"/>
          <w:szCs w:val="32"/>
          <w:highlight w:val="none"/>
          <w:u w:val="none"/>
          <w:lang w:val="zh-CN" w:eastAsia="zh-CN"/>
        </w:rPr>
        <w:t>（一）评价目的。</w:t>
      </w:r>
      <w:r>
        <w:rPr>
          <w:rFonts w:hint="eastAsia" w:ascii="仿宋_GB2312" w:hAnsi="仿宋_GB2312" w:eastAsia="仿宋_GB2312" w:cs="仿宋_GB2312"/>
          <w:color w:val="auto"/>
          <w:kern w:val="2"/>
          <w:sz w:val="32"/>
          <w:szCs w:val="32"/>
          <w:highlight w:val="none"/>
          <w:lang w:val="zh-CN" w:eastAsia="zh-CN" w:bidi="ar-SA"/>
        </w:rPr>
        <w:t>项目评价核心是“以评促管、以评促效”。是依据预算绩效目标，对项目全过程的产出与效益进行客观测评，以优化资源配置、提升资金使用效益。</w:t>
      </w:r>
    </w:p>
    <w:p w14:paraId="3532BD5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Times New Roman" w:hAnsi="Times New Roman" w:eastAsia="楷体_GB2312" w:cs="Times New Roman"/>
          <w:b w:val="0"/>
          <w:bCs/>
          <w:color w:val="auto"/>
          <w:sz w:val="32"/>
          <w:szCs w:val="32"/>
          <w:highlight w:val="none"/>
          <w:u w:val="none"/>
          <w:lang w:val="zh-CN" w:eastAsia="zh-CN"/>
        </w:rPr>
        <w:t>（二）预设问题及评价重点。</w:t>
      </w:r>
      <w:r>
        <w:rPr>
          <w:rFonts w:hint="eastAsia" w:ascii="仿宋_GB2312" w:hAnsi="仿宋_GB2312" w:eastAsia="仿宋_GB2312" w:cs="仿宋_GB2312"/>
          <w:color w:val="auto"/>
          <w:kern w:val="2"/>
          <w:sz w:val="32"/>
          <w:szCs w:val="32"/>
          <w:highlight w:val="none"/>
          <w:lang w:val="zh-CN" w:eastAsia="zh-CN" w:bidi="ar-SA"/>
        </w:rPr>
        <w:t>根据项目绩效自评指标，从项目的产出、效益、成本及群众满意度等四个方面进行评价，对项目指标的完成数量、质量、时效及成本等方面进行重点审查。</w:t>
      </w:r>
    </w:p>
    <w:p w14:paraId="78752B3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Times New Roman" w:hAnsi="Times New Roman" w:eastAsia="楷体_GB2312"/>
          <w:b w:val="0"/>
          <w:bCs/>
          <w:color w:val="auto"/>
          <w:sz w:val="32"/>
          <w:szCs w:val="32"/>
          <w:highlight w:val="none"/>
          <w:u w:val="none"/>
          <w:lang w:val="zh-CN"/>
        </w:rPr>
        <w:t>（四）评价方法。</w:t>
      </w:r>
      <w:r>
        <w:rPr>
          <w:rFonts w:hint="eastAsia" w:ascii="仿宋_GB2312" w:hAnsi="仿宋_GB2312" w:eastAsia="仿宋_GB2312" w:cs="仿宋_GB2312"/>
          <w:color w:val="auto"/>
          <w:kern w:val="2"/>
          <w:sz w:val="32"/>
          <w:szCs w:val="32"/>
          <w:highlight w:val="none"/>
          <w:lang w:val="zh-CN" w:eastAsia="zh-CN" w:bidi="ar-SA"/>
        </w:rPr>
        <w:t>此项目采用成本效益分析法进行单位自评。</w:t>
      </w:r>
    </w:p>
    <w:p w14:paraId="5C36E22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val="0"/>
          <w:bCs/>
          <w:color w:val="auto"/>
          <w:sz w:val="32"/>
          <w:szCs w:val="32"/>
          <w:highlight w:val="none"/>
          <w:u w:val="none"/>
          <w:lang w:val="zh-CN"/>
        </w:rPr>
        <w:t>（五）评价组织。</w:t>
      </w:r>
      <w:r>
        <w:rPr>
          <w:rFonts w:hint="eastAsia" w:ascii="仿宋_GB2312" w:hAnsi="仿宋_GB2312" w:eastAsia="仿宋_GB2312" w:cs="仿宋_GB2312"/>
          <w:color w:val="auto"/>
          <w:kern w:val="2"/>
          <w:sz w:val="32"/>
          <w:szCs w:val="32"/>
          <w:highlight w:val="none"/>
          <w:lang w:val="zh-CN" w:eastAsia="zh-CN" w:bidi="ar-SA"/>
        </w:rPr>
        <w:t>此项目成立了自评小组，以分管领导组长负责项目自评全面工作，业务股和财务人员负责对项目执行及指标具体完成情况进行评价。</w:t>
      </w:r>
    </w:p>
    <w:p w14:paraId="074332D1">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FF0000"/>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FF0000"/>
          <w:sz w:val="32"/>
          <w:szCs w:val="32"/>
          <w:highlight w:val="none"/>
          <w:u w:val="none"/>
          <w:lang w:val="zh-CN"/>
        </w:rPr>
        <w:tab/>
      </w:r>
    </w:p>
    <w:p w14:paraId="0AE2160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项目决策。</w:t>
      </w:r>
      <w:r>
        <w:rPr>
          <w:rFonts w:hint="eastAsia" w:ascii="仿宋_GB2312" w:hAnsi="仿宋_GB2312" w:eastAsia="仿宋_GB2312" w:cs="仿宋_GB2312"/>
          <w:color w:val="auto"/>
          <w:kern w:val="2"/>
          <w:sz w:val="32"/>
          <w:szCs w:val="32"/>
          <w:highlight w:val="none"/>
          <w:lang w:val="en-US" w:eastAsia="zh-CN" w:bidi="ar-SA"/>
        </w:rPr>
        <w:t>为增强行政机关人员服务意识，提升工作效率，塑造良好政府形象，有效保障服务大厅正常运转经局党组决定设立此项目。</w:t>
      </w:r>
    </w:p>
    <w:p w14:paraId="4474D90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项目管理和实施。项目依照按需分配的原则进行预算和执行管理，对项目设定绩效指标和实施计划，从数量、质量、时效、成本控制和办件群众满意度等方面进行设置，确保</w:t>
      </w:r>
      <w:r>
        <w:rPr>
          <w:rFonts w:hint="eastAsia" w:ascii="仿宋_GB2312" w:hAnsi="仿宋_GB2312" w:eastAsia="仿宋_GB2312" w:cs="仿宋_GB2312"/>
          <w:color w:val="auto"/>
          <w:kern w:val="2"/>
          <w:sz w:val="32"/>
          <w:szCs w:val="32"/>
          <w:highlight w:val="none"/>
          <w:lang w:val="en-US" w:eastAsia="zh-CN" w:bidi="ar-SA"/>
        </w:rPr>
        <w:t>项目实施达到预期目标。</w:t>
      </w:r>
    </w:p>
    <w:p w14:paraId="0C6AA2E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项目结果。2024年项目评审预算数5个实际完成评审项目15个，超额完成预期任务。项目权威性审核100%，即办件和项目审查在规定时间内完成，成本控制在预算范围内，全年无一起投诉，群众满意度95%。项目自评得分100分。</w:t>
      </w:r>
    </w:p>
    <w:p w14:paraId="5958BF7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color w:val="auto"/>
          <w:kern w:val="0"/>
          <w:position w:val="0"/>
          <w:sz w:val="32"/>
          <w:szCs w:val="32"/>
          <w:highlight w:val="none"/>
          <w:lang w:val="en-US" w:eastAsia="zh-CN" w:bidi="ar-SA"/>
        </w:rPr>
      </w:pPr>
      <w:r>
        <w:rPr>
          <w:rFonts w:hint="eastAsia" w:ascii="黑体" w:hAnsi="黑体" w:eastAsia="黑体" w:cs="黑体"/>
          <w:b w:val="0"/>
          <w:bCs w:val="0"/>
          <w:color w:val="auto"/>
          <w:kern w:val="0"/>
          <w:position w:val="0"/>
          <w:sz w:val="32"/>
          <w:szCs w:val="32"/>
          <w:highlight w:val="none"/>
          <w:lang w:val="en-US" w:eastAsia="zh-CN" w:bidi="ar-SA"/>
        </w:rPr>
        <w:t>四、评价结论</w:t>
      </w:r>
    </w:p>
    <w:p w14:paraId="3C2355F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该项目有效保障政务大厅的正常运行。提高政务服务运行效率，充分体现党和政府以人为本的理念，增强了群众的获得感，提高了群众的满意度。提升政府全心全意为人民服务的形象，</w:t>
      </w:r>
      <w:r>
        <w:rPr>
          <w:rFonts w:hint="eastAsia" w:ascii="仿宋_GB2312" w:hAnsi="仿宋_GB2312" w:eastAsia="仿宋_GB2312" w:cs="仿宋_GB2312"/>
          <w:color w:val="auto"/>
          <w:kern w:val="2"/>
          <w:sz w:val="32"/>
          <w:szCs w:val="32"/>
          <w:highlight w:val="none"/>
          <w:lang w:val="en-US" w:eastAsia="zh-CN" w:bidi="ar-SA"/>
        </w:rPr>
        <w:t>有效促进区域经济发展。</w:t>
      </w:r>
    </w:p>
    <w:p w14:paraId="50BAD66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color w:val="auto"/>
          <w:kern w:val="0"/>
          <w:position w:val="0"/>
          <w:sz w:val="32"/>
          <w:szCs w:val="32"/>
          <w:highlight w:val="none"/>
          <w:lang w:val="en-US" w:eastAsia="zh-CN" w:bidi="ar-SA"/>
        </w:rPr>
      </w:pPr>
      <w:r>
        <w:rPr>
          <w:rFonts w:hint="eastAsia" w:ascii="黑体" w:hAnsi="黑体" w:eastAsia="黑体" w:cs="黑体"/>
          <w:b w:val="0"/>
          <w:bCs w:val="0"/>
          <w:color w:val="auto"/>
          <w:kern w:val="0"/>
          <w:position w:val="0"/>
          <w:sz w:val="32"/>
          <w:szCs w:val="32"/>
          <w:highlight w:val="none"/>
          <w:lang w:val="en-US" w:eastAsia="zh-CN" w:bidi="ar-SA"/>
        </w:rPr>
        <w:t>五、存在主要问题</w:t>
      </w:r>
    </w:p>
    <w:p w14:paraId="1B9EE86B">
      <w:pPr>
        <w:keepNext w:val="0"/>
        <w:keepLines w:val="0"/>
        <w:pageBreakBefore w:val="0"/>
        <w:widowControl w:val="0"/>
        <w:tabs>
          <w:tab w:val="left" w:pos="6061"/>
        </w:tabs>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r>
        <w:rPr>
          <w:rFonts w:hint="eastAsia" w:eastAsia="仿宋_GB2312" w:cs="仿宋_GB2312"/>
          <w:b w:val="0"/>
          <w:bCs w:val="0"/>
          <w:color w:val="auto"/>
          <w:kern w:val="0"/>
          <w:position w:val="0"/>
          <w:sz w:val="32"/>
          <w:szCs w:val="32"/>
          <w:highlight w:val="none"/>
          <w:lang w:val="en-US" w:eastAsia="zh-CN" w:bidi="ar-SA"/>
        </w:rPr>
        <w:tab/>
      </w:r>
    </w:p>
    <w:p w14:paraId="56DCB90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color w:val="auto"/>
          <w:kern w:val="0"/>
          <w:position w:val="0"/>
          <w:sz w:val="32"/>
          <w:szCs w:val="32"/>
          <w:highlight w:val="none"/>
          <w:lang w:val="zh-CN" w:eastAsia="zh-CN" w:bidi="ar-SA"/>
        </w:rPr>
      </w:pPr>
      <w:r>
        <w:rPr>
          <w:rFonts w:hint="eastAsia" w:ascii="黑体" w:hAnsi="黑体" w:eastAsia="黑体" w:cs="黑体"/>
          <w:b w:val="0"/>
          <w:bCs w:val="0"/>
          <w:color w:val="auto"/>
          <w:kern w:val="0"/>
          <w:position w:val="0"/>
          <w:sz w:val="32"/>
          <w:szCs w:val="32"/>
          <w:highlight w:val="none"/>
          <w:lang w:val="zh-CN" w:eastAsia="zh-CN" w:bidi="ar-SA"/>
        </w:rPr>
        <w:t>六、改进建议</w:t>
      </w:r>
    </w:p>
    <w:p w14:paraId="5C1A801D">
      <w:pPr>
        <w:keepNext w:val="0"/>
        <w:keepLines w:val="0"/>
        <w:pageBreakBefore w:val="0"/>
        <w:widowControl w:val="0"/>
        <w:tabs>
          <w:tab w:val="left" w:pos="6061"/>
        </w:tabs>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14:paraId="62286DC7">
      <w:pPr>
        <w:keepNext w:val="0"/>
        <w:keepLines w:val="0"/>
        <w:pageBreakBefore w:val="0"/>
        <w:widowControl w:val="0"/>
        <w:tabs>
          <w:tab w:val="left" w:pos="6061"/>
        </w:tabs>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en-US" w:eastAsia="zh-CN" w:bidi="ar-SA"/>
        </w:rPr>
      </w:pPr>
    </w:p>
    <w:p w14:paraId="0AE8155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9E51E8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16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260E7B4">
      <w:pPr>
        <w:pStyle w:val="5"/>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ascii="黑体" w:hAnsi="黑体" w:eastAsia="黑体" w:cs="黑体"/>
          <w:b w:val="0"/>
          <w:bCs w:val="0"/>
          <w:lang w:val="en-US" w:eastAsia="zh-CN"/>
        </w:rPr>
      </w:pPr>
      <w:bookmarkStart w:id="166" w:name="_Toc15663"/>
      <w:bookmarkStart w:id="167" w:name="_Toc18395"/>
      <w:bookmarkStart w:id="168" w:name="_Toc4785"/>
      <w:bookmarkStart w:id="169" w:name="_Toc19596"/>
      <w:bookmarkStart w:id="170" w:name="_Toc10530"/>
      <w:r>
        <w:rPr>
          <w:rFonts w:hint="eastAsia" w:ascii="黑体" w:hAnsi="黑体" w:eastAsia="黑体" w:cs="黑体"/>
          <w:b w:val="0"/>
          <w:bCs w:val="0"/>
          <w:lang w:val="en-US" w:eastAsia="zh-CN"/>
        </w:rPr>
        <w:t>第五部分 附表</w:t>
      </w:r>
      <w:bookmarkEnd w:id="159"/>
      <w:bookmarkEnd w:id="165"/>
      <w:bookmarkEnd w:id="166"/>
      <w:bookmarkEnd w:id="167"/>
      <w:bookmarkEnd w:id="168"/>
      <w:bookmarkEnd w:id="169"/>
      <w:bookmarkEnd w:id="170"/>
      <w:bookmarkStart w:id="171" w:name="_Toc15396619"/>
    </w:p>
    <w:p w14:paraId="5E68CAD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bookmarkEnd w:id="171"/>
    <w:p w14:paraId="1F3EBEC1">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72" w:name="_Toc703"/>
      <w:r>
        <w:rPr>
          <w:rFonts w:hint="eastAsia" w:ascii="仿宋_GB2312" w:hAnsi="仿宋_GB2312" w:eastAsia="仿宋_GB2312" w:cs="仿宋_GB2312"/>
          <w:b w:val="0"/>
          <w:bCs w:val="0"/>
          <w:color w:val="auto"/>
          <w:kern w:val="2"/>
          <w:sz w:val="32"/>
          <w:szCs w:val="32"/>
          <w:highlight w:val="none"/>
          <w:lang w:val="en-US" w:eastAsia="zh-CN" w:bidi="ar-SA"/>
        </w:rPr>
        <w:t>一、收入支出决算总表</w:t>
      </w:r>
      <w:bookmarkEnd w:id="172"/>
    </w:p>
    <w:p w14:paraId="32DA0113">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73" w:name="_Toc15396620"/>
      <w:bookmarkStart w:id="174" w:name="_Toc29312"/>
      <w:r>
        <w:rPr>
          <w:rFonts w:hint="eastAsia" w:ascii="仿宋_GB2312" w:hAnsi="仿宋_GB2312" w:eastAsia="仿宋_GB2312" w:cs="仿宋_GB2312"/>
          <w:b w:val="0"/>
          <w:bCs w:val="0"/>
          <w:color w:val="auto"/>
          <w:kern w:val="2"/>
          <w:sz w:val="32"/>
          <w:szCs w:val="32"/>
          <w:highlight w:val="none"/>
          <w:lang w:val="en-US" w:eastAsia="zh-CN" w:bidi="ar-SA"/>
        </w:rPr>
        <w:t>二、收入决算表</w:t>
      </w:r>
      <w:bookmarkEnd w:id="173"/>
      <w:bookmarkEnd w:id="174"/>
    </w:p>
    <w:p w14:paraId="62655FCC">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75" w:name="_Toc15396621"/>
      <w:bookmarkStart w:id="176" w:name="_Toc16162"/>
      <w:r>
        <w:rPr>
          <w:rFonts w:hint="eastAsia" w:ascii="仿宋_GB2312" w:hAnsi="仿宋_GB2312" w:eastAsia="仿宋_GB2312" w:cs="仿宋_GB2312"/>
          <w:b w:val="0"/>
          <w:bCs w:val="0"/>
          <w:color w:val="auto"/>
          <w:kern w:val="2"/>
          <w:sz w:val="32"/>
          <w:szCs w:val="32"/>
          <w:highlight w:val="none"/>
          <w:lang w:val="en-US" w:eastAsia="zh-CN" w:bidi="ar-SA"/>
        </w:rPr>
        <w:t>三、支出决算表</w:t>
      </w:r>
      <w:bookmarkEnd w:id="175"/>
      <w:bookmarkEnd w:id="176"/>
    </w:p>
    <w:p w14:paraId="455BD51C">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77" w:name="_Toc15396622"/>
      <w:bookmarkStart w:id="178" w:name="_Toc4219"/>
      <w:r>
        <w:rPr>
          <w:rFonts w:hint="eastAsia" w:ascii="仿宋_GB2312" w:hAnsi="仿宋_GB2312" w:eastAsia="仿宋_GB2312" w:cs="仿宋_GB2312"/>
          <w:b w:val="0"/>
          <w:bCs w:val="0"/>
          <w:color w:val="auto"/>
          <w:kern w:val="2"/>
          <w:sz w:val="32"/>
          <w:szCs w:val="32"/>
          <w:highlight w:val="none"/>
          <w:lang w:val="en-US" w:eastAsia="zh-CN" w:bidi="ar-SA"/>
        </w:rPr>
        <w:t>四、财政拨款收入支出决算总表</w:t>
      </w:r>
      <w:bookmarkEnd w:id="177"/>
      <w:bookmarkEnd w:id="178"/>
    </w:p>
    <w:p w14:paraId="53548172">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79" w:name="_Toc15396623"/>
      <w:bookmarkStart w:id="180" w:name="_Toc5606"/>
      <w:r>
        <w:rPr>
          <w:rFonts w:hint="eastAsia" w:ascii="仿宋_GB2312" w:hAnsi="仿宋_GB2312" w:eastAsia="仿宋_GB2312" w:cs="仿宋_GB2312"/>
          <w:b w:val="0"/>
          <w:bCs w:val="0"/>
          <w:color w:val="auto"/>
          <w:kern w:val="2"/>
          <w:sz w:val="32"/>
          <w:szCs w:val="32"/>
          <w:highlight w:val="none"/>
          <w:lang w:val="en-US" w:eastAsia="zh-CN" w:bidi="ar-SA"/>
        </w:rPr>
        <w:t>五、财政拨款支出决算明细表</w:t>
      </w:r>
      <w:bookmarkEnd w:id="179"/>
      <w:bookmarkEnd w:id="180"/>
      <w:bookmarkStart w:id="181" w:name="_Toc15396624"/>
    </w:p>
    <w:p w14:paraId="10076B1D">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82" w:name="_Toc31666"/>
      <w:r>
        <w:rPr>
          <w:rFonts w:hint="eastAsia" w:ascii="仿宋_GB2312" w:hAnsi="仿宋_GB2312" w:eastAsia="仿宋_GB2312" w:cs="仿宋_GB2312"/>
          <w:b w:val="0"/>
          <w:bCs w:val="0"/>
          <w:color w:val="auto"/>
          <w:kern w:val="2"/>
          <w:sz w:val="32"/>
          <w:szCs w:val="32"/>
          <w:highlight w:val="none"/>
          <w:lang w:val="en-US" w:eastAsia="zh-CN" w:bidi="ar-SA"/>
        </w:rPr>
        <w:t>六、一般公共预算财政拨款支出决算表</w:t>
      </w:r>
      <w:bookmarkEnd w:id="181"/>
      <w:bookmarkEnd w:id="182"/>
    </w:p>
    <w:p w14:paraId="42046525">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83" w:name="_Toc15396625"/>
      <w:bookmarkStart w:id="184" w:name="_Toc211"/>
      <w:r>
        <w:rPr>
          <w:rFonts w:hint="eastAsia" w:ascii="仿宋_GB2312" w:hAnsi="仿宋_GB2312" w:eastAsia="仿宋_GB2312" w:cs="仿宋_GB2312"/>
          <w:b w:val="0"/>
          <w:bCs w:val="0"/>
          <w:color w:val="auto"/>
          <w:kern w:val="2"/>
          <w:sz w:val="32"/>
          <w:szCs w:val="32"/>
          <w:highlight w:val="none"/>
          <w:lang w:val="en-US" w:eastAsia="zh-CN" w:bidi="ar-SA"/>
        </w:rPr>
        <w:t>七、一般公共预算财政拨款支出决算明细表</w:t>
      </w:r>
      <w:bookmarkEnd w:id="183"/>
      <w:bookmarkEnd w:id="184"/>
    </w:p>
    <w:p w14:paraId="2EBCD10A">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85" w:name="_Toc15396626"/>
      <w:bookmarkStart w:id="186" w:name="_Toc17363"/>
      <w:r>
        <w:rPr>
          <w:rFonts w:hint="eastAsia" w:ascii="仿宋_GB2312" w:hAnsi="仿宋_GB2312" w:eastAsia="仿宋_GB2312" w:cs="仿宋_GB2312"/>
          <w:b w:val="0"/>
          <w:bCs w:val="0"/>
          <w:color w:val="auto"/>
          <w:kern w:val="2"/>
          <w:sz w:val="32"/>
          <w:szCs w:val="32"/>
          <w:highlight w:val="none"/>
          <w:lang w:val="en-US" w:eastAsia="zh-CN" w:bidi="ar-SA"/>
        </w:rPr>
        <w:t>八、一般公共预算财政拨款基本支出决算表</w:t>
      </w:r>
      <w:bookmarkEnd w:id="185"/>
      <w:bookmarkEnd w:id="186"/>
    </w:p>
    <w:p w14:paraId="14A22567">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87" w:name="_Toc15396627"/>
      <w:bookmarkStart w:id="188" w:name="_Toc25054"/>
      <w:r>
        <w:rPr>
          <w:rFonts w:hint="eastAsia" w:ascii="仿宋_GB2312" w:hAnsi="仿宋_GB2312" w:eastAsia="仿宋_GB2312" w:cs="仿宋_GB2312"/>
          <w:b w:val="0"/>
          <w:bCs w:val="0"/>
          <w:color w:val="auto"/>
          <w:kern w:val="2"/>
          <w:sz w:val="32"/>
          <w:szCs w:val="32"/>
          <w:highlight w:val="none"/>
          <w:lang w:val="en-US" w:eastAsia="zh-CN" w:bidi="ar-SA"/>
        </w:rPr>
        <w:t>九、一般公共预算财政拨款项目支出决算表</w:t>
      </w:r>
      <w:bookmarkEnd w:id="187"/>
      <w:bookmarkEnd w:id="188"/>
    </w:p>
    <w:p w14:paraId="4390FB08">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89" w:name="_Toc15396628"/>
      <w:bookmarkStart w:id="190" w:name="_Toc30731"/>
      <w:r>
        <w:rPr>
          <w:rFonts w:hint="eastAsia" w:ascii="仿宋_GB2312" w:hAnsi="仿宋_GB2312" w:eastAsia="仿宋_GB2312" w:cs="仿宋_GB2312"/>
          <w:b w:val="0"/>
          <w:bCs w:val="0"/>
          <w:color w:val="auto"/>
          <w:kern w:val="2"/>
          <w:sz w:val="32"/>
          <w:szCs w:val="32"/>
          <w:highlight w:val="none"/>
          <w:lang w:val="en-US" w:eastAsia="zh-CN" w:bidi="ar-SA"/>
        </w:rPr>
        <w:t>十、</w:t>
      </w:r>
      <w:bookmarkEnd w:id="189"/>
      <w:r>
        <w:rPr>
          <w:rFonts w:hint="eastAsia" w:ascii="仿宋_GB2312" w:hAnsi="仿宋_GB2312" w:eastAsia="仿宋_GB2312" w:cs="仿宋_GB2312"/>
          <w:b w:val="0"/>
          <w:bCs w:val="0"/>
          <w:color w:val="auto"/>
          <w:kern w:val="2"/>
          <w:sz w:val="32"/>
          <w:szCs w:val="32"/>
          <w:highlight w:val="none"/>
          <w:lang w:val="en-US" w:eastAsia="zh-CN" w:bidi="ar-SA"/>
        </w:rPr>
        <w:t>政府性基金预算财政拨款收入支出决算表</w:t>
      </w:r>
      <w:bookmarkEnd w:id="190"/>
    </w:p>
    <w:p w14:paraId="69F888F6">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91" w:name="_Toc15396629"/>
      <w:bookmarkStart w:id="192" w:name="_Toc13379"/>
      <w:r>
        <w:rPr>
          <w:rFonts w:hint="eastAsia" w:ascii="仿宋_GB2312" w:hAnsi="仿宋_GB2312" w:eastAsia="仿宋_GB2312" w:cs="仿宋_GB2312"/>
          <w:b w:val="0"/>
          <w:bCs w:val="0"/>
          <w:color w:val="auto"/>
          <w:kern w:val="2"/>
          <w:sz w:val="32"/>
          <w:szCs w:val="32"/>
          <w:highlight w:val="none"/>
          <w:lang w:val="en-US" w:eastAsia="zh-CN" w:bidi="ar-SA"/>
        </w:rPr>
        <w:t>十一、</w:t>
      </w:r>
      <w:bookmarkEnd w:id="191"/>
      <w:r>
        <w:rPr>
          <w:rFonts w:hint="eastAsia" w:ascii="仿宋_GB2312" w:hAnsi="仿宋_GB2312" w:eastAsia="仿宋_GB2312" w:cs="仿宋_GB2312"/>
          <w:b w:val="0"/>
          <w:bCs w:val="0"/>
          <w:color w:val="auto"/>
          <w:kern w:val="2"/>
          <w:sz w:val="32"/>
          <w:szCs w:val="32"/>
          <w:highlight w:val="none"/>
          <w:lang w:val="en-US" w:eastAsia="zh-CN" w:bidi="ar-SA"/>
        </w:rPr>
        <w:t>国有资本经营预算财政拨款收入支出决算表</w:t>
      </w:r>
      <w:bookmarkEnd w:id="192"/>
    </w:p>
    <w:p w14:paraId="579F3ED6">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93" w:name="_Toc15396630"/>
      <w:bookmarkStart w:id="194" w:name="_Toc21582"/>
      <w:r>
        <w:rPr>
          <w:rFonts w:hint="eastAsia" w:ascii="仿宋_GB2312" w:hAnsi="仿宋_GB2312" w:eastAsia="仿宋_GB2312" w:cs="仿宋_GB2312"/>
          <w:b w:val="0"/>
          <w:bCs w:val="0"/>
          <w:color w:val="auto"/>
          <w:kern w:val="2"/>
          <w:sz w:val="32"/>
          <w:szCs w:val="32"/>
          <w:highlight w:val="none"/>
          <w:lang w:val="en-US" w:eastAsia="zh-CN" w:bidi="ar-SA"/>
        </w:rPr>
        <w:t>十二、</w:t>
      </w:r>
      <w:bookmarkEnd w:id="193"/>
      <w:r>
        <w:rPr>
          <w:rFonts w:hint="eastAsia" w:ascii="仿宋_GB2312" w:hAnsi="仿宋_GB2312" w:eastAsia="仿宋_GB2312" w:cs="仿宋_GB2312"/>
          <w:b w:val="0"/>
          <w:bCs w:val="0"/>
          <w:color w:val="auto"/>
          <w:kern w:val="2"/>
          <w:sz w:val="32"/>
          <w:szCs w:val="32"/>
          <w:highlight w:val="none"/>
          <w:lang w:val="en-US" w:eastAsia="zh-CN" w:bidi="ar-SA"/>
        </w:rPr>
        <w:t>国有资本经营预算财政拨款支出决算表</w:t>
      </w:r>
      <w:bookmarkEnd w:id="194"/>
    </w:p>
    <w:p w14:paraId="642EF5BE">
      <w:pPr>
        <w:pStyle w:val="6"/>
        <w:bidi w:val="0"/>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95" w:name="_Toc15396631"/>
      <w:bookmarkStart w:id="196" w:name="_Toc17224"/>
      <w:r>
        <w:rPr>
          <w:rFonts w:hint="eastAsia" w:ascii="仿宋_GB2312" w:hAnsi="仿宋_GB2312" w:eastAsia="仿宋_GB2312" w:cs="仿宋_GB2312"/>
          <w:b w:val="0"/>
          <w:bCs w:val="0"/>
          <w:color w:val="auto"/>
          <w:kern w:val="2"/>
          <w:sz w:val="32"/>
          <w:szCs w:val="32"/>
          <w:highlight w:val="none"/>
          <w:lang w:val="en-US" w:eastAsia="zh-CN" w:bidi="ar-SA"/>
        </w:rPr>
        <w:t>十三、</w:t>
      </w:r>
      <w:bookmarkEnd w:id="195"/>
      <w:r>
        <w:rPr>
          <w:rFonts w:hint="eastAsia" w:ascii="仿宋_GB2312" w:hAnsi="仿宋_GB2312" w:eastAsia="仿宋_GB2312" w:cs="仿宋_GB2312"/>
          <w:b w:val="0"/>
          <w:bCs w:val="0"/>
          <w:color w:val="auto"/>
          <w:kern w:val="2"/>
          <w:sz w:val="32"/>
          <w:szCs w:val="32"/>
          <w:highlight w:val="none"/>
          <w:lang w:val="en-US" w:eastAsia="zh-CN" w:bidi="ar-SA"/>
        </w:rPr>
        <w:t>财政拨款“三公”经费支出决算表</w:t>
      </w:r>
      <w:bookmarkEnd w:id="196"/>
    </w:p>
    <w:p w14:paraId="7FF72C90">
      <w:pPr>
        <w:rPr>
          <w:rFonts w:hint="eastAsia" w:ascii="Times New Roman" w:hAnsi="Times New Roman"/>
          <w:lang w:eastAsia="zh-CN"/>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D8C6">
    <w:pPr>
      <w:pStyle w:val="12"/>
      <w:jc w:val="center"/>
    </w:pPr>
  </w:p>
  <w:p w14:paraId="64259A5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3C9F">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0FC5B">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57786">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E57786">
                    <w:pPr>
                      <w:pStyle w:val="1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2F302"/>
    <w:multiLevelType w:val="multilevel"/>
    <w:tmpl w:val="90C2F302"/>
    <w:lvl w:ilvl="0" w:tentative="0">
      <w:start w:val="3"/>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6CAECEE"/>
    <w:multiLevelType w:val="multilevel"/>
    <w:tmpl w:val="56CAECEE"/>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Yzg5YzEwZGNhZGNkMGRiNDhmZTg1NTU3NmNmND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4716"/>
    <w:rsid w:val="001C0962"/>
    <w:rsid w:val="001C66E0"/>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744B"/>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648"/>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257D"/>
    <w:rsid w:val="00FA23E8"/>
    <w:rsid w:val="00FD3CC1"/>
    <w:rsid w:val="00FF1E02"/>
    <w:rsid w:val="00FF30B4"/>
    <w:rsid w:val="01233A9E"/>
    <w:rsid w:val="012A5EC2"/>
    <w:rsid w:val="01545A05"/>
    <w:rsid w:val="015754F6"/>
    <w:rsid w:val="015975B8"/>
    <w:rsid w:val="01967DCC"/>
    <w:rsid w:val="01AE15BA"/>
    <w:rsid w:val="01B34E22"/>
    <w:rsid w:val="01C26E13"/>
    <w:rsid w:val="01C81F50"/>
    <w:rsid w:val="01E274B5"/>
    <w:rsid w:val="020C5AE2"/>
    <w:rsid w:val="02251150"/>
    <w:rsid w:val="022D115B"/>
    <w:rsid w:val="02663B85"/>
    <w:rsid w:val="028B36A9"/>
    <w:rsid w:val="02922C89"/>
    <w:rsid w:val="02BF77F6"/>
    <w:rsid w:val="02D212D8"/>
    <w:rsid w:val="02FEBE30"/>
    <w:rsid w:val="03101E00"/>
    <w:rsid w:val="034F22CF"/>
    <w:rsid w:val="03A10CAA"/>
    <w:rsid w:val="03C50E3C"/>
    <w:rsid w:val="03DA48E8"/>
    <w:rsid w:val="04497378"/>
    <w:rsid w:val="04610B65"/>
    <w:rsid w:val="04844854"/>
    <w:rsid w:val="04916F1E"/>
    <w:rsid w:val="04F01EE9"/>
    <w:rsid w:val="0539563E"/>
    <w:rsid w:val="054B5371"/>
    <w:rsid w:val="05571F68"/>
    <w:rsid w:val="05791EDF"/>
    <w:rsid w:val="057C7D07"/>
    <w:rsid w:val="05880374"/>
    <w:rsid w:val="05AA2098"/>
    <w:rsid w:val="061E35DE"/>
    <w:rsid w:val="065B7836"/>
    <w:rsid w:val="066E0107"/>
    <w:rsid w:val="067A30DF"/>
    <w:rsid w:val="06F04422"/>
    <w:rsid w:val="06FF4665"/>
    <w:rsid w:val="070D0E94"/>
    <w:rsid w:val="07124399"/>
    <w:rsid w:val="073065CD"/>
    <w:rsid w:val="07351E35"/>
    <w:rsid w:val="074D3623"/>
    <w:rsid w:val="075011FB"/>
    <w:rsid w:val="076F17EB"/>
    <w:rsid w:val="07996F6E"/>
    <w:rsid w:val="07BC0CBA"/>
    <w:rsid w:val="07DFD8BA"/>
    <w:rsid w:val="07E01DA1"/>
    <w:rsid w:val="082F0F7A"/>
    <w:rsid w:val="08430582"/>
    <w:rsid w:val="084E1401"/>
    <w:rsid w:val="088210AA"/>
    <w:rsid w:val="08AA23AF"/>
    <w:rsid w:val="08AC25CB"/>
    <w:rsid w:val="08C43471"/>
    <w:rsid w:val="08D51B22"/>
    <w:rsid w:val="08FA50E4"/>
    <w:rsid w:val="09652EA6"/>
    <w:rsid w:val="09676706"/>
    <w:rsid w:val="097C160A"/>
    <w:rsid w:val="097C3D4B"/>
    <w:rsid w:val="098470A4"/>
    <w:rsid w:val="09867E8F"/>
    <w:rsid w:val="099E3CC2"/>
    <w:rsid w:val="09C474A0"/>
    <w:rsid w:val="09DC47EA"/>
    <w:rsid w:val="0A0F2E11"/>
    <w:rsid w:val="0A2032A3"/>
    <w:rsid w:val="0A206DCD"/>
    <w:rsid w:val="0A3B3C06"/>
    <w:rsid w:val="0A474359"/>
    <w:rsid w:val="0A4F5523"/>
    <w:rsid w:val="0A5847B8"/>
    <w:rsid w:val="0A6A44EC"/>
    <w:rsid w:val="0A7D421F"/>
    <w:rsid w:val="0A8A2498"/>
    <w:rsid w:val="0AAC6B48"/>
    <w:rsid w:val="0AB85257"/>
    <w:rsid w:val="0AD876A7"/>
    <w:rsid w:val="0AF65D7F"/>
    <w:rsid w:val="0B462863"/>
    <w:rsid w:val="0B574A70"/>
    <w:rsid w:val="0B5A11A6"/>
    <w:rsid w:val="0B95269F"/>
    <w:rsid w:val="0BBC48D3"/>
    <w:rsid w:val="0BC33EB3"/>
    <w:rsid w:val="0BC55E7E"/>
    <w:rsid w:val="0BCA5242"/>
    <w:rsid w:val="0BD51E39"/>
    <w:rsid w:val="0C1110C3"/>
    <w:rsid w:val="0C350433"/>
    <w:rsid w:val="0C7B02EA"/>
    <w:rsid w:val="0C7E7DDA"/>
    <w:rsid w:val="0C8F023A"/>
    <w:rsid w:val="0CA27F6D"/>
    <w:rsid w:val="0CA8290A"/>
    <w:rsid w:val="0D2546FA"/>
    <w:rsid w:val="0D2B61B4"/>
    <w:rsid w:val="0D35B1ED"/>
    <w:rsid w:val="0D682F64"/>
    <w:rsid w:val="0D755681"/>
    <w:rsid w:val="0D7556C0"/>
    <w:rsid w:val="0DBA3094"/>
    <w:rsid w:val="0DBB26F2"/>
    <w:rsid w:val="0E252C04"/>
    <w:rsid w:val="0E254B6B"/>
    <w:rsid w:val="0E273E6C"/>
    <w:rsid w:val="0E6F20D1"/>
    <w:rsid w:val="0E9733D5"/>
    <w:rsid w:val="0E975183"/>
    <w:rsid w:val="0EBB5316"/>
    <w:rsid w:val="0ED26F2C"/>
    <w:rsid w:val="0F152C78"/>
    <w:rsid w:val="0F2A424A"/>
    <w:rsid w:val="0F3330FE"/>
    <w:rsid w:val="0F5F2145"/>
    <w:rsid w:val="0F7D6A6F"/>
    <w:rsid w:val="0F953DB9"/>
    <w:rsid w:val="0F98263C"/>
    <w:rsid w:val="101860EC"/>
    <w:rsid w:val="101A2510"/>
    <w:rsid w:val="101C0036"/>
    <w:rsid w:val="101F47CC"/>
    <w:rsid w:val="1055238D"/>
    <w:rsid w:val="10A02A15"/>
    <w:rsid w:val="10C055FF"/>
    <w:rsid w:val="10EA1EE2"/>
    <w:rsid w:val="1111746F"/>
    <w:rsid w:val="111F7DDE"/>
    <w:rsid w:val="11281F7B"/>
    <w:rsid w:val="11333889"/>
    <w:rsid w:val="11694EBD"/>
    <w:rsid w:val="116F4196"/>
    <w:rsid w:val="11772AA4"/>
    <w:rsid w:val="118107EC"/>
    <w:rsid w:val="118C11EC"/>
    <w:rsid w:val="119105B0"/>
    <w:rsid w:val="11D861DF"/>
    <w:rsid w:val="11FF376C"/>
    <w:rsid w:val="120C1AA8"/>
    <w:rsid w:val="12843C71"/>
    <w:rsid w:val="129F2CE2"/>
    <w:rsid w:val="12E24EE2"/>
    <w:rsid w:val="12EF558E"/>
    <w:rsid w:val="12F1790D"/>
    <w:rsid w:val="13023513"/>
    <w:rsid w:val="1319085D"/>
    <w:rsid w:val="13207E3D"/>
    <w:rsid w:val="132F0080"/>
    <w:rsid w:val="137D703E"/>
    <w:rsid w:val="13D50BC4"/>
    <w:rsid w:val="14064ABA"/>
    <w:rsid w:val="14B17F78"/>
    <w:rsid w:val="14B720DC"/>
    <w:rsid w:val="14CD71FB"/>
    <w:rsid w:val="14D013EF"/>
    <w:rsid w:val="15593193"/>
    <w:rsid w:val="15757288"/>
    <w:rsid w:val="15995C85"/>
    <w:rsid w:val="15C70A44"/>
    <w:rsid w:val="15D05B4B"/>
    <w:rsid w:val="160F3351"/>
    <w:rsid w:val="16184DFC"/>
    <w:rsid w:val="16467BBB"/>
    <w:rsid w:val="165E0673"/>
    <w:rsid w:val="166E0EC0"/>
    <w:rsid w:val="168E1562"/>
    <w:rsid w:val="169A7F07"/>
    <w:rsid w:val="16A13043"/>
    <w:rsid w:val="16AD4750"/>
    <w:rsid w:val="16B831D5"/>
    <w:rsid w:val="16BB723D"/>
    <w:rsid w:val="16C15493"/>
    <w:rsid w:val="16D57191"/>
    <w:rsid w:val="17457E73"/>
    <w:rsid w:val="17602EFE"/>
    <w:rsid w:val="177C760C"/>
    <w:rsid w:val="17E50567"/>
    <w:rsid w:val="180C0990"/>
    <w:rsid w:val="18455C50"/>
    <w:rsid w:val="185B315E"/>
    <w:rsid w:val="185C6A78"/>
    <w:rsid w:val="186504BB"/>
    <w:rsid w:val="188E5849"/>
    <w:rsid w:val="18934C0E"/>
    <w:rsid w:val="18CB209A"/>
    <w:rsid w:val="19461C80"/>
    <w:rsid w:val="195E16BF"/>
    <w:rsid w:val="197E58BE"/>
    <w:rsid w:val="1997072D"/>
    <w:rsid w:val="199E7D0E"/>
    <w:rsid w:val="19A445FC"/>
    <w:rsid w:val="19EB0A58"/>
    <w:rsid w:val="1A495ECC"/>
    <w:rsid w:val="1A4D518E"/>
    <w:rsid w:val="1A66082C"/>
    <w:rsid w:val="1AA2738A"/>
    <w:rsid w:val="1AB71087"/>
    <w:rsid w:val="1AC217DA"/>
    <w:rsid w:val="1AEB6F83"/>
    <w:rsid w:val="1AED4AA9"/>
    <w:rsid w:val="1B3F68F3"/>
    <w:rsid w:val="1B4072CF"/>
    <w:rsid w:val="1B4346C9"/>
    <w:rsid w:val="1B5C6628"/>
    <w:rsid w:val="1BC03F6C"/>
    <w:rsid w:val="1BC3580A"/>
    <w:rsid w:val="1BCC0B62"/>
    <w:rsid w:val="1BE539D2"/>
    <w:rsid w:val="1BE8440E"/>
    <w:rsid w:val="1BF105C9"/>
    <w:rsid w:val="1C0025BA"/>
    <w:rsid w:val="1C424981"/>
    <w:rsid w:val="1C427076"/>
    <w:rsid w:val="1C5648D0"/>
    <w:rsid w:val="1C56667E"/>
    <w:rsid w:val="1C5E328C"/>
    <w:rsid w:val="1C6A3ED7"/>
    <w:rsid w:val="1CBD66FD"/>
    <w:rsid w:val="1CD60CFA"/>
    <w:rsid w:val="1CDC3027"/>
    <w:rsid w:val="1CFD1FA2"/>
    <w:rsid w:val="1D077978"/>
    <w:rsid w:val="1D1523F4"/>
    <w:rsid w:val="1D155CEE"/>
    <w:rsid w:val="1D1638FE"/>
    <w:rsid w:val="1D291A02"/>
    <w:rsid w:val="1D3764AF"/>
    <w:rsid w:val="1D4209B0"/>
    <w:rsid w:val="1D594678"/>
    <w:rsid w:val="1D6E17A5"/>
    <w:rsid w:val="1D9A3406"/>
    <w:rsid w:val="1DA653E3"/>
    <w:rsid w:val="1DFB572F"/>
    <w:rsid w:val="1E1E141D"/>
    <w:rsid w:val="1E312DEB"/>
    <w:rsid w:val="1E432C32"/>
    <w:rsid w:val="1E740ACF"/>
    <w:rsid w:val="1ECF44C6"/>
    <w:rsid w:val="1EDA09DF"/>
    <w:rsid w:val="1F0028D1"/>
    <w:rsid w:val="1F0C1276"/>
    <w:rsid w:val="1F0E1492"/>
    <w:rsid w:val="1F185E6D"/>
    <w:rsid w:val="1F6B0692"/>
    <w:rsid w:val="1FB2006F"/>
    <w:rsid w:val="1FB41D96"/>
    <w:rsid w:val="1FBC2C9C"/>
    <w:rsid w:val="1FC020DD"/>
    <w:rsid w:val="1FF35744"/>
    <w:rsid w:val="1FF6BC77"/>
    <w:rsid w:val="1FFC578E"/>
    <w:rsid w:val="210E5779"/>
    <w:rsid w:val="211014F1"/>
    <w:rsid w:val="215D04AF"/>
    <w:rsid w:val="216E03E1"/>
    <w:rsid w:val="217C26E3"/>
    <w:rsid w:val="2186353C"/>
    <w:rsid w:val="21A34113"/>
    <w:rsid w:val="2250591D"/>
    <w:rsid w:val="22CC32B1"/>
    <w:rsid w:val="22D4654E"/>
    <w:rsid w:val="22E03145"/>
    <w:rsid w:val="230C5CE8"/>
    <w:rsid w:val="231F7048"/>
    <w:rsid w:val="23386ADD"/>
    <w:rsid w:val="237F05D2"/>
    <w:rsid w:val="23860B96"/>
    <w:rsid w:val="2389558B"/>
    <w:rsid w:val="23D17519"/>
    <w:rsid w:val="23F21382"/>
    <w:rsid w:val="240371BF"/>
    <w:rsid w:val="242B4894"/>
    <w:rsid w:val="244F3473"/>
    <w:rsid w:val="24521E21"/>
    <w:rsid w:val="24771887"/>
    <w:rsid w:val="249D7540"/>
    <w:rsid w:val="24AC1531"/>
    <w:rsid w:val="24BE3012"/>
    <w:rsid w:val="24C97D99"/>
    <w:rsid w:val="24D46CDA"/>
    <w:rsid w:val="25113A8A"/>
    <w:rsid w:val="2551032A"/>
    <w:rsid w:val="255B4D05"/>
    <w:rsid w:val="25A718F0"/>
    <w:rsid w:val="25BB59F6"/>
    <w:rsid w:val="25C82446"/>
    <w:rsid w:val="25C96113"/>
    <w:rsid w:val="260E7FC9"/>
    <w:rsid w:val="260F557C"/>
    <w:rsid w:val="263A0DBE"/>
    <w:rsid w:val="26413EFB"/>
    <w:rsid w:val="268D0EEE"/>
    <w:rsid w:val="26970054"/>
    <w:rsid w:val="26BE72FA"/>
    <w:rsid w:val="26E56F7C"/>
    <w:rsid w:val="26FE1DEC"/>
    <w:rsid w:val="271E2B59"/>
    <w:rsid w:val="27207FB4"/>
    <w:rsid w:val="27661AB8"/>
    <w:rsid w:val="279B3BE6"/>
    <w:rsid w:val="279F712B"/>
    <w:rsid w:val="27C70430"/>
    <w:rsid w:val="27EE00B2"/>
    <w:rsid w:val="28133675"/>
    <w:rsid w:val="281408E2"/>
    <w:rsid w:val="282D681E"/>
    <w:rsid w:val="28327F9F"/>
    <w:rsid w:val="283A50A6"/>
    <w:rsid w:val="28620EC1"/>
    <w:rsid w:val="2879484B"/>
    <w:rsid w:val="28902F18"/>
    <w:rsid w:val="2895052E"/>
    <w:rsid w:val="28B27E57"/>
    <w:rsid w:val="28BA6975"/>
    <w:rsid w:val="290851A4"/>
    <w:rsid w:val="2916166F"/>
    <w:rsid w:val="292024ED"/>
    <w:rsid w:val="2939535D"/>
    <w:rsid w:val="293B7327"/>
    <w:rsid w:val="29611550"/>
    <w:rsid w:val="29824F56"/>
    <w:rsid w:val="299D3B3E"/>
    <w:rsid w:val="299F58A7"/>
    <w:rsid w:val="29D07A70"/>
    <w:rsid w:val="29D11A3A"/>
    <w:rsid w:val="29EC6874"/>
    <w:rsid w:val="29FD04D3"/>
    <w:rsid w:val="2A0565DA"/>
    <w:rsid w:val="2A0C0658"/>
    <w:rsid w:val="2A2D4EC2"/>
    <w:rsid w:val="2A5341FD"/>
    <w:rsid w:val="2A5C7555"/>
    <w:rsid w:val="2AAD6003"/>
    <w:rsid w:val="2AB92391"/>
    <w:rsid w:val="2AD25A69"/>
    <w:rsid w:val="2AE52599"/>
    <w:rsid w:val="2AF754D0"/>
    <w:rsid w:val="2AFB6D6E"/>
    <w:rsid w:val="2B0674C1"/>
    <w:rsid w:val="2B0F6376"/>
    <w:rsid w:val="2B6A3EF4"/>
    <w:rsid w:val="2B6B42DC"/>
    <w:rsid w:val="2B795EE5"/>
    <w:rsid w:val="2B8C3E6A"/>
    <w:rsid w:val="2BFF7BC6"/>
    <w:rsid w:val="2C0436DF"/>
    <w:rsid w:val="2C561EEC"/>
    <w:rsid w:val="2C583D4C"/>
    <w:rsid w:val="2C723060"/>
    <w:rsid w:val="2C844B41"/>
    <w:rsid w:val="2C8A61B5"/>
    <w:rsid w:val="2C8B5ED0"/>
    <w:rsid w:val="2CCB2770"/>
    <w:rsid w:val="2CF73565"/>
    <w:rsid w:val="2D0143E4"/>
    <w:rsid w:val="2D3A16A4"/>
    <w:rsid w:val="2D6230D5"/>
    <w:rsid w:val="2D825525"/>
    <w:rsid w:val="2D8A43D9"/>
    <w:rsid w:val="2DF04E50"/>
    <w:rsid w:val="2DF301D1"/>
    <w:rsid w:val="2E2F44E4"/>
    <w:rsid w:val="2E456552"/>
    <w:rsid w:val="2E586DFA"/>
    <w:rsid w:val="2E6764C9"/>
    <w:rsid w:val="2EAE40F8"/>
    <w:rsid w:val="2EF22D67"/>
    <w:rsid w:val="2F040D46"/>
    <w:rsid w:val="2F063F34"/>
    <w:rsid w:val="2F0F103A"/>
    <w:rsid w:val="2F195A15"/>
    <w:rsid w:val="2F3960B7"/>
    <w:rsid w:val="2F3E7229"/>
    <w:rsid w:val="2F634EE2"/>
    <w:rsid w:val="2F6B035B"/>
    <w:rsid w:val="2F7610B9"/>
    <w:rsid w:val="2F794705"/>
    <w:rsid w:val="2FAE5751"/>
    <w:rsid w:val="2FB1A395"/>
    <w:rsid w:val="2FB41BE1"/>
    <w:rsid w:val="2FD731A9"/>
    <w:rsid w:val="2FD9A7D8"/>
    <w:rsid w:val="2FDBF714"/>
    <w:rsid w:val="30360848"/>
    <w:rsid w:val="30607673"/>
    <w:rsid w:val="306A6683"/>
    <w:rsid w:val="30A752A2"/>
    <w:rsid w:val="30AB6865"/>
    <w:rsid w:val="30AF1835"/>
    <w:rsid w:val="30D065A7"/>
    <w:rsid w:val="310426F5"/>
    <w:rsid w:val="31124E12"/>
    <w:rsid w:val="31750675"/>
    <w:rsid w:val="317F3B29"/>
    <w:rsid w:val="31801BAD"/>
    <w:rsid w:val="318A0E4C"/>
    <w:rsid w:val="319028F3"/>
    <w:rsid w:val="319673E9"/>
    <w:rsid w:val="319F7F4E"/>
    <w:rsid w:val="31CC3212"/>
    <w:rsid w:val="31E63BA8"/>
    <w:rsid w:val="323D47B1"/>
    <w:rsid w:val="324F5BF1"/>
    <w:rsid w:val="32755658"/>
    <w:rsid w:val="327D62BB"/>
    <w:rsid w:val="32847C00"/>
    <w:rsid w:val="32BD1EF1"/>
    <w:rsid w:val="3304709D"/>
    <w:rsid w:val="33462B51"/>
    <w:rsid w:val="33492641"/>
    <w:rsid w:val="337A70F7"/>
    <w:rsid w:val="33833DA5"/>
    <w:rsid w:val="33A773CB"/>
    <w:rsid w:val="33AB50A9"/>
    <w:rsid w:val="33B91574"/>
    <w:rsid w:val="33BB353F"/>
    <w:rsid w:val="33C61EE3"/>
    <w:rsid w:val="33D448D1"/>
    <w:rsid w:val="34030A42"/>
    <w:rsid w:val="342866FA"/>
    <w:rsid w:val="344A2B14"/>
    <w:rsid w:val="345870A4"/>
    <w:rsid w:val="34607C42"/>
    <w:rsid w:val="349618B6"/>
    <w:rsid w:val="349B3370"/>
    <w:rsid w:val="349D6851"/>
    <w:rsid w:val="35076197"/>
    <w:rsid w:val="359B0108"/>
    <w:rsid w:val="35A46254"/>
    <w:rsid w:val="35D703D8"/>
    <w:rsid w:val="361C403D"/>
    <w:rsid w:val="36260A17"/>
    <w:rsid w:val="36280C33"/>
    <w:rsid w:val="367B0D63"/>
    <w:rsid w:val="368715BB"/>
    <w:rsid w:val="36874FEB"/>
    <w:rsid w:val="36AA5135"/>
    <w:rsid w:val="36BE0DA7"/>
    <w:rsid w:val="36E20DE2"/>
    <w:rsid w:val="37070849"/>
    <w:rsid w:val="371A057C"/>
    <w:rsid w:val="373A29CC"/>
    <w:rsid w:val="376B6AA6"/>
    <w:rsid w:val="376D39B2"/>
    <w:rsid w:val="37873738"/>
    <w:rsid w:val="37BC5AD7"/>
    <w:rsid w:val="37C455F7"/>
    <w:rsid w:val="37D270A9"/>
    <w:rsid w:val="37E16F03"/>
    <w:rsid w:val="37F53A3B"/>
    <w:rsid w:val="38084878"/>
    <w:rsid w:val="3870241E"/>
    <w:rsid w:val="389B6C89"/>
    <w:rsid w:val="389D76B7"/>
    <w:rsid w:val="38A04AB1"/>
    <w:rsid w:val="38D469F0"/>
    <w:rsid w:val="38F92413"/>
    <w:rsid w:val="390908A8"/>
    <w:rsid w:val="392C0A3B"/>
    <w:rsid w:val="394915ED"/>
    <w:rsid w:val="39627CCD"/>
    <w:rsid w:val="397945E0"/>
    <w:rsid w:val="397BAF1F"/>
    <w:rsid w:val="39C33723"/>
    <w:rsid w:val="3A3758E9"/>
    <w:rsid w:val="3A4A1178"/>
    <w:rsid w:val="3A5C0EAC"/>
    <w:rsid w:val="3A886145"/>
    <w:rsid w:val="3A914A80"/>
    <w:rsid w:val="3AAC3BE1"/>
    <w:rsid w:val="3AAF1923"/>
    <w:rsid w:val="3AB79AF3"/>
    <w:rsid w:val="3AC802EF"/>
    <w:rsid w:val="3AE834C0"/>
    <w:rsid w:val="3AF47336"/>
    <w:rsid w:val="3B0912F3"/>
    <w:rsid w:val="3B14227D"/>
    <w:rsid w:val="3B5322AF"/>
    <w:rsid w:val="3B6C511E"/>
    <w:rsid w:val="3B7EF35A"/>
    <w:rsid w:val="3B9FDB6C"/>
    <w:rsid w:val="3BA73C48"/>
    <w:rsid w:val="3BB05953"/>
    <w:rsid w:val="3BE61375"/>
    <w:rsid w:val="3BF5BC2F"/>
    <w:rsid w:val="3CAB1C76"/>
    <w:rsid w:val="3CE5162C"/>
    <w:rsid w:val="3CEBA265"/>
    <w:rsid w:val="3D597924"/>
    <w:rsid w:val="3D8250CD"/>
    <w:rsid w:val="3D98207C"/>
    <w:rsid w:val="3DA54918"/>
    <w:rsid w:val="3DB1150E"/>
    <w:rsid w:val="3DD82F3F"/>
    <w:rsid w:val="3DEE7CF3"/>
    <w:rsid w:val="3DF411AB"/>
    <w:rsid w:val="3E0930F8"/>
    <w:rsid w:val="3E304B29"/>
    <w:rsid w:val="3E6A003B"/>
    <w:rsid w:val="3E740A63"/>
    <w:rsid w:val="3E78745D"/>
    <w:rsid w:val="3E8D3D29"/>
    <w:rsid w:val="3ED2798E"/>
    <w:rsid w:val="3EE17838"/>
    <w:rsid w:val="3F084C8C"/>
    <w:rsid w:val="3F55381A"/>
    <w:rsid w:val="3F656A54"/>
    <w:rsid w:val="3F7F7599"/>
    <w:rsid w:val="3F830C89"/>
    <w:rsid w:val="3F9B5FD2"/>
    <w:rsid w:val="3FB226B9"/>
    <w:rsid w:val="3FBB48C6"/>
    <w:rsid w:val="3FE43E1D"/>
    <w:rsid w:val="3FF4CAE0"/>
    <w:rsid w:val="3FF7B227"/>
    <w:rsid w:val="3FFE79A1"/>
    <w:rsid w:val="404B5C4A"/>
    <w:rsid w:val="40F77B80"/>
    <w:rsid w:val="41036418"/>
    <w:rsid w:val="41406E31"/>
    <w:rsid w:val="41452699"/>
    <w:rsid w:val="416C231C"/>
    <w:rsid w:val="41A430EF"/>
    <w:rsid w:val="41B65345"/>
    <w:rsid w:val="41CC7876"/>
    <w:rsid w:val="41CF4AF6"/>
    <w:rsid w:val="42366486"/>
    <w:rsid w:val="42385AB4"/>
    <w:rsid w:val="42772D26"/>
    <w:rsid w:val="429F22D5"/>
    <w:rsid w:val="42C93057"/>
    <w:rsid w:val="42CD0B98"/>
    <w:rsid w:val="42E3660E"/>
    <w:rsid w:val="43036368"/>
    <w:rsid w:val="43144A19"/>
    <w:rsid w:val="43364990"/>
    <w:rsid w:val="435412BA"/>
    <w:rsid w:val="435B43F6"/>
    <w:rsid w:val="4379487C"/>
    <w:rsid w:val="43853221"/>
    <w:rsid w:val="4391606A"/>
    <w:rsid w:val="43AF029E"/>
    <w:rsid w:val="43DD12AF"/>
    <w:rsid w:val="44550E45"/>
    <w:rsid w:val="44580936"/>
    <w:rsid w:val="446C43E1"/>
    <w:rsid w:val="4487220D"/>
    <w:rsid w:val="44BA15F0"/>
    <w:rsid w:val="44E268DA"/>
    <w:rsid w:val="44E95A32"/>
    <w:rsid w:val="450D13D7"/>
    <w:rsid w:val="4530540F"/>
    <w:rsid w:val="454A2974"/>
    <w:rsid w:val="45506656"/>
    <w:rsid w:val="45715C8C"/>
    <w:rsid w:val="45806396"/>
    <w:rsid w:val="458F65D9"/>
    <w:rsid w:val="459040FF"/>
    <w:rsid w:val="45FB3C6E"/>
    <w:rsid w:val="4642189D"/>
    <w:rsid w:val="46517D32"/>
    <w:rsid w:val="469D4D26"/>
    <w:rsid w:val="46C93D6D"/>
    <w:rsid w:val="46E26BDC"/>
    <w:rsid w:val="46F10BCE"/>
    <w:rsid w:val="47152B0E"/>
    <w:rsid w:val="476E221E"/>
    <w:rsid w:val="477879E4"/>
    <w:rsid w:val="47857C94"/>
    <w:rsid w:val="479E0D55"/>
    <w:rsid w:val="47A81BD4"/>
    <w:rsid w:val="47C22C96"/>
    <w:rsid w:val="47C36A0E"/>
    <w:rsid w:val="47CF0F0F"/>
    <w:rsid w:val="47DE55F6"/>
    <w:rsid w:val="480C5CBF"/>
    <w:rsid w:val="481E3C44"/>
    <w:rsid w:val="483F42E6"/>
    <w:rsid w:val="48547666"/>
    <w:rsid w:val="486A6C7A"/>
    <w:rsid w:val="487F2935"/>
    <w:rsid w:val="48BD7199"/>
    <w:rsid w:val="48F50E49"/>
    <w:rsid w:val="48F86243"/>
    <w:rsid w:val="490200FB"/>
    <w:rsid w:val="493A2D00"/>
    <w:rsid w:val="495042D1"/>
    <w:rsid w:val="496D258F"/>
    <w:rsid w:val="49B93C25"/>
    <w:rsid w:val="49DA3B9B"/>
    <w:rsid w:val="49DC5B65"/>
    <w:rsid w:val="49E05427"/>
    <w:rsid w:val="49E959C6"/>
    <w:rsid w:val="4A2A2D74"/>
    <w:rsid w:val="4A5D14ED"/>
    <w:rsid w:val="4A627F82"/>
    <w:rsid w:val="4AB97C54"/>
    <w:rsid w:val="4B0E61F2"/>
    <w:rsid w:val="4B0E749A"/>
    <w:rsid w:val="4B2477C4"/>
    <w:rsid w:val="4B4F25DA"/>
    <w:rsid w:val="4B5736F5"/>
    <w:rsid w:val="4B9A1834"/>
    <w:rsid w:val="4BE068DB"/>
    <w:rsid w:val="4C15535E"/>
    <w:rsid w:val="4C304C9D"/>
    <w:rsid w:val="4C327CBE"/>
    <w:rsid w:val="4C3677AE"/>
    <w:rsid w:val="4C404189"/>
    <w:rsid w:val="4C60482B"/>
    <w:rsid w:val="4C666C60"/>
    <w:rsid w:val="4C8D1398"/>
    <w:rsid w:val="4CD40D75"/>
    <w:rsid w:val="4D577224"/>
    <w:rsid w:val="4D7D11B1"/>
    <w:rsid w:val="4D9A3D6D"/>
    <w:rsid w:val="4DBF1CEB"/>
    <w:rsid w:val="4DEA4CF4"/>
    <w:rsid w:val="4DF0007C"/>
    <w:rsid w:val="4DF94F37"/>
    <w:rsid w:val="4E2D4BE1"/>
    <w:rsid w:val="4E742810"/>
    <w:rsid w:val="4E8011B5"/>
    <w:rsid w:val="4EAB630A"/>
    <w:rsid w:val="4ECE2238"/>
    <w:rsid w:val="4EE01C53"/>
    <w:rsid w:val="4F0E056F"/>
    <w:rsid w:val="4F244236"/>
    <w:rsid w:val="4F5D14F6"/>
    <w:rsid w:val="4F6B3C13"/>
    <w:rsid w:val="4F833267"/>
    <w:rsid w:val="4F860A4D"/>
    <w:rsid w:val="4FB14DB7"/>
    <w:rsid w:val="4FBE01E7"/>
    <w:rsid w:val="4FE9BD67"/>
    <w:rsid w:val="4FFB052F"/>
    <w:rsid w:val="501A2F43"/>
    <w:rsid w:val="501E2A33"/>
    <w:rsid w:val="502B33A2"/>
    <w:rsid w:val="5099030C"/>
    <w:rsid w:val="50B313DF"/>
    <w:rsid w:val="51004615"/>
    <w:rsid w:val="51114BFD"/>
    <w:rsid w:val="515661FD"/>
    <w:rsid w:val="516A1CA8"/>
    <w:rsid w:val="5196484B"/>
    <w:rsid w:val="51A05310"/>
    <w:rsid w:val="51BB2504"/>
    <w:rsid w:val="51CE2237"/>
    <w:rsid w:val="51FA74D0"/>
    <w:rsid w:val="52020133"/>
    <w:rsid w:val="52021EE1"/>
    <w:rsid w:val="521E31BF"/>
    <w:rsid w:val="52A42F98"/>
    <w:rsid w:val="52DE294E"/>
    <w:rsid w:val="52DE7222"/>
    <w:rsid w:val="531D5224"/>
    <w:rsid w:val="537E6D0A"/>
    <w:rsid w:val="538708F0"/>
    <w:rsid w:val="53B611D5"/>
    <w:rsid w:val="53E159E1"/>
    <w:rsid w:val="53E2021C"/>
    <w:rsid w:val="53E43F94"/>
    <w:rsid w:val="53F73CC7"/>
    <w:rsid w:val="53F74C96"/>
    <w:rsid w:val="53FD32A8"/>
    <w:rsid w:val="5415414D"/>
    <w:rsid w:val="54260518"/>
    <w:rsid w:val="544B7B6F"/>
    <w:rsid w:val="54A07538"/>
    <w:rsid w:val="54B27BEE"/>
    <w:rsid w:val="54C811C0"/>
    <w:rsid w:val="54F77CF7"/>
    <w:rsid w:val="55170BA8"/>
    <w:rsid w:val="553218C9"/>
    <w:rsid w:val="555D2250"/>
    <w:rsid w:val="55872E29"/>
    <w:rsid w:val="559D638D"/>
    <w:rsid w:val="55AE4859"/>
    <w:rsid w:val="55E0078B"/>
    <w:rsid w:val="56095E1D"/>
    <w:rsid w:val="56474D13"/>
    <w:rsid w:val="565D2565"/>
    <w:rsid w:val="567E1AA5"/>
    <w:rsid w:val="56A63783"/>
    <w:rsid w:val="56AD2D63"/>
    <w:rsid w:val="56C854A7"/>
    <w:rsid w:val="56D007FF"/>
    <w:rsid w:val="56E47B74"/>
    <w:rsid w:val="57032983"/>
    <w:rsid w:val="57064221"/>
    <w:rsid w:val="57175D52"/>
    <w:rsid w:val="57283E15"/>
    <w:rsid w:val="574A2FD0"/>
    <w:rsid w:val="57BD3DD4"/>
    <w:rsid w:val="57DA58BB"/>
    <w:rsid w:val="581110D0"/>
    <w:rsid w:val="58164938"/>
    <w:rsid w:val="58627B7D"/>
    <w:rsid w:val="58953AAF"/>
    <w:rsid w:val="58AD704A"/>
    <w:rsid w:val="58F5279F"/>
    <w:rsid w:val="593226CA"/>
    <w:rsid w:val="59376914"/>
    <w:rsid w:val="593F3DD3"/>
    <w:rsid w:val="594F3C5E"/>
    <w:rsid w:val="59701E26"/>
    <w:rsid w:val="59851D75"/>
    <w:rsid w:val="598C4EB2"/>
    <w:rsid w:val="59916B74"/>
    <w:rsid w:val="5996188C"/>
    <w:rsid w:val="59C7413C"/>
    <w:rsid w:val="59E23E54"/>
    <w:rsid w:val="59E7658C"/>
    <w:rsid w:val="59FD5DAF"/>
    <w:rsid w:val="5A2E5F69"/>
    <w:rsid w:val="5A5D23AA"/>
    <w:rsid w:val="5ABA5A4E"/>
    <w:rsid w:val="5AC661A1"/>
    <w:rsid w:val="5ACB37B8"/>
    <w:rsid w:val="5AE1122D"/>
    <w:rsid w:val="5AED7BD2"/>
    <w:rsid w:val="5AF92295"/>
    <w:rsid w:val="5B044F1C"/>
    <w:rsid w:val="5B0762F5"/>
    <w:rsid w:val="5B250254"/>
    <w:rsid w:val="5B3752F1"/>
    <w:rsid w:val="5B436494"/>
    <w:rsid w:val="5BB66C4F"/>
    <w:rsid w:val="5BCF367F"/>
    <w:rsid w:val="5BDD79E6"/>
    <w:rsid w:val="5BF561CA"/>
    <w:rsid w:val="5BFF5DFC"/>
    <w:rsid w:val="5C313AEE"/>
    <w:rsid w:val="5C50399C"/>
    <w:rsid w:val="5C78796F"/>
    <w:rsid w:val="5CB11467"/>
    <w:rsid w:val="5CD71FC4"/>
    <w:rsid w:val="5CD94CAE"/>
    <w:rsid w:val="5CDC7ABB"/>
    <w:rsid w:val="5D1C654D"/>
    <w:rsid w:val="5D1F11B5"/>
    <w:rsid w:val="5D695134"/>
    <w:rsid w:val="5D77652A"/>
    <w:rsid w:val="5D810AA5"/>
    <w:rsid w:val="5DA64068"/>
    <w:rsid w:val="5DA6682E"/>
    <w:rsid w:val="5DAE1B18"/>
    <w:rsid w:val="5DDB6408"/>
    <w:rsid w:val="5DE7D9E5"/>
    <w:rsid w:val="5E766130"/>
    <w:rsid w:val="5E8545C5"/>
    <w:rsid w:val="5E8C325E"/>
    <w:rsid w:val="5EA225BC"/>
    <w:rsid w:val="5EB34C8F"/>
    <w:rsid w:val="5EB673CA"/>
    <w:rsid w:val="5ECEC941"/>
    <w:rsid w:val="5EF534C7"/>
    <w:rsid w:val="5EF97F4F"/>
    <w:rsid w:val="5EFF7ED4"/>
    <w:rsid w:val="5F090D52"/>
    <w:rsid w:val="5F2525CE"/>
    <w:rsid w:val="5F2913F5"/>
    <w:rsid w:val="5F2931A3"/>
    <w:rsid w:val="5F553F98"/>
    <w:rsid w:val="5F57386C"/>
    <w:rsid w:val="5F69359F"/>
    <w:rsid w:val="5F6E5059"/>
    <w:rsid w:val="5FBF9FF3"/>
    <w:rsid w:val="5FCD4E2C"/>
    <w:rsid w:val="5FEF225A"/>
    <w:rsid w:val="5FEF394A"/>
    <w:rsid w:val="5FF67715"/>
    <w:rsid w:val="5FF732A1"/>
    <w:rsid w:val="5FF76DFD"/>
    <w:rsid w:val="601C6864"/>
    <w:rsid w:val="602A5424"/>
    <w:rsid w:val="6037544B"/>
    <w:rsid w:val="607512E9"/>
    <w:rsid w:val="60CC2038"/>
    <w:rsid w:val="61204131"/>
    <w:rsid w:val="613D4CE3"/>
    <w:rsid w:val="61584411"/>
    <w:rsid w:val="61722BDF"/>
    <w:rsid w:val="618B5A4F"/>
    <w:rsid w:val="619F3B29"/>
    <w:rsid w:val="61DC62AA"/>
    <w:rsid w:val="62BF3928"/>
    <w:rsid w:val="630C2BBF"/>
    <w:rsid w:val="63367C3C"/>
    <w:rsid w:val="6372336A"/>
    <w:rsid w:val="637D3ABD"/>
    <w:rsid w:val="63B3701E"/>
    <w:rsid w:val="63C17E4E"/>
    <w:rsid w:val="63D57455"/>
    <w:rsid w:val="63D7141F"/>
    <w:rsid w:val="63D95197"/>
    <w:rsid w:val="63F7386F"/>
    <w:rsid w:val="64175CC0"/>
    <w:rsid w:val="646F78AA"/>
    <w:rsid w:val="647F5392"/>
    <w:rsid w:val="64803865"/>
    <w:rsid w:val="64852C29"/>
    <w:rsid w:val="64A55079"/>
    <w:rsid w:val="64A62BA0"/>
    <w:rsid w:val="64B4350F"/>
    <w:rsid w:val="64D12312"/>
    <w:rsid w:val="64D4770D"/>
    <w:rsid w:val="64F16511"/>
    <w:rsid w:val="64F25DE5"/>
    <w:rsid w:val="652C579B"/>
    <w:rsid w:val="65622F6B"/>
    <w:rsid w:val="65650D74"/>
    <w:rsid w:val="65A11CE5"/>
    <w:rsid w:val="65A74F4D"/>
    <w:rsid w:val="65CC6636"/>
    <w:rsid w:val="65E66580"/>
    <w:rsid w:val="661F0E5C"/>
    <w:rsid w:val="66434B4A"/>
    <w:rsid w:val="664B1D71"/>
    <w:rsid w:val="664B4E8E"/>
    <w:rsid w:val="66522FDF"/>
    <w:rsid w:val="66552ACF"/>
    <w:rsid w:val="66664CDC"/>
    <w:rsid w:val="66903B07"/>
    <w:rsid w:val="66B22C0C"/>
    <w:rsid w:val="66EF4CD2"/>
    <w:rsid w:val="670C7632"/>
    <w:rsid w:val="67277B67"/>
    <w:rsid w:val="67492634"/>
    <w:rsid w:val="675173D1"/>
    <w:rsid w:val="675C4AFC"/>
    <w:rsid w:val="677A0A3F"/>
    <w:rsid w:val="67A05FCC"/>
    <w:rsid w:val="67AA3209"/>
    <w:rsid w:val="67BD6EB2"/>
    <w:rsid w:val="67FC76A6"/>
    <w:rsid w:val="683E4007"/>
    <w:rsid w:val="6852376A"/>
    <w:rsid w:val="685E10E6"/>
    <w:rsid w:val="68A8338A"/>
    <w:rsid w:val="68AB4C28"/>
    <w:rsid w:val="68CF0917"/>
    <w:rsid w:val="68DE4FFE"/>
    <w:rsid w:val="68E8745E"/>
    <w:rsid w:val="692769A5"/>
    <w:rsid w:val="698519E9"/>
    <w:rsid w:val="698D0931"/>
    <w:rsid w:val="69BD2E65"/>
    <w:rsid w:val="69F0323B"/>
    <w:rsid w:val="69F30635"/>
    <w:rsid w:val="6A731776"/>
    <w:rsid w:val="6A7FE5F3"/>
    <w:rsid w:val="6AE34B4E"/>
    <w:rsid w:val="6B053271"/>
    <w:rsid w:val="6B1271E1"/>
    <w:rsid w:val="6B1B42E7"/>
    <w:rsid w:val="6B321298"/>
    <w:rsid w:val="6B3233DF"/>
    <w:rsid w:val="6B581098"/>
    <w:rsid w:val="6B9145AA"/>
    <w:rsid w:val="6BDD78B3"/>
    <w:rsid w:val="6BF13523"/>
    <w:rsid w:val="6BF30DC0"/>
    <w:rsid w:val="6C021003"/>
    <w:rsid w:val="6C186A79"/>
    <w:rsid w:val="6C376EFF"/>
    <w:rsid w:val="6C4A05C8"/>
    <w:rsid w:val="6C57134F"/>
    <w:rsid w:val="6C7F4402"/>
    <w:rsid w:val="6C847C6A"/>
    <w:rsid w:val="6C8742B8"/>
    <w:rsid w:val="6C953C26"/>
    <w:rsid w:val="6CA976D1"/>
    <w:rsid w:val="6CAE4CE7"/>
    <w:rsid w:val="6CCB3AEB"/>
    <w:rsid w:val="6CD72490"/>
    <w:rsid w:val="6CEF4C50"/>
    <w:rsid w:val="6CF941B4"/>
    <w:rsid w:val="6D262AD0"/>
    <w:rsid w:val="6D5E670D"/>
    <w:rsid w:val="6D667CCB"/>
    <w:rsid w:val="6D8A12B0"/>
    <w:rsid w:val="6D967C55"/>
    <w:rsid w:val="6DBF5E93"/>
    <w:rsid w:val="6DF22E51"/>
    <w:rsid w:val="6DFF077E"/>
    <w:rsid w:val="6E49116B"/>
    <w:rsid w:val="6E6C4E5A"/>
    <w:rsid w:val="6E714EF0"/>
    <w:rsid w:val="6E7E3605"/>
    <w:rsid w:val="6E7FDCC7"/>
    <w:rsid w:val="6E887F48"/>
    <w:rsid w:val="6EBA7973"/>
    <w:rsid w:val="6ED6A62E"/>
    <w:rsid w:val="6EE00B15"/>
    <w:rsid w:val="6F082DD5"/>
    <w:rsid w:val="6F1277AF"/>
    <w:rsid w:val="6F285657"/>
    <w:rsid w:val="6F410095"/>
    <w:rsid w:val="6F4673A1"/>
    <w:rsid w:val="6F6FB3EB"/>
    <w:rsid w:val="6F745D74"/>
    <w:rsid w:val="6F8731EA"/>
    <w:rsid w:val="6F912DCA"/>
    <w:rsid w:val="6F9331CA"/>
    <w:rsid w:val="6FBC386B"/>
    <w:rsid w:val="6FCE6052"/>
    <w:rsid w:val="6FCE7B7A"/>
    <w:rsid w:val="6FD57C00"/>
    <w:rsid w:val="6FE078AE"/>
    <w:rsid w:val="6FEC6252"/>
    <w:rsid w:val="6FEF7AF1"/>
    <w:rsid w:val="6FEFFFD8"/>
    <w:rsid w:val="6FF5CC65"/>
    <w:rsid w:val="6FF670D1"/>
    <w:rsid w:val="6FFB47EC"/>
    <w:rsid w:val="6FFF034A"/>
    <w:rsid w:val="700A492A"/>
    <w:rsid w:val="701043C0"/>
    <w:rsid w:val="70117A67"/>
    <w:rsid w:val="70294DB1"/>
    <w:rsid w:val="70484440"/>
    <w:rsid w:val="704E2A69"/>
    <w:rsid w:val="706933FF"/>
    <w:rsid w:val="706F166A"/>
    <w:rsid w:val="707149AA"/>
    <w:rsid w:val="707D6EAA"/>
    <w:rsid w:val="70D54F38"/>
    <w:rsid w:val="70D7324F"/>
    <w:rsid w:val="71017ADB"/>
    <w:rsid w:val="710C022E"/>
    <w:rsid w:val="712A28F1"/>
    <w:rsid w:val="713C0B14"/>
    <w:rsid w:val="71467BE4"/>
    <w:rsid w:val="715C0E4B"/>
    <w:rsid w:val="71956476"/>
    <w:rsid w:val="71992E7C"/>
    <w:rsid w:val="71AF0409"/>
    <w:rsid w:val="71D40D4C"/>
    <w:rsid w:val="71F413EE"/>
    <w:rsid w:val="72233669"/>
    <w:rsid w:val="72394C9A"/>
    <w:rsid w:val="72473C14"/>
    <w:rsid w:val="72734D90"/>
    <w:rsid w:val="72783DCD"/>
    <w:rsid w:val="72D8486C"/>
    <w:rsid w:val="72F62F44"/>
    <w:rsid w:val="73160E6D"/>
    <w:rsid w:val="73247AB1"/>
    <w:rsid w:val="7332FE48"/>
    <w:rsid w:val="735A7977"/>
    <w:rsid w:val="73774085"/>
    <w:rsid w:val="73972979"/>
    <w:rsid w:val="73974727"/>
    <w:rsid w:val="73AB61DA"/>
    <w:rsid w:val="73AD73D5"/>
    <w:rsid w:val="73B6EB34"/>
    <w:rsid w:val="73FA497D"/>
    <w:rsid w:val="73FC0A2E"/>
    <w:rsid w:val="744731E5"/>
    <w:rsid w:val="74553D3C"/>
    <w:rsid w:val="74BBD01D"/>
    <w:rsid w:val="74DD260E"/>
    <w:rsid w:val="74E00D3A"/>
    <w:rsid w:val="74E4399C"/>
    <w:rsid w:val="74ED5379"/>
    <w:rsid w:val="751F49D4"/>
    <w:rsid w:val="75B50E95"/>
    <w:rsid w:val="75BF3AC1"/>
    <w:rsid w:val="75D67789"/>
    <w:rsid w:val="75D7705D"/>
    <w:rsid w:val="75DEEEC2"/>
    <w:rsid w:val="75E32345"/>
    <w:rsid w:val="75F96FD3"/>
    <w:rsid w:val="765406AD"/>
    <w:rsid w:val="766823AB"/>
    <w:rsid w:val="766D1C47"/>
    <w:rsid w:val="76733229"/>
    <w:rsid w:val="76E3355F"/>
    <w:rsid w:val="76F65C09"/>
    <w:rsid w:val="76FB321F"/>
    <w:rsid w:val="76FF5125"/>
    <w:rsid w:val="776F6FFA"/>
    <w:rsid w:val="778769C8"/>
    <w:rsid w:val="77A75DCA"/>
    <w:rsid w:val="77DC22F5"/>
    <w:rsid w:val="783E271A"/>
    <w:rsid w:val="785B5711"/>
    <w:rsid w:val="78616DE9"/>
    <w:rsid w:val="78632E2A"/>
    <w:rsid w:val="78827754"/>
    <w:rsid w:val="78E875D7"/>
    <w:rsid w:val="78E977D3"/>
    <w:rsid w:val="78F2219D"/>
    <w:rsid w:val="78F46178"/>
    <w:rsid w:val="78F56291"/>
    <w:rsid w:val="78F9553C"/>
    <w:rsid w:val="79086DAD"/>
    <w:rsid w:val="7918575E"/>
    <w:rsid w:val="791D122B"/>
    <w:rsid w:val="79200D1B"/>
    <w:rsid w:val="792D2695"/>
    <w:rsid w:val="79511C3B"/>
    <w:rsid w:val="7956298E"/>
    <w:rsid w:val="79AC0800"/>
    <w:rsid w:val="79D7FD79"/>
    <w:rsid w:val="79EE5BA4"/>
    <w:rsid w:val="7A0917AF"/>
    <w:rsid w:val="7A5549F4"/>
    <w:rsid w:val="7A5C2227"/>
    <w:rsid w:val="7A884DCA"/>
    <w:rsid w:val="7A894339"/>
    <w:rsid w:val="7A8D261A"/>
    <w:rsid w:val="7AC42B64"/>
    <w:rsid w:val="7AD284E8"/>
    <w:rsid w:val="7AF81F4F"/>
    <w:rsid w:val="7AFF7572"/>
    <w:rsid w:val="7B007056"/>
    <w:rsid w:val="7B164183"/>
    <w:rsid w:val="7B256ABC"/>
    <w:rsid w:val="7B450F0D"/>
    <w:rsid w:val="7B6C7DFB"/>
    <w:rsid w:val="7B6E2211"/>
    <w:rsid w:val="7B825CBD"/>
    <w:rsid w:val="7B83215E"/>
    <w:rsid w:val="7B95779E"/>
    <w:rsid w:val="7BB3231A"/>
    <w:rsid w:val="7BBFBED0"/>
    <w:rsid w:val="7BC3E394"/>
    <w:rsid w:val="7BCD518A"/>
    <w:rsid w:val="7BDC361F"/>
    <w:rsid w:val="7BE14791"/>
    <w:rsid w:val="7BEC1388"/>
    <w:rsid w:val="7BF02C26"/>
    <w:rsid w:val="7C127041"/>
    <w:rsid w:val="7C1F3737"/>
    <w:rsid w:val="7CB3664E"/>
    <w:rsid w:val="7CBFC87B"/>
    <w:rsid w:val="7CFE0F48"/>
    <w:rsid w:val="7D083FA0"/>
    <w:rsid w:val="7D272ABC"/>
    <w:rsid w:val="7D344D95"/>
    <w:rsid w:val="7D43322A"/>
    <w:rsid w:val="7D453A82"/>
    <w:rsid w:val="7D4551F4"/>
    <w:rsid w:val="7D632D39"/>
    <w:rsid w:val="7D7EC23E"/>
    <w:rsid w:val="7DB14637"/>
    <w:rsid w:val="7DB639FC"/>
    <w:rsid w:val="7DBB1012"/>
    <w:rsid w:val="7DC9372F"/>
    <w:rsid w:val="7DCC1471"/>
    <w:rsid w:val="7DD547CA"/>
    <w:rsid w:val="7DF32EA2"/>
    <w:rsid w:val="7DFA7D8C"/>
    <w:rsid w:val="7E244E09"/>
    <w:rsid w:val="7E394D59"/>
    <w:rsid w:val="7E437985"/>
    <w:rsid w:val="7E521976"/>
    <w:rsid w:val="7E765CE2"/>
    <w:rsid w:val="7E775881"/>
    <w:rsid w:val="7E8ADEBF"/>
    <w:rsid w:val="7EAA5182"/>
    <w:rsid w:val="7ECF2FC7"/>
    <w:rsid w:val="7ED625A7"/>
    <w:rsid w:val="7EDB7BBE"/>
    <w:rsid w:val="7EEF11D3"/>
    <w:rsid w:val="7EFE4840"/>
    <w:rsid w:val="7F0971A6"/>
    <w:rsid w:val="7F1D62E7"/>
    <w:rsid w:val="7F2D4191"/>
    <w:rsid w:val="7F3F679B"/>
    <w:rsid w:val="7F4219EB"/>
    <w:rsid w:val="7F4FC4EF"/>
    <w:rsid w:val="7F5E4D54"/>
    <w:rsid w:val="7F6E0135"/>
    <w:rsid w:val="7F79F205"/>
    <w:rsid w:val="7F930498"/>
    <w:rsid w:val="7F9F508F"/>
    <w:rsid w:val="7FA06711"/>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link w:val="39"/>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link w:val="40"/>
    <w:unhideWhenUsed/>
    <w:qFormat/>
    <w:uiPriority w:val="39"/>
    <w:pPr>
      <w:tabs>
        <w:tab w:val="right" w:leader="dot" w:pos="8296"/>
      </w:tabs>
      <w:ind w:left="420" w:leftChars="200"/>
    </w:pPr>
  </w:style>
  <w:style w:type="paragraph" w:styleId="16">
    <w:name w:val="Normal (Web)"/>
    <w:basedOn w:val="1"/>
    <w:unhideWhenUsed/>
    <w:qFormat/>
    <w:uiPriority w:val="99"/>
    <w:rPr>
      <w:rFonts w:hint="default"/>
      <w:sz w:val="24"/>
      <w:szCs w:val="24"/>
      <w:lang w:val="en-US" w:eastAsia="zh-CN"/>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 w:type="character" w:customStyle="1" w:styleId="39">
    <w:name w:val="目录 1 Char"/>
    <w:link w:val="14"/>
    <w:qFormat/>
    <w:uiPriority w:val="39"/>
    <w:rPr>
      <w:rFonts w:ascii="仿宋" w:hAnsi="仿宋" w:eastAsia="仿宋"/>
      <w:sz w:val="28"/>
      <w:szCs w:val="28"/>
    </w:rPr>
  </w:style>
  <w:style w:type="character" w:customStyle="1" w:styleId="40">
    <w:name w:val="目录 2 Char"/>
    <w:link w:val="15"/>
    <w:qFormat/>
    <w:uiPriority w:val="39"/>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37096;&#38376;(&#21333;&#20301;)&#20915;&#31639;&#20844;&#24320;&#32534;&#21046;&#36164;&#26009;\2024&#24180;&#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37096;&#38376;(&#21333;&#20301;)&#20915;&#31639;&#20844;&#24320;&#32534;&#21046;&#36164;&#26009;\2024&#24180;&#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37096;&#38376;(&#21333;&#20301;)&#20915;&#31639;&#20844;&#24320;&#32534;&#21046;&#36164;&#26009;\2024&#24180;&#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37096;&#38376;(&#21333;&#20301;)&#20915;&#31639;&#20844;&#24320;&#32534;&#21046;&#36164;&#26009;\2024&#24180;&#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37096;&#38376;(&#21333;&#20301;)&#20915;&#31639;&#20844;&#24320;&#32534;&#21046;&#36164;&#26009;\2024&#24180;&#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[2024年决算公开图表.xlsx]Sheet1!$B$2:$C$3</c:f>
              <c:multiLvlStrCache>
                <c:ptCount val="2"/>
                <c:lvl>
                  <c:pt idx="0">
                    <c:v>2024年</c:v>
                  </c:pt>
                  <c:pt idx="1">
                    <c:v>2023年</c:v>
                  </c:pt>
                </c:lvl>
                <c:lvl>
                  <c:pt idx="0">
                    <c:v>收入、支出决算总计变动情况(万元)</c:v>
                  </c:pt>
                </c:lvl>
              </c:multiLvlStrCache>
            </c:multiLvlStrRef>
          </c:cat>
          <c:val>
            <c:numRef>
              <c:f>[2024年决算公开图表.xlsx]Sheet1!$B$4:$C$4</c:f>
              <c:numCache>
                <c:formatCode>General</c:formatCode>
                <c:ptCount val="2"/>
                <c:pt idx="0">
                  <c:v>917.26</c:v>
                </c:pt>
                <c:pt idx="1">
                  <c:v>654.69</c:v>
                </c:pt>
              </c:numCache>
            </c:numRef>
          </c:val>
        </c:ser>
        <c:dLbls>
          <c:showLegendKey val="0"/>
          <c:showVal val="1"/>
          <c:showCatName val="0"/>
          <c:showSerName val="0"/>
          <c:showPercent val="0"/>
          <c:showBubbleSize val="0"/>
        </c:dLbls>
        <c:gapWidth val="150"/>
        <c:axId val="100789248"/>
        <c:axId val="100770560"/>
      </c:barChart>
      <c:catAx>
        <c:axId val="1007892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0770560"/>
        <c:crosses val="autoZero"/>
        <c:auto val="1"/>
        <c:lblAlgn val="ctr"/>
        <c:lblOffset val="100"/>
        <c:noMultiLvlLbl val="0"/>
      </c:catAx>
      <c:valAx>
        <c:axId val="1007705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07892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1d91981-3a09-45f6-8c50-f8fa09279a80}"/>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Sheet1!$C$15</c:f>
              <c:strCache>
                <c:ptCount val="1"/>
                <c:pt idx="0">
                  <c:v>收入决算结构图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Sheet1!$B$16:$B$17</c:f>
              <c:strCache>
                <c:ptCount val="2"/>
                <c:pt idx="0">
                  <c:v>一般公共预算财政拨款收入</c:v>
                </c:pt>
                <c:pt idx="1">
                  <c:v>政府性基金预算财政拨款收入</c:v>
                </c:pt>
              </c:strCache>
            </c:strRef>
          </c:cat>
          <c:val>
            <c:numRef>
              <c:f>Sheet1!$C$16:$C$17</c:f>
              <c:numCache>
                <c:formatCode>General</c:formatCode>
                <c:ptCount val="2"/>
                <c:pt idx="0">
                  <c:v>916.26</c:v>
                </c:pt>
                <c:pt idx="1">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100dbc3-757b-4788-bf88-41d91da5ae2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[2024年决算公开图表.xlsx]Sheet1!$C$31</c:f>
              <c:strCache>
                <c:ptCount val="1"/>
                <c:pt idx="0">
                  <c:v>支出决算结构图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[2024年决算公开图表.xlsx]Sheet1!$B$32:$B$33</c:f>
              <c:strCache>
                <c:ptCount val="2"/>
                <c:pt idx="0">
                  <c:v>基本支出</c:v>
                </c:pt>
                <c:pt idx="1">
                  <c:v>项目支出</c:v>
                </c:pt>
              </c:strCache>
            </c:strRef>
          </c:cat>
          <c:val>
            <c:numRef>
              <c:f>[2024年决算公开图表.xlsx]Sheet1!$C$32:$C$33</c:f>
              <c:numCache>
                <c:formatCode>General</c:formatCode>
                <c:ptCount val="2"/>
                <c:pt idx="0">
                  <c:v>564.51</c:v>
                </c:pt>
                <c:pt idx="1">
                  <c:v>352.75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00fec5b-6da9-42b0-a60c-404df609a30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[2024年决算公开图表.xlsx]Sheet1!$C$88</c:f>
              <c:strCache>
                <c:ptCount val="1"/>
                <c:pt idx="0">
                  <c:v>一般公共预算财政拨款支出决算结构</c:v>
                </c:pt>
              </c:strCache>
            </c:strRef>
          </c:tx>
          <c:spPr/>
          <c:explosion val="0"/>
          <c:dPt>
            <c:idx val="0"/>
            <c:bubble3D val="0"/>
            <c:spPr>
              <a:gradFill>
                <a:gsLst>
                  <a:gs pos="0">
                    <a:schemeClr val="accent1">
                      <a:shade val="76667"/>
                      <a:lumMod val="40000"/>
                      <a:lumOff val="60000"/>
                    </a:schemeClr>
                  </a:gs>
                  <a:gs pos="90000">
                    <a:schemeClr val="accent1">
                      <a:shade val="76667"/>
                    </a:schemeClr>
                  </a:gs>
                </a:gsLst>
                <a:lin ang="5400000" scaled="0"/>
              </a:gradFill>
              <a:ln>
                <a:gradFill>
                  <a:gsLst>
                    <a:gs pos="0">
                      <a:schemeClr val="accent1">
                        <a:shade val="76667"/>
                      </a:schemeClr>
                    </a:gs>
                    <a:gs pos="100000">
                      <a:schemeClr val="accent1">
                        <a:shade val="76667"/>
                        <a:lumMod val="75000"/>
                      </a:schemeClr>
                    </a:gs>
                  </a:gsLst>
                  <a:lin ang="5400000" scaled="1"/>
                </a:gradFill>
              </a:ln>
              <a:effectLst/>
            </c:spPr>
          </c:dPt>
          <c:dPt>
            <c:idx val="1"/>
            <c:bubble3D val="0"/>
            <c:spPr>
              <a:gradFill>
                <a:gsLst>
                  <a:gs pos="0">
                    <a:schemeClr val="accent2">
                      <a:shade val="76667"/>
                      <a:lumMod val="40000"/>
                      <a:lumOff val="60000"/>
                    </a:schemeClr>
                  </a:gs>
                  <a:gs pos="90000">
                    <a:schemeClr val="accent2">
                      <a:shade val="76667"/>
                    </a:schemeClr>
                  </a:gs>
                </a:gsLst>
                <a:lin ang="5400000" scaled="0"/>
              </a:gradFill>
              <a:ln>
                <a:gradFill>
                  <a:gsLst>
                    <a:gs pos="0">
                      <a:schemeClr val="accent2">
                        <a:shade val="76667"/>
                      </a:schemeClr>
                    </a:gs>
                    <a:gs pos="100000">
                      <a:schemeClr val="accent2">
                        <a:shade val="76667"/>
                        <a:lumMod val="75000"/>
                      </a:schemeClr>
                    </a:gs>
                  </a:gsLst>
                  <a:lin ang="5400000" scaled="1"/>
                </a:gradFill>
              </a:ln>
              <a:effectLst/>
            </c:spPr>
          </c:dPt>
          <c:dPt>
            <c:idx val="2"/>
            <c:bubble3D val="0"/>
            <c:spPr>
              <a:gradFill>
                <a:gsLst>
                  <a:gs pos="0">
                    <a:schemeClr val="accent3">
                      <a:shade val="76667"/>
                      <a:lumMod val="40000"/>
                      <a:lumOff val="60000"/>
                    </a:schemeClr>
                  </a:gs>
                  <a:gs pos="90000">
                    <a:schemeClr val="accent3">
                      <a:shade val="76667"/>
                    </a:schemeClr>
                  </a:gs>
                </a:gsLst>
                <a:lin ang="5400000" scaled="0"/>
              </a:gradFill>
              <a:ln>
                <a:gradFill>
                  <a:gsLst>
                    <a:gs pos="0">
                      <a:schemeClr val="accent3">
                        <a:shade val="76667"/>
                      </a:schemeClr>
                    </a:gs>
                    <a:gs pos="100000">
                      <a:schemeClr val="accent3">
                        <a:shade val="76667"/>
                        <a:lumMod val="75000"/>
                      </a:schemeClr>
                    </a:gs>
                  </a:gsLst>
                  <a:lin ang="5400000" scaled="1"/>
                </a:gradFill>
              </a:ln>
              <a:effectLst/>
            </c:spPr>
          </c:dPt>
          <c:dPt>
            <c:idx val="3"/>
            <c:bubble3D val="0"/>
            <c:spPr>
              <a:gradFill>
                <a:gsLst>
                  <a:gs pos="0">
                    <a:schemeClr val="accent4">
                      <a:shade val="76667"/>
                      <a:lumMod val="40000"/>
                      <a:lumOff val="60000"/>
                    </a:schemeClr>
                  </a:gs>
                  <a:gs pos="90000">
                    <a:schemeClr val="accent4">
                      <a:shade val="76667"/>
                    </a:schemeClr>
                  </a:gs>
                </a:gsLst>
                <a:lin ang="5400000" scaled="0"/>
              </a:gradFill>
              <a:ln>
                <a:gradFill>
                  <a:gsLst>
                    <a:gs pos="0">
                      <a:schemeClr val="accent4">
                        <a:shade val="76667"/>
                      </a:schemeClr>
                    </a:gs>
                    <a:gs pos="100000">
                      <a:schemeClr val="accent4">
                        <a:shade val="76667"/>
                        <a:lumMod val="75000"/>
                      </a:schemeClr>
                    </a:gs>
                  </a:gsLst>
                  <a:lin ang="5400000" scaled="1"/>
                </a:gradFill>
              </a:ln>
              <a:effectLst/>
            </c:spPr>
          </c:dPt>
          <c:dPt>
            <c:idx val="4"/>
            <c:bubble3D val="0"/>
            <c:spPr>
              <a:gradFill>
                <a:gsLst>
                  <a:gs pos="0">
                    <a:schemeClr val="accent5">
                      <a:shade val="76667"/>
                      <a:lumMod val="40000"/>
                      <a:lumOff val="60000"/>
                    </a:schemeClr>
                  </a:gs>
                  <a:gs pos="90000">
                    <a:schemeClr val="accent5">
                      <a:shade val="76667"/>
                    </a:schemeClr>
                  </a:gs>
                </a:gsLst>
                <a:lin ang="5400000" scaled="0"/>
              </a:gradFill>
              <a:ln>
                <a:gradFill>
                  <a:gsLst>
                    <a:gs pos="0">
                      <a:schemeClr val="accent5">
                        <a:shade val="76667"/>
                      </a:schemeClr>
                    </a:gs>
                    <a:gs pos="100000">
                      <a:schemeClr val="accent5">
                        <a:shade val="76667"/>
                        <a:lumMod val="75000"/>
                      </a:schemeClr>
                    </a:gs>
                  </a:gsLst>
                  <a:lin ang="5400000" scaled="1"/>
                </a:gradFill>
              </a:ln>
              <a:effectLst/>
            </c:spPr>
          </c:dPt>
          <c:dPt>
            <c:idx val="5"/>
            <c:bubble3D val="0"/>
            <c:spPr>
              <a:gradFill>
                <a:gsLst>
                  <a:gs pos="0">
                    <a:schemeClr val="accent6">
                      <a:shade val="76667"/>
                      <a:lumMod val="40000"/>
                      <a:lumOff val="60000"/>
                    </a:schemeClr>
                  </a:gs>
                  <a:gs pos="90000">
                    <a:schemeClr val="accent6">
                      <a:shade val="76667"/>
                    </a:schemeClr>
                  </a:gs>
                </a:gsLst>
                <a:lin ang="5400000" scaled="0"/>
              </a:gradFill>
              <a:ln>
                <a:gradFill>
                  <a:gsLst>
                    <a:gs pos="0">
                      <a:schemeClr val="accent6">
                        <a:shade val="76667"/>
                      </a:schemeClr>
                    </a:gs>
                    <a:gs pos="100000">
                      <a:schemeClr val="accent6">
                        <a:shade val="76667"/>
                        <a:lumMod val="75000"/>
                      </a:schemeClr>
                    </a:gs>
                  </a:gsLst>
                  <a:lin ang="5400000" scaled="1"/>
                </a:gradFill>
              </a:ln>
              <a:effectLst/>
            </c:spPr>
          </c:dPt>
          <c:dLbls>
            <c:dLbl>
              <c:idx val="1"/>
              <c:layout>
                <c:manualLayout>
                  <c:x val="0.0226388888888889"/>
                  <c:y val="-0.0032407407407407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190277777777778"/>
                  <c:y val="0.0062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265277777777778"/>
                  <c:y val="-0.0092592592592592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[2024年决算公开图表.xlsx]Sheet1!$B$89:$B$94</c:f>
              <c:strCache>
                <c:ptCount val="6"/>
                <c:pt idx="0">
                  <c:v>一般公共服务（类）支出</c:v>
                </c:pt>
                <c:pt idx="1">
                  <c:v>社会保障和就业（类）支出</c:v>
                </c:pt>
                <c:pt idx="2">
                  <c:v>卫生健康支出</c:v>
                </c:pt>
                <c:pt idx="3">
                  <c:v>城乡社区支出</c:v>
                </c:pt>
                <c:pt idx="4">
                  <c:v>农林水支出</c:v>
                </c:pt>
                <c:pt idx="5">
                  <c:v>住房保障支出</c:v>
                </c:pt>
              </c:strCache>
            </c:strRef>
          </c:cat>
          <c:val>
            <c:numRef>
              <c:f>[2024年决算公开图表.xlsx]Sheet1!$C$89:$C$94</c:f>
              <c:numCache>
                <c:formatCode>General</c:formatCode>
                <c:ptCount val="6"/>
                <c:pt idx="0">
                  <c:v>447.35</c:v>
                </c:pt>
                <c:pt idx="1">
                  <c:v>76.68</c:v>
                </c:pt>
                <c:pt idx="2">
                  <c:v>12.6</c:v>
                </c:pt>
                <c:pt idx="3">
                  <c:v>327.07</c:v>
                </c:pt>
                <c:pt idx="4">
                  <c:v>14.04</c:v>
                </c:pt>
                <c:pt idx="5">
                  <c:v>38.53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69271cf-873c-4c35-9bbf-e08807d382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[2024年决算公开图表.xlsx]Sheet1!$C$108</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[2024年决算公开图表.xlsx]Sheet1!$B$109:$B$111</c:f>
              <c:strCache>
                <c:ptCount val="3"/>
                <c:pt idx="0">
                  <c:v>因公出国（境）费支出</c:v>
                </c:pt>
                <c:pt idx="1">
                  <c:v>公务用车购置及运行维护费支出</c:v>
                </c:pt>
                <c:pt idx="2">
                  <c:v>公务接待费支出</c:v>
                </c:pt>
              </c:strCache>
            </c:strRef>
          </c:cat>
          <c:val>
            <c:numRef>
              <c:f>[2024年决算公开图表.xlsx]Sheet1!$C$109:$C$111</c:f>
              <c:numCache>
                <c:formatCode>General</c:formatCode>
                <c:ptCount val="3"/>
                <c:pt idx="0">
                  <c:v>0</c:v>
                </c:pt>
                <c:pt idx="1">
                  <c:v>0</c:v>
                </c:pt>
                <c:pt idx="2">
                  <c:v>0.45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396ba90-617f-4b43-a37e-a453568faf3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dfb13985-ee68-4546-a6f2-20c539c2f43c</errorID>
      <errorWord>巩固脱贫攻坚成果</errorWord>
      <group>L1_Word</group>
      <groupName>字词问题</groupName>
      <ability>L2_Typo</ability>
      <abilityName>字词错误</abilityName>
      <candidateList>
        <item>巩固拓展脱贫攻坚成果</item>
      </candidateList>
      <explain/>
      <paraID>1D0FCB7E</paraID>
      <start>10</start>
      <end>18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9f7db-f7b9-4522-926f-3c90091b79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10848</Words>
  <Characters>11949</Characters>
  <Lines>1</Lines>
  <Paragraphs>1</Paragraphs>
  <TotalTime>8</TotalTime>
  <ScaleCrop>false</ScaleCrop>
  <LinksUpToDate>false</LinksUpToDate>
  <CharactersWithSpaces>12197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2025-11-28T01:04:21Z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110365D52D174099B02D6175ACDF337D_13</vt:lpwstr>
  </property>
  <property fmtid="{D5CDD505-2E9C-101B-9397-08002B2CF9AE}" pid="4" name="KSOTemplateDocerSaveRecord">
    <vt:lpwstr>eyJoZGlkIjoiNzI2ZGI0OGUzMDAzMzk0YmE1OTYyMDVlZGMwMmYyODYiLCJ1c2VySWQiOiIxMTM5NjM2MTk5In0=</vt:lpwstr>
  </property>
</Properties>
</file>