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eastAsia" w:ascii="方正黑体_GBK" w:hAnsi="宋体" w:eastAsia="方正黑体_GBK"/>
          <w:sz w:val="33"/>
          <w:szCs w:val="33"/>
          <w:lang w:val="zh-CN" w:eastAsia="zh-CN"/>
        </w:rPr>
      </w:pPr>
      <w:r>
        <w:rPr>
          <w:rFonts w:hint="eastAsia" w:ascii="方正黑体_GBK" w:hAnsi="宋体" w:eastAsia="方正黑体_GBK"/>
          <w:sz w:val="33"/>
          <w:szCs w:val="33"/>
          <w:lang w:val="zh-CN"/>
        </w:rPr>
        <w:t>附件</w:t>
      </w:r>
      <w:r>
        <w:rPr>
          <w:rFonts w:hint="eastAsia" w:eastAsia="方正黑体_GBK"/>
          <w:sz w:val="33"/>
          <w:szCs w:val="33"/>
          <w:lang w:val="en-US" w:eastAsia="zh-CN"/>
        </w:rPr>
        <w:t>2</w:t>
      </w:r>
    </w:p>
    <w:p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sz w:val="44"/>
          <w:szCs w:val="44"/>
          <w:shd w:val="clear" w:color="auto" w:fill="FFFFFF"/>
        </w:rPr>
      </w:pPr>
    </w:p>
    <w:p>
      <w:pPr>
        <w:widowControl/>
        <w:numPr>
          <w:ilvl w:val="0"/>
          <w:numId w:val="0"/>
        </w:numPr>
        <w:spacing w:line="580" w:lineRule="exact"/>
        <w:contextualSpacing/>
        <w:jc w:val="center"/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部门整体支出预算绩效自评报告</w:t>
      </w:r>
    </w:p>
    <w:p>
      <w:pPr>
        <w:widowControl/>
        <w:numPr>
          <w:ilvl w:val="0"/>
          <w:numId w:val="0"/>
        </w:numPr>
        <w:spacing w:line="580" w:lineRule="exact"/>
        <w:contextualSpacing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仿宋_GB2312" w:hAnsi="宋体" w:eastAsia="仿宋_GB2312"/>
          <w:szCs w:val="32"/>
          <w:shd w:val="clear" w:color="auto" w:fill="FFFFFF"/>
        </w:rPr>
        <w:t>（</w:t>
      </w:r>
      <w:r>
        <w:rPr>
          <w:rFonts w:hint="eastAsia" w:ascii="仿宋_GB2312" w:hAnsi="宋体" w:eastAsia="仿宋_GB2312"/>
          <w:szCs w:val="32"/>
          <w:shd w:val="clear" w:color="auto" w:fill="FFFFFF"/>
          <w:lang w:eastAsia="zh-CN"/>
        </w:rPr>
        <w:t>县行政审批和数据局</w:t>
      </w:r>
      <w:r>
        <w:rPr>
          <w:rFonts w:hint="eastAsia" w:ascii="仿宋_GB2312" w:hAnsi="宋体" w:eastAsia="仿宋_GB2312"/>
          <w:szCs w:val="32"/>
          <w:shd w:val="clear" w:color="auto" w:fill="FFFFFF"/>
        </w:rPr>
        <w:t>）</w:t>
      </w:r>
    </w:p>
    <w:p>
      <w:pPr>
        <w:widowControl/>
        <w:adjustRightInd w:val="0"/>
        <w:snapToGrid w:val="0"/>
        <w:spacing w:line="580" w:lineRule="exact"/>
        <w:ind w:firstLine="660" w:firstLineChars="200"/>
        <w:contextualSpacing/>
        <w:jc w:val="center"/>
        <w:rPr>
          <w:rFonts w:ascii="方正仿宋_GBK" w:hAnsi="宋体" w:eastAsia="方正仿宋_GBK" w:cs="宋体"/>
          <w:color w:val="000000"/>
          <w:kern w:val="0"/>
          <w:sz w:val="33"/>
          <w:szCs w:val="33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  <w:t>部门基本情况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（一）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 w:eastAsia="zh-CN" w:bidi="ar-SA"/>
        </w:rPr>
        <w:t>机构组成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峨边彝族自治县行政审批数据局内设一室四股，分别是办公室、政务服务股、项目推进股、社会事务股、数字经济股。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机构职能和人员概况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负责贯彻落实党中央关于优化政务服务、提升行政效能、数字经济发展和信息化建设工作的方针政策和省委、市委、县委的决策部署，在履行职责过程中坚持和加强党的集中统一领导。聚焦政务服务和数字经济建设两大领域，优化政务服务、提升行政效能，推动线上线下融合发展；协调推进全县数字经济和信息化基础设施、“互联网+”建设，指导智慧城市和数字政府建设，实现办事方式多元化、办事流程最优化、办事材料最简化、办事成本最小化，形成便捷高效的政务服务体系，最大限度利企便民，激发经济社会发展动力。县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行政审批数据局现有人员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23人，其中：公务员12人， 事业11人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 w:eastAsia="zh-CN"/>
        </w:rPr>
        <w:t>年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 w:eastAsia="zh-CN"/>
        </w:rPr>
        <w:t>度主要工作任务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  <w:t>政务服务工作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（1）高效运行政务服务一体化平台。2024年全县共在省一体化政务服务平台上受理办件2.8万件。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（2）动态调整行政权力事项。指导13个乡镇便民中心结合本地实际规范优化进驻政务服务事项，目前各中心平均进驻事项255项。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（3）规范建设乡镇便民服务中心。成功申报4个省星级便民服务中心创建试点，通过定期实地指导、组织乡镇集中会审等方式，有序推进创建工作。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4）不断提升政务服务质效。更新完善13件“高效办成一件事”办事指南，截至目前全部完成线上配置，受理事项2066件。成立惠企政策“直达快享”专班，依托省一体化政务服务平台认领编辑省市惠企政策142项，发布县本级惠企政策2项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5）开展已划转许可事项办理。办理林业事项2200件；办理水务事项72件；登记市场主体1806户，注销市场主体538户；核发食品经营许可证76个，注销29个；办理涉农事项728件；办理卫键事项718件；接待各类档案查询552次，信息比对查询5929件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  <w:t>2.数字赋能工作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1）着力构建智慧城市管理体系。围绕数字峨边“2+2”建设框架体系，开展智慧城市管理体系项目建设。布局城市大脑建设，组织专业团队对接各业务部门，汇集各项基础数据，部署建设时空地理信息、视频融合解析、融合通信、物联感知等多个平台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2）有序推进新型基础设施一张网。一是每周调度项目推进情况，对全县现有各类感知源1483个点位定位上图，对全县15个部门，500个规划点位统筹规划上图，形成新型基础设施一张网项目同规划、同部署，齐抓共管的格局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(3)加强网络基础设施建设。实现村民小组光纤宽带通达率100%，新改建4G、5G基站34座。规范整改通信线路，组织运营商迁改机箱2处，光交缆线入地20根，天际线整治点位220余个，排查处理存在安全隐患通信杆体40根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（四）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 w:eastAsia="zh-CN"/>
        </w:rPr>
        <w:t>部门整体支出绩效目标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1、保障机关人员经费开支；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2、保障政务服务相关网络平台运行；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3、受理办理行政审批及公共服务事项；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4、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提升政务服务质效；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 w:eastAsia="zh-CN"/>
        </w:rPr>
        <w:t>部门财政资金收入情况。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行政审批数据局2024年财政拨款预算收入917.27万元，其中上级资金0万元，县级资金917.27万元。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 w:eastAsia="zh-CN"/>
        </w:rPr>
        <w:t>部门财政资金支出情况。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基本支出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564.51万元，项目支出352.76万元，其中项目3个，具体支出为：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便民服务体系建设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专项经费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24.69万元;全县信息化建设项目327.07万元；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城乡融合重大项目前期工作经费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1万元。</w:t>
      </w:r>
    </w:p>
    <w:p>
      <w:pPr>
        <w:widowControl/>
        <w:numPr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（三）部门财政资金结转结余情况。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2024年本部门资金无结转结余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。</w:t>
      </w:r>
    </w:p>
    <w:p>
      <w:pPr>
        <w:widowControl/>
        <w:numPr>
          <w:ilvl w:val="0"/>
          <w:numId w:val="3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部门整体绩效管理情况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（一）部门整体履职绩效分析。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围绕部门整体绩效目标完成情况和部门履职情况进行绩效分析。</w:t>
      </w:r>
    </w:p>
    <w:p>
      <w:pPr>
        <w:spacing w:line="560" w:lineRule="exact"/>
        <w:ind w:firstLine="640" w:firstLineChars="200"/>
        <w:rPr>
          <w:rFonts w:hint="eastAsia" w:asci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1.</w:t>
      </w:r>
      <w:r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en-US" w:eastAsia="zh-CN"/>
        </w:rPr>
        <w:t>绩效目标制定情况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行政审批数据局严格按照预算编制通知和有关要求，对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部门内部绩效目标进行审核，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对部门2024年工作目标在数量、质量、时效、成本、社会效益、可持续影响和社会满意度方面作出了具体明确的要求。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绩效目标实现情况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jc w:val="both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行政审批数据局较好的完成了部门2024年目标任务，有效保障了各网格平台的正常运行，其目标完成情况与年初绩效保持一致。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3.</w:t>
      </w: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支出控制情况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严格实行领导负责制，坚决按内控制度要求和操作流程办理各项业务，对重大经济事项，坚持依法、科学、民主决策，坚持以局党组会议讨论通过确认实施。坚持勤俭节约，不铺张浪费，合理使用资金。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default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4.预算执行进行及完成情况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按照预算编制要求,我单位严格执行中央八项规定和省、市十项规定,厉行节约规范使用预算资金。收入上，严格执行 “收支两条线”管理制度，按规定使用非税票据并直接缴入国库，无隐瞒收入和其他违反国家收费管理规定的行为。在支出管理中, 认真执行国库集中支付、政府采购、重点工作和大额支付上会集体决策等相关财务管理制度。认真做好每月与银行对账工作，加强动态监控，保障机关各项工作顺利开展。2024年公务接待费支出0.45万元，完成预算0.5%。主要原因是贯彻执行中央八项规定和省委省政府十项规定，坚决杜绝奢侈浪费，厉行节约，有效控制公务接待费用。2024年无因公出国（境）经费和公务用车购置及运行维护费支出。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default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5.违规记录情况。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无</w:t>
      </w:r>
    </w:p>
    <w:p>
      <w:pPr>
        <w:widowControl/>
        <w:numPr>
          <w:ilvl w:val="0"/>
          <w:numId w:val="4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特定目标类项目绩效分析。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包括项目绩效目标制定、目标实现、支出控制、及时处置、执行进度、预算完成情况、资金结余率（低效无效率）和违规记录等情况。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1.整体情况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2024年我单位预算项目三个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:一是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为增强行政机关人员服务意识，提升工作效率，营造良好政府形象，有效保障服务大厅正常运转，高效运行政务服务一体化平台设立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便民服务体系建设专项经费项目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。二是为完成数据经济工作，着力构建智慧城市管理体系，有序推进新型基础设施一张网，加强网络基础设施建设和网络安全防护工作设立的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全县信息化建设项目。三是为申请专项债项目，前期准备资料包含可研报告和实施方案等设立了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城乡融合重大项目前期工作经费项目。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default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2.目标完成情况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便民服务体系建设专项经费项目预算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25万元，调剂减少0.32万元，实际支付24.68万元。与预算基本持平。全县信息化建设项目预算327.07万元，实际支付327.07万元；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城乡融合重大项目前期工作经费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项目预算1万元，实际支付1万元。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default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3.项目效果情况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项目资金得到及时调整足额划拨，有效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保障了行政事项办理相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关平台网络正常运行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政务服务大厅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、数据经济工作等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正常运行，增强了行政机关人员服务意识，提升了工作效率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（三）部门预算项目支出情况分析。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根据《部门预算项目支出绩效自评表》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自评结果逐项描述自评情况。（多个项目请分别描述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）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我单位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2024预算项目分别为：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便民服务体系建设专项经费项目年初预算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25万元，实际支付24.68，完成评审项目15个，权威性审查100%，即办件在1个工作日内完成，项目预算执行率达98.76%，项目自评得分100分。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全县信息化建设项目预算327.07万元，实际支付327.07万元。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城乡融合重大项目前期工作经费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项目预算1万元，实际支付1万元。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 w:eastAsia="zh-CN"/>
        </w:rPr>
        <w:t>四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）结果应用情况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1.绩效自评公开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我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严格按照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县财政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信息公开工作的统一安排部署，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在规定时内对2024年度部门整体支出绩效报告和2024年度部门整体支出绩效评价报告进行了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主动公开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2.评价结果整改情况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县行政审批数据局严格按照支出绩效指示评价内容，对照预决算编制、项目支出和内控执行逐项进行评价，从自评情况看，预决算编制合理，财务支出比较规范，部门整体支出绩效自评得分良好。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3.应用结果反馈情况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我局严格按照相关要求，均在规定时间内向县财政部门报送各类报告报表，未有延迟报送情况。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、评价结论及建议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（一）评价结论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根据《关于开展202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年度部门整体、项目支出预算绩效评价工作的通知》文件精神，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我单位认真组织开展了部门整体支出绩效评价工作，绩效评价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得分：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98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分。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（二）存在问题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存在预算编制不够完善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,财务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管理工作不够规范等问题。</w:t>
      </w:r>
    </w:p>
    <w:p>
      <w:pPr>
        <w:widowControl/>
        <w:numPr>
          <w:ilvl w:val="0"/>
          <w:numId w:val="5"/>
        </w:numPr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改进建议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spacing w:beforeAutospacing="0" w:afterAutospacing="0" w:line="576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CN" w:eastAsia="zh-CN" w:bidi="ar-SA"/>
        </w:rPr>
        <w:t>在今后的工作中,我单位将严格按照新《预算法》的部门内控制度要求，加强预算编制的科学性、合理性,让预算编制更贴合实际，使项目预算与工作结合更加紧密。严格按照批复预算执行，并按照项目开展进度有计划申请资金及时支付。加强预算执行管理，增强预算约束力，做好预算项目支出绩效目标及各项绩效指标的细化、量化工作,用好用活各类财政资金，提高财政资金的使用效益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left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">
    <w:altName w:val="微软雅黑"/>
    <w:panose1 w:val="00000000000000000000"/>
    <w:charset w:val="00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8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94E58"/>
    <w:multiLevelType w:val="singleLevel"/>
    <w:tmpl w:val="A3D94E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46A3603"/>
    <w:multiLevelType w:val="singleLevel"/>
    <w:tmpl w:val="E46A360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A7E682E"/>
    <w:multiLevelType w:val="singleLevel"/>
    <w:tmpl w:val="2A7E682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1ED2172"/>
    <w:multiLevelType w:val="singleLevel"/>
    <w:tmpl w:val="71ED217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216A219"/>
    <w:multiLevelType w:val="singleLevel"/>
    <w:tmpl w:val="7216A21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kxYzg5YzEwZGNhZGNkMGRiNDhmZTg1NTU3NmNmNDAifQ=="/>
  </w:docVars>
  <w:rsids>
    <w:rsidRoot w:val="00EC0174"/>
    <w:rsid w:val="00006E4D"/>
    <w:rsid w:val="00021652"/>
    <w:rsid w:val="00030311"/>
    <w:rsid w:val="00030782"/>
    <w:rsid w:val="00030B66"/>
    <w:rsid w:val="00052572"/>
    <w:rsid w:val="0006068D"/>
    <w:rsid w:val="0006102A"/>
    <w:rsid w:val="00065B0F"/>
    <w:rsid w:val="00065E7E"/>
    <w:rsid w:val="00077022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27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69C6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07852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D76D5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57793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C6A76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75421"/>
    <w:rsid w:val="00782BBB"/>
    <w:rsid w:val="007A0690"/>
    <w:rsid w:val="007A078F"/>
    <w:rsid w:val="007B34D4"/>
    <w:rsid w:val="007C0633"/>
    <w:rsid w:val="007D086C"/>
    <w:rsid w:val="007F1BE1"/>
    <w:rsid w:val="007F637D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0337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92716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00BB4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37F7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C0839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12D0479"/>
    <w:rsid w:val="01347A59"/>
    <w:rsid w:val="017B11E4"/>
    <w:rsid w:val="01853E11"/>
    <w:rsid w:val="01F74374"/>
    <w:rsid w:val="025D6B3C"/>
    <w:rsid w:val="02BA21E0"/>
    <w:rsid w:val="02FF0703"/>
    <w:rsid w:val="03946B2A"/>
    <w:rsid w:val="03FE7AFA"/>
    <w:rsid w:val="043438CC"/>
    <w:rsid w:val="05A50F26"/>
    <w:rsid w:val="060D1346"/>
    <w:rsid w:val="065960D8"/>
    <w:rsid w:val="07550729"/>
    <w:rsid w:val="07683FB9"/>
    <w:rsid w:val="079274EE"/>
    <w:rsid w:val="079F4C9B"/>
    <w:rsid w:val="09F935EE"/>
    <w:rsid w:val="0B7A42BB"/>
    <w:rsid w:val="0B835865"/>
    <w:rsid w:val="0BAD28E2"/>
    <w:rsid w:val="0BD0037E"/>
    <w:rsid w:val="0C300E1D"/>
    <w:rsid w:val="0CA02447"/>
    <w:rsid w:val="0D076022"/>
    <w:rsid w:val="0D0C53E6"/>
    <w:rsid w:val="0D5C45C0"/>
    <w:rsid w:val="0D6030C1"/>
    <w:rsid w:val="0DD8384D"/>
    <w:rsid w:val="0DF30354"/>
    <w:rsid w:val="0E15476E"/>
    <w:rsid w:val="0E4A4418"/>
    <w:rsid w:val="0F5740BF"/>
    <w:rsid w:val="0F702DCC"/>
    <w:rsid w:val="0FC1739C"/>
    <w:rsid w:val="1045133B"/>
    <w:rsid w:val="10B71B4A"/>
    <w:rsid w:val="10CA1840"/>
    <w:rsid w:val="11034D52"/>
    <w:rsid w:val="113B50DE"/>
    <w:rsid w:val="11D230A2"/>
    <w:rsid w:val="120B2110"/>
    <w:rsid w:val="122E5DFF"/>
    <w:rsid w:val="12601868"/>
    <w:rsid w:val="12906AB9"/>
    <w:rsid w:val="13E94EDC"/>
    <w:rsid w:val="14EC447B"/>
    <w:rsid w:val="15883A78"/>
    <w:rsid w:val="15BE02EE"/>
    <w:rsid w:val="17290931"/>
    <w:rsid w:val="18080FD2"/>
    <w:rsid w:val="186500A0"/>
    <w:rsid w:val="18AD3F21"/>
    <w:rsid w:val="19393A07"/>
    <w:rsid w:val="19927F78"/>
    <w:rsid w:val="1A55661F"/>
    <w:rsid w:val="1A975EDC"/>
    <w:rsid w:val="1AD31583"/>
    <w:rsid w:val="1B281F85"/>
    <w:rsid w:val="1BC3580A"/>
    <w:rsid w:val="1C5B5A42"/>
    <w:rsid w:val="1D3C5874"/>
    <w:rsid w:val="1DEA1774"/>
    <w:rsid w:val="1DEC54EC"/>
    <w:rsid w:val="1EE211AB"/>
    <w:rsid w:val="1FB42039"/>
    <w:rsid w:val="20054643"/>
    <w:rsid w:val="218D48F0"/>
    <w:rsid w:val="21AE59D8"/>
    <w:rsid w:val="21CE6CB6"/>
    <w:rsid w:val="22665141"/>
    <w:rsid w:val="227855A0"/>
    <w:rsid w:val="229B4DEB"/>
    <w:rsid w:val="23C71C0F"/>
    <w:rsid w:val="245142FB"/>
    <w:rsid w:val="24C30546"/>
    <w:rsid w:val="24CA5E5B"/>
    <w:rsid w:val="25F807A6"/>
    <w:rsid w:val="27816C7E"/>
    <w:rsid w:val="27C45A2D"/>
    <w:rsid w:val="286F56EA"/>
    <w:rsid w:val="28771E56"/>
    <w:rsid w:val="28B208E1"/>
    <w:rsid w:val="28D76D98"/>
    <w:rsid w:val="299D58EC"/>
    <w:rsid w:val="29FB0312"/>
    <w:rsid w:val="2A435E38"/>
    <w:rsid w:val="2AAA4765"/>
    <w:rsid w:val="2C42277B"/>
    <w:rsid w:val="2D3C71CA"/>
    <w:rsid w:val="2D527252"/>
    <w:rsid w:val="2D7A67E5"/>
    <w:rsid w:val="2DA860D7"/>
    <w:rsid w:val="2E3A195C"/>
    <w:rsid w:val="2EC102CF"/>
    <w:rsid w:val="2F3C1703"/>
    <w:rsid w:val="2F4F7689"/>
    <w:rsid w:val="2F566C69"/>
    <w:rsid w:val="306E1D90"/>
    <w:rsid w:val="30B5176D"/>
    <w:rsid w:val="31AD68E8"/>
    <w:rsid w:val="329102D6"/>
    <w:rsid w:val="33BC2E13"/>
    <w:rsid w:val="349E48EC"/>
    <w:rsid w:val="34FD36E3"/>
    <w:rsid w:val="350E3B42"/>
    <w:rsid w:val="352D221A"/>
    <w:rsid w:val="36CE03B8"/>
    <w:rsid w:val="372C0CEA"/>
    <w:rsid w:val="37461371"/>
    <w:rsid w:val="379320DC"/>
    <w:rsid w:val="37A45727"/>
    <w:rsid w:val="39533B4D"/>
    <w:rsid w:val="3A635E61"/>
    <w:rsid w:val="3A9520B3"/>
    <w:rsid w:val="3AB24F6F"/>
    <w:rsid w:val="3B871F58"/>
    <w:rsid w:val="3BA66882"/>
    <w:rsid w:val="3C1A7270"/>
    <w:rsid w:val="3DE562B7"/>
    <w:rsid w:val="3E015FF2"/>
    <w:rsid w:val="3E6507EA"/>
    <w:rsid w:val="3F11495A"/>
    <w:rsid w:val="40354679"/>
    <w:rsid w:val="4068230D"/>
    <w:rsid w:val="40784565"/>
    <w:rsid w:val="40FF07E3"/>
    <w:rsid w:val="41393CF5"/>
    <w:rsid w:val="41596145"/>
    <w:rsid w:val="419F2B8A"/>
    <w:rsid w:val="42DC31A4"/>
    <w:rsid w:val="43EA13D4"/>
    <w:rsid w:val="449556E6"/>
    <w:rsid w:val="4497145E"/>
    <w:rsid w:val="44EB3558"/>
    <w:rsid w:val="45034D45"/>
    <w:rsid w:val="45E22BAD"/>
    <w:rsid w:val="47550EBA"/>
    <w:rsid w:val="47CD11A8"/>
    <w:rsid w:val="481B4154"/>
    <w:rsid w:val="48743864"/>
    <w:rsid w:val="48E94252"/>
    <w:rsid w:val="498A77E3"/>
    <w:rsid w:val="4A08695A"/>
    <w:rsid w:val="4A0F35DD"/>
    <w:rsid w:val="4A3F72C9"/>
    <w:rsid w:val="4A791606"/>
    <w:rsid w:val="4A7E6B69"/>
    <w:rsid w:val="4AB03279"/>
    <w:rsid w:val="4D16313C"/>
    <w:rsid w:val="4DE2770C"/>
    <w:rsid w:val="4DE72231"/>
    <w:rsid w:val="4DE80F7C"/>
    <w:rsid w:val="4EE47996"/>
    <w:rsid w:val="500D0826"/>
    <w:rsid w:val="501F0559"/>
    <w:rsid w:val="50BB3388"/>
    <w:rsid w:val="50D2381E"/>
    <w:rsid w:val="50E81293"/>
    <w:rsid w:val="51211A52"/>
    <w:rsid w:val="52524C16"/>
    <w:rsid w:val="52DD4E28"/>
    <w:rsid w:val="53BB4A3D"/>
    <w:rsid w:val="53CC09F8"/>
    <w:rsid w:val="53E06252"/>
    <w:rsid w:val="5511700B"/>
    <w:rsid w:val="55276C44"/>
    <w:rsid w:val="552C79A0"/>
    <w:rsid w:val="556644E1"/>
    <w:rsid w:val="560C4757"/>
    <w:rsid w:val="579655A5"/>
    <w:rsid w:val="58472D43"/>
    <w:rsid w:val="587C7C70"/>
    <w:rsid w:val="58953AAF"/>
    <w:rsid w:val="596C524B"/>
    <w:rsid w:val="59BE0DE3"/>
    <w:rsid w:val="5A5A4FB0"/>
    <w:rsid w:val="5C2F421A"/>
    <w:rsid w:val="5CDC6150"/>
    <w:rsid w:val="5CF36FF6"/>
    <w:rsid w:val="5D50269A"/>
    <w:rsid w:val="5D867E6A"/>
    <w:rsid w:val="5E3D49CC"/>
    <w:rsid w:val="5F2416E8"/>
    <w:rsid w:val="5F2422C0"/>
    <w:rsid w:val="5F8D1984"/>
    <w:rsid w:val="5FC25E26"/>
    <w:rsid w:val="62500A46"/>
    <w:rsid w:val="62A3189F"/>
    <w:rsid w:val="62C236F2"/>
    <w:rsid w:val="62C90F25"/>
    <w:rsid w:val="64177A6E"/>
    <w:rsid w:val="649A4F60"/>
    <w:rsid w:val="6636451A"/>
    <w:rsid w:val="668533B4"/>
    <w:rsid w:val="671464E6"/>
    <w:rsid w:val="67281F92"/>
    <w:rsid w:val="67296240"/>
    <w:rsid w:val="673D2B6B"/>
    <w:rsid w:val="67962051"/>
    <w:rsid w:val="67DB0DB2"/>
    <w:rsid w:val="68EC18B0"/>
    <w:rsid w:val="69096BB1"/>
    <w:rsid w:val="698A6F34"/>
    <w:rsid w:val="6A050368"/>
    <w:rsid w:val="6BE94116"/>
    <w:rsid w:val="6C755C79"/>
    <w:rsid w:val="6D284A9A"/>
    <w:rsid w:val="6E22598D"/>
    <w:rsid w:val="6E82642B"/>
    <w:rsid w:val="6E843F52"/>
    <w:rsid w:val="704E4817"/>
    <w:rsid w:val="71DD22F7"/>
    <w:rsid w:val="726522EC"/>
    <w:rsid w:val="727C0BF8"/>
    <w:rsid w:val="734168B5"/>
    <w:rsid w:val="73644352"/>
    <w:rsid w:val="74652A2E"/>
    <w:rsid w:val="74A71CA9"/>
    <w:rsid w:val="74D177C5"/>
    <w:rsid w:val="74DD616A"/>
    <w:rsid w:val="754771AA"/>
    <w:rsid w:val="754D6F95"/>
    <w:rsid w:val="756D1BE3"/>
    <w:rsid w:val="76320737"/>
    <w:rsid w:val="76C53359"/>
    <w:rsid w:val="780F6F82"/>
    <w:rsid w:val="78916378"/>
    <w:rsid w:val="78C733B9"/>
    <w:rsid w:val="79426EE3"/>
    <w:rsid w:val="7A456C8B"/>
    <w:rsid w:val="7A5213A8"/>
    <w:rsid w:val="7B0C59FB"/>
    <w:rsid w:val="7B0E1773"/>
    <w:rsid w:val="7B5573A2"/>
    <w:rsid w:val="7BAB5214"/>
    <w:rsid w:val="7BC20073"/>
    <w:rsid w:val="7C30396B"/>
    <w:rsid w:val="7C43369E"/>
    <w:rsid w:val="7C631402"/>
    <w:rsid w:val="7C9E12B9"/>
    <w:rsid w:val="7DAC596B"/>
    <w:rsid w:val="7DCC0F6E"/>
    <w:rsid w:val="7E140770"/>
    <w:rsid w:val="7F5259A6"/>
    <w:rsid w:val="7FFB739A"/>
    <w:rsid w:val="9BFF6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qFormat="1" w:uiPriority="0" w:semiHidden="0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qFormat="1" w:unhideWhenUsed="0" w:uiPriority="0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0" w:semiHidden="0" w:name="Body Text First Indent" w:locked="1"/>
    <w:lsdException w:qFormat="1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locked/>
    <w:uiPriority w:val="0"/>
    <w:pPr>
      <w:ind w:left="2940"/>
    </w:pPr>
    <w:rPr>
      <w:rFonts w:hint="default"/>
      <w:sz w:val="21"/>
    </w:rPr>
  </w:style>
  <w:style w:type="paragraph" w:styleId="3">
    <w:name w:val="Document Map"/>
    <w:basedOn w:val="1"/>
    <w:link w:val="18"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next w:val="2"/>
    <w:qFormat/>
    <w:locked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Body Text Indent"/>
    <w:basedOn w:val="1"/>
    <w:next w:val="6"/>
    <w:qFormat/>
    <w:locked/>
    <w:uiPriority w:val="0"/>
    <w:pPr>
      <w:spacing w:after="120"/>
      <w:ind w:leftChars="200"/>
    </w:pPr>
    <w:rPr>
      <w:rFonts w:ascii="仿宋_GB2312"/>
      <w:szCs w:val="32"/>
    </w:rPr>
  </w:style>
  <w:style w:type="paragraph" w:styleId="6">
    <w:name w:val="Body Text First Indent 2"/>
    <w:basedOn w:val="5"/>
    <w:next w:val="1"/>
    <w:unhideWhenUsed/>
    <w:qFormat/>
    <w:locked/>
    <w:uiPriority w:val="99"/>
    <w:pPr>
      <w:ind w:firstLine="420" w:firstLineChars="200"/>
    </w:p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6"/>
    <w:semiHidden/>
    <w:qFormat/>
    <w:locked/>
    <w:uiPriority w:val="0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locked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Arial" w:hAnsi="Arial" w:eastAsia="仿宋_GB2312" w:cs="Arial"/>
      <w:b/>
      <w:bCs/>
      <w:sz w:val="32"/>
      <w:szCs w:val="32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99"/>
    <w:rPr>
      <w:rFonts w:cs="Times New Roman"/>
    </w:rPr>
  </w:style>
  <w:style w:type="character" w:styleId="17">
    <w:name w:val="Emphasis"/>
    <w:basedOn w:val="15"/>
    <w:qFormat/>
    <w:locked/>
    <w:uiPriority w:val="0"/>
    <w:rPr>
      <w:i/>
    </w:rPr>
  </w:style>
  <w:style w:type="character" w:customStyle="1" w:styleId="18">
    <w:name w:val="文档结构图 Char"/>
    <w:link w:val="3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9">
    <w:name w:val="批注框文本 Char"/>
    <w:link w:val="7"/>
    <w:semiHidden/>
    <w:qFormat/>
    <w:locked/>
    <w:uiPriority w:val="99"/>
    <w:rPr>
      <w:rFonts w:cs="Times New Roman"/>
      <w:sz w:val="2"/>
    </w:rPr>
  </w:style>
  <w:style w:type="character" w:customStyle="1" w:styleId="20">
    <w:name w:val="页脚 Char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页眉 Char"/>
    <w:link w:val="9"/>
    <w:semiHidden/>
    <w:qFormat/>
    <w:locked/>
    <w:uiPriority w:val="99"/>
    <w:rPr>
      <w:rFonts w:cs="Times New Roman"/>
      <w:sz w:val="18"/>
      <w:szCs w:val="18"/>
    </w:rPr>
  </w:style>
  <w:style w:type="paragraph" w:customStyle="1" w:styleId="22">
    <w:name w:val="四号正文"/>
    <w:basedOn w:val="1"/>
    <w:link w:val="23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23">
    <w:name w:val="四号正文 Char"/>
    <w:link w:val="22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24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7</Pages>
  <Words>63</Words>
  <Characters>361</Characters>
  <Lines>3</Lines>
  <Paragraphs>1</Paragraphs>
  <TotalTime>6</TotalTime>
  <ScaleCrop>false</ScaleCrop>
  <LinksUpToDate>false</LinksUpToDate>
  <CharactersWithSpaces>423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Administrator</cp:lastModifiedBy>
  <cp:lastPrinted>2025-07-08T06:26:00Z</cp:lastPrinted>
  <dcterms:modified xsi:type="dcterms:W3CDTF">2025-11-19T03:20:13Z</dcterms:modified>
  <dc:title>区域性就业培训基地建设项目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BED8C7DD83B24176949115A9B9D8C17B_12</vt:lpwstr>
  </property>
</Properties>
</file>