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SimSun" w:eastAsia="方正黑体_GBK"/>
          <w:sz w:val="33"/>
          <w:szCs w:val="33"/>
          <w:lang w:val="zh-CN"/>
        </w:rPr>
      </w:pPr>
      <w:r>
        <w:rPr>
          <w:rFonts w:hint="eastAsia" w:ascii="方正黑体_GBK" w:hAnsi="SimSun"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SimSun"/>
          <w:b/>
          <w:sz w:val="44"/>
          <w:szCs w:val="44"/>
          <w:shd w:val="clear" w:color="auto" w:fill="FFFFFF"/>
        </w:rPr>
      </w:pPr>
    </w:p>
    <w:p>
      <w:pPr>
        <w:widowControl/>
        <w:spacing w:line="580" w:lineRule="exact"/>
        <w:contextualSpacing/>
        <w:jc w:val="center"/>
        <w:rPr>
          <w:rFonts w:ascii="FZXiaoBiaoSong-B05S" w:eastAsia="FZXiaoBiaoSong-B05S"/>
          <w:sz w:val="44"/>
          <w:szCs w:val="44"/>
          <w:shd w:val="clear" w:color="auto" w:fill="FFFFFF"/>
        </w:rPr>
      </w:pPr>
      <w:r>
        <w:rPr>
          <w:rFonts w:hint="eastAsia" w:ascii="FZXiaoBiaoSong-B05S" w:hAnsi="SimSun" w:eastAsia="FZXiaoBiaoSong-B05S"/>
          <w:sz w:val="44"/>
          <w:szCs w:val="44"/>
          <w:shd w:val="clear" w:color="auto" w:fill="FFFFFF"/>
          <w:lang w:eastAsia="zh-CN"/>
        </w:rPr>
        <w:t>县</w:t>
      </w:r>
      <w:r>
        <w:rPr>
          <w:rFonts w:hint="eastAsia" w:ascii="FZXiaoBiaoSong-B05S" w:hAnsi="SimSun" w:eastAsia="FZXiaoBiaoSong-B05S"/>
          <w:sz w:val="44"/>
          <w:szCs w:val="44"/>
          <w:shd w:val="clear" w:color="auto" w:fill="FFFFFF"/>
        </w:rPr>
        <w:t>级部门整体绩效自评报告</w:t>
      </w:r>
    </w:p>
    <w:p>
      <w:pPr>
        <w:widowControl/>
        <w:spacing w:line="580" w:lineRule="exact"/>
        <w:contextualSpacing/>
        <w:jc w:val="center"/>
        <w:rPr>
          <w:rFonts w:ascii="FZXiaoBiaoSong-B05S" w:eastAsia="FZXiaoBiaoSong-B05S"/>
          <w:sz w:val="44"/>
          <w:szCs w:val="44"/>
          <w:shd w:val="clear" w:color="auto" w:fill="FFFFFF"/>
        </w:rPr>
      </w:pP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w:t>
      </w:r>
    </w:p>
    <w:p>
      <w:pPr>
        <w:spacing w:line="560" w:lineRule="exact"/>
        <w:ind w:firstLine="640" w:firstLineChars="200"/>
        <w:rPr>
          <w:rFonts w:hint="eastAsia" w:ascii="FangSong" w:hAnsi="FangSong" w:eastAsia="FangSong" w:cs="FangSong"/>
          <w:color w:val="000000" w:themeColor="text1"/>
          <w:szCs w:val="32"/>
          <w14:textFill>
            <w14:solidFill>
              <w14:schemeClr w14:val="tx1"/>
            </w14:solidFill>
          </w14:textFill>
        </w:rPr>
      </w:pPr>
      <w:r>
        <w:rPr>
          <w:rFonts w:hint="eastAsia" w:ascii="FangSong" w:hAnsi="FangSong" w:eastAsia="FangSong" w:cs="FangSong"/>
          <w:color w:val="000000" w:themeColor="text1"/>
          <w:szCs w:val="32"/>
          <w14:textFill>
            <w14:solidFill>
              <w14:schemeClr w14:val="tx1"/>
            </w14:solidFill>
          </w14:textFill>
        </w:rPr>
        <w:t>峨边彝族自治县行政审</w:t>
      </w:r>
      <w:r>
        <w:rPr>
          <w:rFonts w:hint="eastAsia" w:ascii="FangSong" w:hAnsi="FangSong" w:eastAsia="FangSong" w:cs="FangSong"/>
          <w:color w:val="000000" w:themeColor="text1"/>
          <w:szCs w:val="32"/>
          <w:lang w:eastAsia="zh-CN"/>
          <w14:textFill>
            <w14:solidFill>
              <w14:schemeClr w14:val="tx1"/>
            </w14:solidFill>
          </w14:textFill>
        </w:rPr>
        <w:t>批局</w:t>
      </w:r>
      <w:r>
        <w:rPr>
          <w:rFonts w:hint="eastAsia" w:ascii="FangSong" w:hAnsi="FangSong" w:eastAsia="FangSong" w:cs="FangSong"/>
          <w:color w:val="000000" w:themeColor="text1"/>
          <w:szCs w:val="32"/>
          <w14:textFill>
            <w14:solidFill>
              <w14:schemeClr w14:val="tx1"/>
            </w14:solidFill>
          </w14:textFill>
        </w:rPr>
        <w:t>内设一股三室，分别是综合股、一审批室、二审批室、三审批室。</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 w:val="32"/>
          <w:szCs w:val="32"/>
          <w:shd w:val="clear" w:fill="FFFFFF"/>
          <w:lang w:val="zh-CN" w:eastAsia="zh-CN" w:bidi="ar-SA"/>
        </w:rPr>
        <w:t>（二）</w:t>
      </w:r>
      <w:r>
        <w:rPr>
          <w:rFonts w:hint="eastAsia" w:ascii="KaiTi_GB2312" w:hAnsi="SimSun" w:eastAsia="KaiTi_GB2312" w:cs="SimSun"/>
          <w:color w:val="000000"/>
          <w:kern w:val="0"/>
          <w:szCs w:val="32"/>
          <w:shd w:val="clear" w:color="auto" w:fill="FFFFFF"/>
          <w:lang w:val="zh-CN"/>
        </w:rPr>
        <w:t>机构职能。</w:t>
      </w:r>
    </w:p>
    <w:p>
      <w:pPr>
        <w:widowControl/>
        <w:adjustRightInd w:val="0"/>
        <w:snapToGrid w:val="0"/>
        <w:spacing w:line="580" w:lineRule="exact"/>
        <w:ind w:firstLine="640" w:firstLineChars="200"/>
        <w:contextualSpacing/>
        <w:jc w:val="left"/>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1.贯彻落实国家、省、市有关行政审批制度改革的决定，健全和完善相关工作体制机制。负责承担县深化行政审批制度改革领导小组办公室、县行政权力依法规范公开运行工作领导小组办公室和县机关行政效能建设领导小组办公室的日常工作。负责拟定深化行政审批改革政策、制度、办法和标准并组织实施。</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2.行使相对集中行政许可权。负责集中行使依法由相关县级部门行使、上级部门下放相关县级部门的行政许可事项及相关行政服务事项。</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3.负责就与行政许可和行政服务事项与相关县级部门信息互通共享工作，必要时，对相关县级部门提出事中事后监管建议意见。</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4.负责具体承办与集中行使的行政许可及相关行政服务有关的行政复议、行政诉讼。负责相关行政执法与刑事司法衔接工作。</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5.负责组织、协调、督办行政审批涉及的相关部门进行并联审批、现场勘查、技术论证和社会听证等工作。</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6.负责清理规范行政审批前置条件，负责对行政审批事项流程进行规范和优化，推进行政审批标准化建设和行政审批权力依法规范公开运行工作。</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7.负责全县办事服务大厅设立并规范运行，负责对大厅内行政审批、政务服务行为进行监督检查；负责对大厅内窗口工作人员进行日常监管、教育培训和检查考核。指导各乡镇行政审批服务中心（便民服务中心）建设管理等工作，建立行政审批、公共服务运行规程和考核体系。</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职能转变。</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1.县行政审批局负责实施行政审批的受理、审查、决定、送达及听证等职责。</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2.县行政审批局向各职能部门通报行政审批办理情况，便于职能部门对办理的审批事项实施后续监管，各职能部门要及时将上级部门下发的涉及行政审批相关事项的文件和涉及本部门行政审批的法律法规和规定及时转送县行政审批局。</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3.集中由县行政审批局行使，但需要上报省市部门审批的事项，以县行政审批局归口上报，由主管部门具体办理，如确需主管部门上报的，主管部门将办理情况及时传送行政审批局。</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4.行政审批事项涉及（市级以上）行政体制内的前置审批，则由主管部门负责具体办理，由主管部门将办结情况即时传送行政审批局。</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5.行政审批事项按照“应进必进”的原则进驻县行政审批局办事服务大厅，并实行目录管理，根据国务院、省、市、县政府对行政审批事项的调整情况进行动态调整。</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（三）人员概况。</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峨边彝族自治县行政审批局核定编制总数为20人，其中：行政7人，事业13人，现有在编人员</w:t>
      </w:r>
      <w:r>
        <w:rPr>
          <w:rFonts w:hint="eastAsia" w:ascii="FangSong" w:hAnsi="FangSong" w:eastAsia="FangSong" w:cs="FangSong"/>
          <w:color w:val="auto"/>
          <w:sz w:val="32"/>
          <w:szCs w:val="32"/>
          <w:lang w:val="en-US" w:eastAsia="zh-CN"/>
        </w:rPr>
        <w:t>23</w:t>
      </w:r>
      <w:r>
        <w:rPr>
          <w:rFonts w:hint="eastAsia" w:ascii="FangSong" w:hAnsi="FangSong" w:eastAsia="FangSong" w:cs="FangSong"/>
          <w:color w:val="auto"/>
          <w:sz w:val="32"/>
          <w:szCs w:val="32"/>
          <w:lang w:val="zh-CN" w:eastAsia="zh-CN"/>
        </w:rPr>
        <w:t>人，其中：行政</w:t>
      </w:r>
      <w:r>
        <w:rPr>
          <w:rFonts w:hint="eastAsia" w:ascii="FangSong" w:hAnsi="FangSong" w:eastAsia="FangSong" w:cs="FangSong"/>
          <w:color w:val="auto"/>
          <w:sz w:val="32"/>
          <w:szCs w:val="32"/>
          <w:lang w:val="en-US" w:eastAsia="zh-CN"/>
        </w:rPr>
        <w:t>14</w:t>
      </w:r>
      <w:r>
        <w:rPr>
          <w:rFonts w:hint="eastAsia" w:ascii="FangSong" w:hAnsi="FangSong" w:eastAsia="FangSong" w:cs="FangSong"/>
          <w:color w:val="auto"/>
          <w:sz w:val="32"/>
          <w:szCs w:val="32"/>
          <w:lang w:val="zh-CN" w:eastAsia="zh-CN"/>
        </w:rPr>
        <w:t>人，事业</w:t>
      </w:r>
      <w:r>
        <w:rPr>
          <w:rFonts w:hint="eastAsia" w:ascii="FangSong" w:hAnsi="FangSong" w:eastAsia="FangSong" w:cs="FangSong"/>
          <w:color w:val="auto"/>
          <w:sz w:val="32"/>
          <w:szCs w:val="32"/>
          <w:lang w:val="en-US" w:eastAsia="zh-CN"/>
        </w:rPr>
        <w:t>9</w:t>
      </w:r>
      <w:r>
        <w:rPr>
          <w:rFonts w:hint="eastAsia" w:ascii="FangSong" w:hAnsi="FangSong" w:eastAsia="FangSong" w:cs="FangSong"/>
          <w:color w:val="auto"/>
          <w:sz w:val="32"/>
          <w:szCs w:val="32"/>
          <w:lang w:val="zh-CN" w:eastAsia="zh-CN"/>
        </w:rPr>
        <w:t>人。</w:t>
      </w:r>
    </w:p>
    <w:p>
      <w:pPr>
        <w:spacing w:line="560" w:lineRule="exact"/>
        <w:ind w:firstLine="640" w:firstLineChars="200"/>
        <w:rPr>
          <w:rFonts w:hint="eastAsia" w:ascii="FangSong" w:hAnsi="FangSong" w:eastAsia="FangSong" w:cs="FangSong"/>
          <w:color w:val="auto"/>
          <w:sz w:val="32"/>
          <w:szCs w:val="32"/>
          <w:lang w:val="en-US" w:eastAsia="zh-CN"/>
        </w:rPr>
      </w:pP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（四）</w:t>
      </w:r>
      <w:r>
        <w:rPr>
          <w:rFonts w:hint="eastAsia" w:ascii="FangSong" w:hAnsi="FangSong" w:eastAsia="FangSong" w:cs="FangSong"/>
          <w:color w:val="auto"/>
          <w:sz w:val="32"/>
          <w:szCs w:val="32"/>
          <w:lang w:val="en-US" w:eastAsia="zh-CN"/>
        </w:rPr>
        <w:t>2022</w:t>
      </w:r>
      <w:r>
        <w:rPr>
          <w:rFonts w:hint="eastAsia" w:ascii="FangSong" w:hAnsi="FangSong" w:eastAsia="FangSong" w:cs="FangSong"/>
          <w:color w:val="auto"/>
          <w:sz w:val="32"/>
          <w:szCs w:val="32"/>
          <w:lang w:val="zh-CN" w:eastAsia="zh-CN"/>
        </w:rPr>
        <w:t>年度主要工作任务。</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en-US" w:eastAsia="zh-CN"/>
        </w:rPr>
        <w:t>1.</w:t>
      </w:r>
      <w:r>
        <w:rPr>
          <w:rFonts w:hint="eastAsia" w:ascii="FangSong" w:hAnsi="FangSong" w:eastAsia="FangSong" w:cs="FangSong"/>
          <w:color w:val="auto"/>
          <w:sz w:val="32"/>
          <w:szCs w:val="32"/>
          <w:lang w:val="zh-CN" w:eastAsia="zh-CN"/>
        </w:rPr>
        <w:t>持续推进行政审批局机构改革。持续推动，全面完成相对集中行政许可权改革，实现集中审批事项、编制、人员、职能全划转。</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en-US" w:eastAsia="zh-CN"/>
        </w:rPr>
        <w:t>2.</w:t>
      </w:r>
      <w:r>
        <w:rPr>
          <w:rFonts w:hint="eastAsia" w:ascii="FangSong" w:hAnsi="FangSong" w:eastAsia="FangSong" w:cs="FangSong"/>
          <w:color w:val="auto"/>
          <w:sz w:val="32"/>
          <w:szCs w:val="32"/>
          <w:lang w:val="zh-CN" w:eastAsia="zh-CN"/>
        </w:rPr>
        <w:t>加强审批队伍能力素质建设。着重抓好审批工作人员的管理和培训工作。组织开展审批人员专业培训、法制培训，切实增强审批工作人员法制意识、服务意识和业务办理能力。</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en-US" w:eastAsia="zh-CN"/>
        </w:rPr>
        <w:t>3.</w:t>
      </w:r>
      <w:r>
        <w:rPr>
          <w:rFonts w:hint="eastAsia" w:ascii="FangSong" w:hAnsi="FangSong" w:eastAsia="FangSong" w:cs="FangSong"/>
          <w:color w:val="auto"/>
          <w:sz w:val="32"/>
          <w:szCs w:val="32"/>
          <w:lang w:val="zh-CN" w:eastAsia="zh-CN"/>
        </w:rPr>
        <w:t>持续推进“互联网+政务服务”。全面推行“一窗式”服务，全面推动省一体化平台在县级部门和乡镇的配置运用，探索全程代办服务，根据重点工作需要，组建代办服务团队，制定代理服务考核办法，实行代理业绩与绩效、薪酬挂钩。</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en-US" w:eastAsia="zh-CN"/>
        </w:rPr>
        <w:t>4.</w:t>
      </w:r>
      <w:r>
        <w:rPr>
          <w:rFonts w:hint="eastAsia" w:ascii="FangSong" w:hAnsi="FangSong" w:eastAsia="FangSong" w:cs="FangSong"/>
          <w:color w:val="auto"/>
          <w:sz w:val="32"/>
          <w:szCs w:val="32"/>
          <w:lang w:val="zh-CN" w:eastAsia="zh-CN"/>
        </w:rPr>
        <w:t>深化作风纪律建设。持续开展党史学习教育和突出问题作风整治及成效巩固，加强工作人员的业务素质和服务意识培训，严肃工作纪律，加大监督管控力度，杜绝“门好进、脸好看、事难办”现象，以实际行动践行为民宗旨，树立良好形象。</w:t>
      </w:r>
    </w:p>
    <w:p>
      <w:pPr>
        <w:widowControl/>
        <w:numPr>
          <w:ilvl w:val="0"/>
          <w:numId w:val="0"/>
        </w:numPr>
        <w:adjustRightInd w:val="0"/>
        <w:snapToGrid w:val="0"/>
        <w:spacing w:line="580" w:lineRule="exact"/>
        <w:ind w:left="0" w:leftChars="0" w:firstLine="640" w:firstLineChars="200"/>
        <w:contextualSpacing/>
        <w:jc w:val="left"/>
        <w:rPr>
          <w:rFonts w:hint="eastAsia" w:ascii="KaiTi_GB2312" w:hAnsi="SimSun" w:eastAsia="KaiTi_GB2312" w:cs="SimSun"/>
          <w:color w:val="auto"/>
          <w:kern w:val="0"/>
          <w:szCs w:val="32"/>
          <w:shd w:val="clear" w:color="auto" w:fill="FFFFFF"/>
          <w:lang w:val="zh-CN"/>
        </w:rPr>
      </w:pPr>
      <w:r>
        <w:rPr>
          <w:rFonts w:hint="eastAsia" w:ascii="KaiTi_GB2312" w:hAnsi="SimSun" w:eastAsia="KaiTi_GB2312" w:cs="SimSun"/>
          <w:color w:val="auto"/>
          <w:kern w:val="0"/>
          <w:sz w:val="32"/>
          <w:szCs w:val="32"/>
          <w:shd w:val="clear" w:fill="FFFFFF"/>
          <w:lang w:val="zh-CN" w:eastAsia="zh-CN" w:bidi="ar-SA"/>
        </w:rPr>
        <w:t>（五）</w:t>
      </w:r>
      <w:r>
        <w:rPr>
          <w:rFonts w:hint="eastAsia" w:ascii="KaiTi_GB2312" w:hAnsi="SimSun" w:eastAsia="KaiTi_GB2312" w:cs="SimSun"/>
          <w:color w:val="auto"/>
          <w:kern w:val="0"/>
          <w:szCs w:val="32"/>
          <w:shd w:val="clear" w:color="auto" w:fill="FFFFFF"/>
          <w:lang w:val="zh-CN"/>
        </w:rPr>
        <w:t>部门整体支出绩效目标。</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1</w:t>
      </w:r>
      <w:r>
        <w:rPr>
          <w:rFonts w:hint="eastAsia" w:ascii="FangSong" w:hAnsi="FangSong" w:eastAsia="FangSong" w:cs="FangSong"/>
          <w:color w:val="auto"/>
          <w:sz w:val="32"/>
          <w:szCs w:val="32"/>
          <w:lang w:val="en-US" w:eastAsia="zh-CN"/>
        </w:rPr>
        <w:t>.</w:t>
      </w:r>
      <w:r>
        <w:rPr>
          <w:rFonts w:hint="eastAsia" w:ascii="FangSong" w:hAnsi="FangSong" w:eastAsia="FangSong" w:cs="FangSong"/>
          <w:color w:val="auto"/>
          <w:sz w:val="32"/>
          <w:szCs w:val="32"/>
          <w:lang w:val="zh-CN" w:eastAsia="zh-CN"/>
        </w:rPr>
        <w:t>保障机关人员经费开支；</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2</w:t>
      </w:r>
      <w:r>
        <w:rPr>
          <w:rFonts w:hint="eastAsia" w:ascii="FangSong" w:hAnsi="FangSong" w:eastAsia="FangSong" w:cs="FangSong"/>
          <w:color w:val="auto"/>
          <w:sz w:val="32"/>
          <w:szCs w:val="32"/>
          <w:lang w:val="en-US" w:eastAsia="zh-CN"/>
        </w:rPr>
        <w:t>.</w:t>
      </w:r>
      <w:r>
        <w:rPr>
          <w:rFonts w:hint="eastAsia" w:ascii="FangSong" w:hAnsi="FangSong" w:eastAsia="FangSong" w:cs="FangSong"/>
          <w:color w:val="auto"/>
          <w:sz w:val="32"/>
          <w:szCs w:val="32"/>
          <w:lang w:val="zh-CN" w:eastAsia="zh-CN"/>
        </w:rPr>
        <w:t>保障政务服务相关网络平台运行。</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3</w:t>
      </w:r>
      <w:r>
        <w:rPr>
          <w:rFonts w:hint="eastAsia" w:ascii="FangSong" w:hAnsi="FangSong" w:eastAsia="FangSong" w:cs="FangSong"/>
          <w:color w:val="auto"/>
          <w:sz w:val="32"/>
          <w:szCs w:val="32"/>
          <w:lang w:val="en-US" w:eastAsia="zh-CN"/>
        </w:rPr>
        <w:t>.</w:t>
      </w:r>
      <w:r>
        <w:rPr>
          <w:rFonts w:hint="eastAsia" w:ascii="FangSong" w:hAnsi="FangSong" w:eastAsia="FangSong" w:cs="FangSong"/>
          <w:color w:val="auto"/>
          <w:sz w:val="32"/>
          <w:szCs w:val="32"/>
          <w:lang w:val="zh-CN" w:eastAsia="zh-CN"/>
        </w:rPr>
        <w:t>深化“放管服”改革；</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4</w:t>
      </w:r>
      <w:r>
        <w:rPr>
          <w:rFonts w:hint="eastAsia" w:ascii="FangSong" w:hAnsi="FangSong" w:eastAsia="FangSong" w:cs="FangSong"/>
          <w:color w:val="auto"/>
          <w:sz w:val="32"/>
          <w:szCs w:val="32"/>
          <w:lang w:val="en-US" w:eastAsia="zh-CN"/>
        </w:rPr>
        <w:t>.</w:t>
      </w:r>
      <w:r>
        <w:rPr>
          <w:rFonts w:hint="eastAsia" w:ascii="FangSong" w:hAnsi="FangSong" w:eastAsia="FangSong" w:cs="FangSong"/>
          <w:color w:val="auto"/>
          <w:sz w:val="32"/>
          <w:szCs w:val="32"/>
          <w:lang w:val="zh-CN" w:eastAsia="zh-CN"/>
        </w:rPr>
        <w:t>受理办理行政审批及公共服务事项；</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5</w:t>
      </w:r>
      <w:r>
        <w:rPr>
          <w:rFonts w:hint="eastAsia" w:ascii="FangSong" w:hAnsi="FangSong" w:eastAsia="FangSong" w:cs="FangSong"/>
          <w:color w:val="auto"/>
          <w:sz w:val="32"/>
          <w:szCs w:val="32"/>
          <w:lang w:val="en-US" w:eastAsia="zh-CN"/>
        </w:rPr>
        <w:t>.</w:t>
      </w:r>
      <w:r>
        <w:rPr>
          <w:rFonts w:hint="eastAsia" w:ascii="FangSong" w:hAnsi="FangSong" w:eastAsia="FangSong" w:cs="FangSong"/>
          <w:color w:val="auto"/>
          <w:sz w:val="32"/>
          <w:szCs w:val="32"/>
          <w:lang w:val="zh-CN" w:eastAsia="zh-CN"/>
        </w:rPr>
        <w:t>推进政务服务体系建设，强化效能问责；</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6</w:t>
      </w:r>
      <w:r>
        <w:rPr>
          <w:rFonts w:hint="eastAsia" w:ascii="FangSong" w:hAnsi="FangSong" w:eastAsia="FangSong" w:cs="FangSong"/>
          <w:color w:val="auto"/>
          <w:sz w:val="32"/>
          <w:szCs w:val="32"/>
          <w:lang w:val="en-US" w:eastAsia="zh-CN"/>
        </w:rPr>
        <w:t>.</w:t>
      </w:r>
      <w:r>
        <w:rPr>
          <w:rFonts w:hint="eastAsia" w:ascii="FangSong" w:hAnsi="FangSong" w:eastAsia="FangSong" w:cs="FangSong"/>
          <w:color w:val="auto"/>
          <w:sz w:val="32"/>
          <w:szCs w:val="32"/>
          <w:lang w:val="zh-CN" w:eastAsia="zh-CN"/>
        </w:rPr>
        <w:t>推进互联网+政务服务，提供优质、高效、便捷、安全的网络服务；</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7</w:t>
      </w:r>
      <w:r>
        <w:rPr>
          <w:rFonts w:hint="eastAsia" w:ascii="FangSong" w:hAnsi="FangSong" w:eastAsia="FangSong" w:cs="FangSong"/>
          <w:color w:val="auto"/>
          <w:sz w:val="32"/>
          <w:szCs w:val="32"/>
          <w:lang w:val="en-US" w:eastAsia="zh-CN"/>
        </w:rPr>
        <w:t>.</w:t>
      </w:r>
      <w:r>
        <w:rPr>
          <w:rFonts w:hint="eastAsia" w:ascii="FangSong" w:hAnsi="FangSong" w:eastAsia="FangSong" w:cs="FangSong"/>
          <w:color w:val="auto"/>
          <w:sz w:val="32"/>
          <w:szCs w:val="32"/>
          <w:lang w:val="zh-CN" w:eastAsia="zh-CN"/>
        </w:rPr>
        <w:t>进一步推进行政审批改革，营造良好的审批服务环境。</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（一）部门财政资金收入情况</w:t>
      </w:r>
      <w:bookmarkStart w:id="0" w:name="_GoBack"/>
      <w:bookmarkEnd w:id="0"/>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行政审批局2022年财政拨款预算收入620.62万元，其中上级资金0万元，县级资金620.62万元。</w:t>
      </w:r>
    </w:p>
    <w:p>
      <w:pPr>
        <w:widowControl/>
        <w:numPr>
          <w:ilvl w:val="0"/>
          <w:numId w:val="2"/>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部门财政资金支出情况</w:t>
      </w:r>
    </w:p>
    <w:p>
      <w:pPr>
        <w:widowControl/>
        <w:adjustRightInd w:val="0"/>
        <w:snapToGrid w:val="0"/>
        <w:spacing w:line="580" w:lineRule="exact"/>
        <w:ind w:firstLine="640" w:firstLineChars="200"/>
        <w:contextualSpacing/>
        <w:jc w:val="left"/>
        <w:rPr>
          <w:rFonts w:hint="eastAsia" w:ascii="FangSong" w:hAnsi="FangSong" w:eastAsia="FangSong" w:cs="FangSong"/>
          <w:color w:val="auto"/>
          <w:kern w:val="2"/>
          <w:sz w:val="32"/>
          <w:szCs w:val="32"/>
          <w:lang w:val="en-US" w:eastAsia="zh-CN" w:bidi="ar-SA"/>
        </w:rPr>
      </w:pPr>
      <w:r>
        <w:rPr>
          <w:rFonts w:hint="eastAsia" w:ascii="FangSong" w:hAnsi="FangSong" w:eastAsia="FangSong" w:cs="FangSong"/>
          <w:color w:val="auto"/>
          <w:sz w:val="32"/>
          <w:szCs w:val="32"/>
          <w:lang w:val="zh-CN" w:eastAsia="zh-CN"/>
        </w:rPr>
        <w:t>基本支出</w:t>
      </w:r>
      <w:r>
        <w:rPr>
          <w:rFonts w:hint="eastAsia" w:ascii="FangSong" w:hAnsi="FangSong" w:eastAsia="FangSong" w:cs="FangSong"/>
          <w:color w:val="auto"/>
          <w:sz w:val="32"/>
          <w:szCs w:val="32"/>
          <w:lang w:val="en-US" w:eastAsia="zh-CN"/>
        </w:rPr>
        <w:t>532.27万元，项目支出88.35万元，其中项目5个，具体支出为：2022年政务大厅运行工作项目34.33万元；机关效能建设经费项目12.14万元；标准化建设工作项目26.4万元：水土保持与水资源论证评</w:t>
      </w:r>
      <w:r>
        <w:rPr>
          <w:rFonts w:hint="eastAsia" w:ascii="FangSong" w:hAnsi="FangSong" w:eastAsia="FangSong" w:cs="FangSong"/>
          <w:color w:val="auto"/>
          <w:kern w:val="2"/>
          <w:sz w:val="32"/>
          <w:szCs w:val="32"/>
          <w:lang w:val="en-US" w:eastAsia="zh-CN" w:bidi="ar-SA"/>
        </w:rPr>
        <w:t>审费项目2.72万元；聘请行风监督员费用项目12.76万元。</w:t>
      </w:r>
    </w:p>
    <w:p>
      <w:pPr>
        <w:widowControl/>
        <w:numPr>
          <w:ilvl w:val="0"/>
          <w:numId w:val="2"/>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部门财政资金结转结余情况</w:t>
      </w:r>
    </w:p>
    <w:p>
      <w:pPr>
        <w:spacing w:line="560" w:lineRule="exact"/>
        <w:ind w:firstLine="640" w:firstLineChars="200"/>
        <w:rPr>
          <w:rFonts w:hint="default" w:ascii="FangSong" w:hAnsi="FangSong" w:eastAsia="FangSong" w:cs="FangSong"/>
          <w:color w:val="auto"/>
          <w:szCs w:val="32"/>
          <w:lang w:val="en-US" w:eastAsia="zh-CN"/>
        </w:rPr>
      </w:pPr>
      <w:r>
        <w:rPr>
          <w:rFonts w:hint="eastAsia" w:ascii="FangSong" w:hAnsi="FangSong" w:eastAsia="FangSong" w:cs="FangSong"/>
          <w:color w:val="auto"/>
          <w:sz w:val="32"/>
          <w:szCs w:val="32"/>
          <w:lang w:val="en-US" w:eastAsia="zh-CN"/>
        </w:rPr>
        <w:t>2022年本部门资金无结转结余。</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hint="eastAsia" w:ascii="FangSong_GB2312" w:hAnsi="SimSun" w:cs="SimSun"/>
          <w:color w:val="000000" w:themeColor="text1"/>
          <w:kern w:val="0"/>
          <w:szCs w:val="32"/>
          <w:shd w:val="clear" w:color="auto" w:fill="FFFFFF"/>
          <w:lang w:val="zh-CN"/>
          <w14:textFill>
            <w14:solidFill>
              <w14:schemeClr w14:val="tx1"/>
            </w14:solidFill>
          </w14:textFill>
        </w:rPr>
      </w:pPr>
      <w:r>
        <w:rPr>
          <w:rFonts w:hint="eastAsia" w:ascii="FangSong_GB2312" w:hAnsi="SimSun" w:cs="SimSun"/>
          <w:color w:val="000000" w:themeColor="text1"/>
          <w:kern w:val="0"/>
          <w:szCs w:val="32"/>
          <w:shd w:val="clear" w:color="auto" w:fill="FFFFFF"/>
          <w:lang w:val="zh-CN"/>
          <w14:textFill>
            <w14:solidFill>
              <w14:schemeClr w14:val="tx1"/>
            </w14:solidFill>
          </w14:textFill>
        </w:rPr>
        <w:t>（一）部门预算管理。</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1.绩效目标制定情况</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行政审批局严格按照预算编制通知和有关要求，对</w:t>
      </w:r>
      <w:r>
        <w:rPr>
          <w:rFonts w:hint="eastAsia" w:ascii="FangSong" w:hAnsi="FangSong" w:eastAsia="FangSong" w:cs="FangSong"/>
          <w:color w:val="auto"/>
          <w:sz w:val="32"/>
          <w:szCs w:val="32"/>
          <w:lang w:val="zh-CN" w:eastAsia="zh-CN"/>
        </w:rPr>
        <w:t>部门内部绩效目标进行审核，</w:t>
      </w:r>
      <w:r>
        <w:rPr>
          <w:rFonts w:hint="eastAsia" w:ascii="FangSong" w:hAnsi="FangSong" w:eastAsia="FangSong" w:cs="FangSong"/>
          <w:color w:val="auto"/>
          <w:sz w:val="32"/>
          <w:szCs w:val="32"/>
          <w:lang w:val="en-US" w:eastAsia="zh-CN"/>
        </w:rPr>
        <w:t>对部门2022年工作目标在数量、质量、时效、成本、社会效益、可持续影响和社会满意度方面作出了具体明确的要求。</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2.绩效目标实现情况</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行政审批局较好地完成了部门2021年目标任务，有效保障了各网格平台的正常运行，其目标完成情况与年初绩效保持一致。</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3.支出控制情况</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我局严格实行领导负责制，坚决按内控制度要求和操作流程办理各项业务，对重大经济事项，坚持依法、科学、民主决策，坚持以局党组会议讨论通过确认实施。坚持勤俭节约，不铺张浪费，合理使用资金。</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4.及时处置情况</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部门开展</w:t>
      </w:r>
      <w:r>
        <w:rPr>
          <w:rFonts w:hint="default" w:ascii="FangSong" w:hAnsi="FangSong" w:eastAsia="FangSong" w:cs="FangSong"/>
          <w:color w:val="auto"/>
          <w:sz w:val="32"/>
          <w:szCs w:val="32"/>
          <w:lang w:val="en-US" w:eastAsia="zh-CN"/>
        </w:rPr>
        <w:t>绩效运行监控</w:t>
      </w:r>
      <w:r>
        <w:rPr>
          <w:rFonts w:hint="eastAsia" w:ascii="FangSong" w:hAnsi="FangSong" w:eastAsia="FangSong" w:cs="FangSong"/>
          <w:color w:val="auto"/>
          <w:sz w:val="32"/>
          <w:szCs w:val="32"/>
          <w:lang w:val="en-US" w:eastAsia="zh-CN"/>
        </w:rPr>
        <w:t>时</w:t>
      </w:r>
      <w:r>
        <w:rPr>
          <w:rFonts w:hint="default" w:ascii="FangSong" w:hAnsi="FangSong" w:eastAsia="FangSong" w:cs="FangSong"/>
          <w:color w:val="auto"/>
          <w:sz w:val="32"/>
          <w:szCs w:val="32"/>
          <w:lang w:val="en-US" w:eastAsia="zh-CN"/>
        </w:rPr>
        <w:t>发现</w:t>
      </w:r>
      <w:r>
        <w:rPr>
          <w:rFonts w:hint="eastAsia" w:ascii="FangSong" w:hAnsi="FangSong" w:eastAsia="FangSong" w:cs="FangSong"/>
          <w:color w:val="auto"/>
          <w:sz w:val="32"/>
          <w:szCs w:val="32"/>
          <w:lang w:val="en-US" w:eastAsia="zh-CN"/>
        </w:rPr>
        <w:t>预算项目在执行的过程中目标要求发生变化，导致预算项目执行无法达到目标进度，</w:t>
      </w:r>
      <w:r>
        <w:rPr>
          <w:rFonts w:hint="default" w:ascii="FangSong" w:hAnsi="FangSong" w:eastAsia="FangSong" w:cs="FangSong"/>
          <w:color w:val="auto"/>
          <w:sz w:val="32"/>
          <w:szCs w:val="32"/>
          <w:lang w:val="en-US" w:eastAsia="zh-CN"/>
        </w:rPr>
        <w:t>对</w:t>
      </w:r>
      <w:r>
        <w:rPr>
          <w:rFonts w:hint="eastAsia" w:ascii="FangSong" w:hAnsi="FangSong" w:eastAsia="FangSong" w:cs="FangSong"/>
          <w:color w:val="auto"/>
          <w:sz w:val="32"/>
          <w:szCs w:val="32"/>
          <w:lang w:val="en-US" w:eastAsia="zh-CN"/>
        </w:rPr>
        <w:t>此</w:t>
      </w:r>
      <w:r>
        <w:rPr>
          <w:rFonts w:hint="default" w:ascii="FangSong" w:hAnsi="FangSong" w:eastAsia="FangSong" w:cs="FangSong"/>
          <w:color w:val="auto"/>
          <w:sz w:val="32"/>
          <w:szCs w:val="32"/>
          <w:lang w:val="en-US" w:eastAsia="zh-CN"/>
        </w:rPr>
        <w:t>发现问题</w:t>
      </w:r>
      <w:r>
        <w:rPr>
          <w:rFonts w:hint="eastAsia" w:ascii="FangSong" w:hAnsi="FangSong" w:eastAsia="FangSong" w:cs="FangSong"/>
          <w:color w:val="auto"/>
          <w:sz w:val="32"/>
          <w:szCs w:val="32"/>
          <w:lang w:val="en-US" w:eastAsia="zh-CN"/>
        </w:rPr>
        <w:t>我局及时与县财政</w:t>
      </w:r>
      <w:r>
        <w:rPr>
          <w:rFonts w:hint="default" w:ascii="FangSong" w:hAnsi="FangSong" w:eastAsia="FangSong" w:cs="FangSong"/>
          <w:color w:val="auto"/>
          <w:sz w:val="32"/>
          <w:szCs w:val="32"/>
          <w:lang w:val="en-US" w:eastAsia="zh-CN"/>
        </w:rPr>
        <w:t>提出调整处置意见并</w:t>
      </w:r>
      <w:r>
        <w:rPr>
          <w:rFonts w:hint="eastAsia" w:ascii="FangSong" w:hAnsi="FangSong" w:eastAsia="FangSong" w:cs="FangSong"/>
          <w:color w:val="auto"/>
          <w:sz w:val="32"/>
          <w:szCs w:val="32"/>
          <w:lang w:val="en-US" w:eastAsia="zh-CN"/>
        </w:rPr>
        <w:t>得到</w:t>
      </w:r>
      <w:r>
        <w:rPr>
          <w:rFonts w:hint="default" w:ascii="FangSong" w:hAnsi="FangSong" w:eastAsia="FangSong" w:cs="FangSong"/>
          <w:color w:val="auto"/>
          <w:sz w:val="32"/>
          <w:szCs w:val="32"/>
          <w:lang w:val="en-US" w:eastAsia="zh-CN"/>
        </w:rPr>
        <w:t>落实。</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5.预算执行进展及完成情况</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按照预算编制要求，我局严格执行中央八项规定和省、市十项规定，厉行节约规范使用预算资金。收入上，严格执行 “收支两条线”管理制度，按规定使用非税票据并直接缴入国库，无隐瞒收入和其他违反国家收费管理规定的行为。在支出管理中， 认真执行国库集中支付、政府采购、重点工作和大额支付上会集体决策等相关财务管理制度。认真做好每月与银行对账工作，加强动态监控，保障机关各项工作顺利开展。2022年公务接待费支出0.2万元，完成预算8.4%。主要原因是贯彻执行中央八项规定和省委省政府十项规定，坚决杜绝奢侈浪费，厉行节约，有效控制公务接待费用。2022年我局无因公出国（境）经费和公务用车购置及运行维护费支出。</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6.违规记录情况</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无</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1.整体情况</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2022年我局预算项目四个：一是为确保行政事项办理相关平台网络及设备正常运行设立的2022年政务大厅运行工作项目；二是为保障行政审批局政务服务大厅及13个乡镇便民中心效能监控系统和设备的正常运行，增强行政机关人员服务意识，提升工作效率设立的机关效能建设经费项目。三是为塑造良好政府形象设立的标准化建设工作项目。四是有效保护县域内水土资源而设立的水土保护方案和水资源项目评审费</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2.目标完成情况</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2022年政务大厅运行工作项目预算31.5万元，调剂增加8万元，实际支付34.32万元。原因是大厅运行办公经费预算被压缩，经费使用不足予以调增。效能建设经费项目预算28.5万元，实际支付12.14万元；标准化建设工作项目预算40万元，项目内调整资金用途30万元，实际支付26.4万元；原因是6、7月份政务大厅中央空调出现异常，不能正常使用，亟需经费维修，经与县财政协商将本年预算的被装购置费暂停使用，调整用于支付维修政务大厅中央空调，严格按照厉行节约，控制开支原则，加强办公设备保护保养，降低维修维护费。水土保持方案和水资源论项目评审费预算13万元，调剂减少8万元，实际支付2.72万元。原因是2022年根据国务院“放管服”工作要求，《建设项目水资源论证报告表》不再进行技术审查，实行告知承诺制，因此，技术审查费用支出减少。</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3.项目效果情况。</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项目资金得到及时调整足额划拨，有效</w:t>
      </w:r>
      <w:r>
        <w:rPr>
          <w:rFonts w:hint="default" w:ascii="FangSong" w:hAnsi="FangSong" w:eastAsia="FangSong" w:cs="FangSong"/>
          <w:color w:val="auto"/>
          <w:sz w:val="32"/>
          <w:szCs w:val="32"/>
          <w:lang w:val="en-US" w:eastAsia="zh-CN"/>
        </w:rPr>
        <w:t>保障了行政事项办理相关平台网络正常运行</w:t>
      </w:r>
      <w:r>
        <w:rPr>
          <w:rFonts w:hint="eastAsia" w:ascii="FangSong" w:hAnsi="FangSong" w:eastAsia="FangSong" w:cs="FangSong"/>
          <w:color w:val="auto"/>
          <w:sz w:val="32"/>
          <w:szCs w:val="32"/>
          <w:lang w:val="en-US" w:eastAsia="zh-CN"/>
        </w:rPr>
        <w:t>和</w:t>
      </w:r>
      <w:r>
        <w:rPr>
          <w:rFonts w:hint="default" w:ascii="FangSong" w:hAnsi="FangSong" w:eastAsia="FangSong" w:cs="FangSong"/>
          <w:color w:val="auto"/>
          <w:sz w:val="32"/>
          <w:szCs w:val="32"/>
          <w:lang w:val="en-US" w:eastAsia="zh-CN"/>
        </w:rPr>
        <w:t>政务服务大厅及</w:t>
      </w:r>
      <w:r>
        <w:rPr>
          <w:rFonts w:hint="eastAsia" w:ascii="FangSong" w:hAnsi="FangSong" w:eastAsia="FangSong" w:cs="FangSong"/>
          <w:color w:val="auto"/>
          <w:sz w:val="32"/>
          <w:szCs w:val="32"/>
          <w:lang w:val="en-US" w:eastAsia="zh-CN"/>
        </w:rPr>
        <w:t>13</w:t>
      </w:r>
      <w:r>
        <w:rPr>
          <w:rFonts w:hint="default" w:ascii="FangSong" w:hAnsi="FangSong" w:eastAsia="FangSong" w:cs="FangSong"/>
          <w:color w:val="auto"/>
          <w:sz w:val="32"/>
          <w:szCs w:val="32"/>
          <w:lang w:val="en-US" w:eastAsia="zh-CN"/>
        </w:rPr>
        <w:t>个乡镇便民中</w:t>
      </w:r>
      <w:r>
        <w:rPr>
          <w:rFonts w:hint="eastAsia" w:ascii="FangSong" w:hAnsi="FangSong" w:eastAsia="FangSong" w:cs="FangSong"/>
          <w:color w:val="auto"/>
          <w:sz w:val="32"/>
          <w:szCs w:val="32"/>
          <w:lang w:val="en-US" w:eastAsia="zh-CN"/>
        </w:rPr>
        <w:t>心智</w:t>
      </w:r>
      <w:r>
        <w:rPr>
          <w:rFonts w:hint="default" w:ascii="FangSong" w:hAnsi="FangSong" w:eastAsia="FangSong" w:cs="FangSong"/>
          <w:color w:val="auto"/>
          <w:sz w:val="32"/>
          <w:szCs w:val="32"/>
          <w:lang w:val="en-US" w:eastAsia="zh-CN"/>
        </w:rPr>
        <w:t>能监控系统和</w:t>
      </w:r>
      <w:r>
        <w:rPr>
          <w:rFonts w:hint="eastAsia" w:ascii="FangSong" w:hAnsi="FangSong" w:eastAsia="FangSong" w:cs="FangSong"/>
          <w:color w:val="auto"/>
          <w:sz w:val="32"/>
          <w:szCs w:val="32"/>
          <w:lang w:val="en-US" w:eastAsia="zh-CN"/>
        </w:rPr>
        <w:t>设备的</w:t>
      </w:r>
      <w:r>
        <w:rPr>
          <w:rFonts w:hint="default" w:ascii="FangSong" w:hAnsi="FangSong" w:eastAsia="FangSong" w:cs="FangSong"/>
          <w:color w:val="auto"/>
          <w:sz w:val="32"/>
          <w:szCs w:val="32"/>
          <w:lang w:val="en-US" w:eastAsia="zh-CN"/>
        </w:rPr>
        <w:t>正常运行，增强了行政机关人员服务意识，提升了工作效率</w:t>
      </w:r>
      <w:r>
        <w:rPr>
          <w:rFonts w:hint="eastAsia" w:ascii="FangSong" w:hAnsi="FangSong" w:eastAsia="FangSong" w:cs="FangSong"/>
          <w:color w:val="auto"/>
          <w:sz w:val="32"/>
          <w:szCs w:val="32"/>
          <w:lang w:val="en-US" w:eastAsia="zh-CN"/>
        </w:rPr>
        <w:t>。</w:t>
      </w:r>
    </w:p>
    <w:p>
      <w:pPr>
        <w:pStyle w:val="7"/>
        <w:widowControl/>
        <w:numPr>
          <w:ilvl w:val="0"/>
          <w:numId w:val="0"/>
        </w:numPr>
        <w:shd w:val="clear" w:color="auto" w:fill="FFFFFF"/>
        <w:spacing w:beforeAutospacing="0" w:afterAutospacing="0" w:line="576" w:lineRule="atLeast"/>
        <w:ind w:leftChars="200"/>
        <w:jc w:val="both"/>
        <w:rPr>
          <w:rFonts w:hint="eastAsia" w:ascii="KaiTi_GB2312" w:hAnsi="SimSun" w:eastAsia="KaiTi_GB2312" w:cs="SimSun"/>
          <w:color w:val="000000"/>
          <w:kern w:val="0"/>
          <w:sz w:val="32"/>
          <w:szCs w:val="32"/>
          <w:shd w:val="clear" w:color="auto" w:fill="FFFFFF"/>
          <w:lang w:val="zh-CN" w:eastAsia="zh-CN" w:bidi="ar-SA"/>
        </w:rPr>
      </w:pPr>
      <w:r>
        <w:rPr>
          <w:rFonts w:hint="eastAsia" w:ascii="KaiTi_GB2312" w:hAnsi="SimSun" w:eastAsia="KaiTi_GB2312" w:cs="SimSun"/>
          <w:color w:val="000000"/>
          <w:kern w:val="0"/>
          <w:sz w:val="32"/>
          <w:szCs w:val="32"/>
          <w:shd w:val="clear" w:color="auto" w:fill="FFFFFF"/>
          <w:lang w:val="zh-CN" w:eastAsia="zh-CN" w:bidi="ar-SA"/>
        </w:rPr>
        <w:t>（三）结果应用情况。</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1.绩效自评公开</w:t>
      </w:r>
    </w:p>
    <w:p>
      <w:pPr>
        <w:spacing w:line="560" w:lineRule="exact"/>
        <w:ind w:firstLine="640" w:firstLineChars="200"/>
        <w:rPr>
          <w:rFonts w:hint="eastAsia" w:ascii="FangSong" w:hAnsi="FangSong" w:eastAsia="FangSong" w:cs="FangSong"/>
          <w:color w:val="auto"/>
          <w:sz w:val="32"/>
          <w:szCs w:val="32"/>
          <w:lang w:val="en-US" w:eastAsia="zh-CN"/>
        </w:rPr>
      </w:pPr>
      <w:r>
        <w:rPr>
          <w:rFonts w:hint="default" w:ascii="FangSong" w:hAnsi="FangSong" w:eastAsia="FangSong" w:cs="FangSong"/>
          <w:color w:val="auto"/>
          <w:sz w:val="32"/>
          <w:szCs w:val="32"/>
          <w:lang w:val="en-US" w:eastAsia="zh-CN"/>
        </w:rPr>
        <w:t>我局严格按照</w:t>
      </w:r>
      <w:r>
        <w:rPr>
          <w:rFonts w:hint="eastAsia" w:ascii="FangSong" w:hAnsi="FangSong" w:eastAsia="FangSong" w:cs="FangSong"/>
          <w:color w:val="auto"/>
          <w:sz w:val="32"/>
          <w:szCs w:val="32"/>
          <w:lang w:val="en-US" w:eastAsia="zh-CN"/>
        </w:rPr>
        <w:t>县财政</w:t>
      </w:r>
      <w:r>
        <w:rPr>
          <w:rFonts w:hint="default" w:ascii="FangSong" w:hAnsi="FangSong" w:eastAsia="FangSong" w:cs="FangSong"/>
          <w:color w:val="auto"/>
          <w:sz w:val="32"/>
          <w:szCs w:val="32"/>
          <w:lang w:val="en-US" w:eastAsia="zh-CN"/>
        </w:rPr>
        <w:t>信息公开工作的统一安排部署，</w:t>
      </w:r>
      <w:r>
        <w:rPr>
          <w:rFonts w:hint="eastAsia" w:ascii="FangSong" w:hAnsi="FangSong" w:eastAsia="FangSong" w:cs="FangSong"/>
          <w:color w:val="auto"/>
          <w:sz w:val="32"/>
          <w:szCs w:val="32"/>
          <w:lang w:val="en-US" w:eastAsia="zh-CN"/>
        </w:rPr>
        <w:t>在规定时间内对2022年度部门整体支出绩效报告和2022年度部门整体支出绩效评价报告进行了</w:t>
      </w:r>
      <w:r>
        <w:rPr>
          <w:rFonts w:hint="default" w:ascii="FangSong" w:hAnsi="FangSong" w:eastAsia="FangSong" w:cs="FangSong"/>
          <w:color w:val="auto"/>
          <w:sz w:val="32"/>
          <w:szCs w:val="32"/>
          <w:lang w:val="en-US" w:eastAsia="zh-CN"/>
        </w:rPr>
        <w:t>主动公开</w:t>
      </w:r>
      <w:r>
        <w:rPr>
          <w:rFonts w:hint="eastAsia" w:ascii="FangSong" w:hAnsi="FangSong" w:eastAsia="FangSong" w:cs="FangSong"/>
          <w:color w:val="auto"/>
          <w:sz w:val="32"/>
          <w:szCs w:val="32"/>
          <w:lang w:val="en-US" w:eastAsia="zh-CN"/>
        </w:rPr>
        <w:t>了。</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2.评价结果整改情况</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县行政审批局严格按照支出绩效指示评价内容，对照预决算编制、项目支出和内控执行逐项进行评价，从自评情况看，县行政审批局预决算编制合理，财务支出比较规范，部门整体支出绩效自评得分良好。</w:t>
      </w:r>
    </w:p>
    <w:p>
      <w:pPr>
        <w:spacing w:line="560" w:lineRule="exact"/>
        <w:ind w:firstLine="640" w:firstLineChars="200"/>
        <w:rPr>
          <w:rFonts w:hint="eastAsia"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3.应用结果反馈情况</w:t>
      </w:r>
    </w:p>
    <w:p>
      <w:pPr>
        <w:spacing w:line="560" w:lineRule="exact"/>
        <w:ind w:firstLine="640" w:firstLineChars="200"/>
        <w:rPr>
          <w:rFonts w:hint="default" w:ascii="FangSong" w:hAnsi="FangSong" w:eastAsia="FangSong" w:cs="FangSong"/>
          <w:color w:val="auto"/>
          <w:sz w:val="32"/>
          <w:szCs w:val="32"/>
          <w:lang w:val="en-US" w:eastAsia="zh-CN"/>
        </w:rPr>
      </w:pPr>
      <w:r>
        <w:rPr>
          <w:rFonts w:hint="eastAsia" w:ascii="FangSong" w:hAnsi="FangSong" w:eastAsia="FangSong" w:cs="FangSong"/>
          <w:color w:val="auto"/>
          <w:sz w:val="32"/>
          <w:szCs w:val="32"/>
          <w:lang w:val="en-US" w:eastAsia="zh-CN"/>
        </w:rPr>
        <w:t>我局严格按照相关要求，均在规定时间内向县财政部门报送各类报告报表，未有延迟报送情况。</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 w:val="32"/>
          <w:szCs w:val="32"/>
          <w:shd w:val="clear" w:color="auto" w:fill="FFFFFF"/>
          <w:lang w:val="zh-CN" w:eastAsia="zh-CN" w:bidi="ar-SA"/>
        </w:rPr>
      </w:pPr>
      <w:r>
        <w:rPr>
          <w:rFonts w:hint="eastAsia" w:ascii="KaiTi_GB2312" w:hAnsi="SimSun" w:eastAsia="KaiTi_GB2312" w:cs="SimSun"/>
          <w:color w:val="000000"/>
          <w:kern w:val="0"/>
          <w:sz w:val="32"/>
          <w:szCs w:val="32"/>
          <w:shd w:val="clear" w:color="auto" w:fill="FFFFFF"/>
          <w:lang w:val="zh-CN" w:eastAsia="zh-CN" w:bidi="ar-SA"/>
        </w:rPr>
        <w:t>（一）评价结论。</w:t>
      </w:r>
    </w:p>
    <w:p>
      <w:pPr>
        <w:spacing w:line="560" w:lineRule="exact"/>
        <w:ind w:firstLine="640" w:firstLineChars="200"/>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zh-CN" w:eastAsia="zh-CN"/>
        </w:rPr>
        <w:t>根据《关于开展2022年度部门整体、项目支出预算绩效评价工作的通知》文件精神，</w:t>
      </w:r>
      <w:r>
        <w:rPr>
          <w:rFonts w:hint="eastAsia" w:ascii="FangSong" w:hAnsi="FangSong" w:eastAsia="FangSong" w:cs="FangSong"/>
          <w:color w:val="auto"/>
          <w:sz w:val="32"/>
          <w:szCs w:val="32"/>
          <w:lang w:val="en-US" w:eastAsia="zh-CN"/>
        </w:rPr>
        <w:t>行政审批经局认真组织开展了部门整体支出绩效评价工作，绩效评价</w:t>
      </w:r>
      <w:r>
        <w:rPr>
          <w:rFonts w:hint="eastAsia" w:ascii="FangSong" w:hAnsi="FangSong" w:eastAsia="FangSong" w:cs="FangSong"/>
          <w:color w:val="auto"/>
          <w:sz w:val="32"/>
          <w:szCs w:val="32"/>
          <w:lang w:val="zh-CN" w:eastAsia="zh-CN"/>
        </w:rPr>
        <w:t>得分：</w:t>
      </w:r>
      <w:r>
        <w:rPr>
          <w:rFonts w:hint="eastAsia" w:ascii="FangSong" w:hAnsi="FangSong" w:eastAsia="FangSong" w:cs="FangSong"/>
          <w:color w:val="auto"/>
          <w:sz w:val="32"/>
          <w:szCs w:val="32"/>
          <w:lang w:val="en-US" w:eastAsia="zh-CN"/>
        </w:rPr>
        <w:t>98</w:t>
      </w:r>
      <w:r>
        <w:rPr>
          <w:rFonts w:hint="eastAsia" w:ascii="FangSong" w:hAnsi="FangSong" w:eastAsia="FangSong" w:cs="FangSong"/>
          <w:color w:val="auto"/>
          <w:sz w:val="32"/>
          <w:szCs w:val="32"/>
          <w:lang w:val="zh-CN" w:eastAsia="zh-CN"/>
        </w:rPr>
        <w:t>分。</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 w:val="32"/>
          <w:szCs w:val="32"/>
          <w:shd w:val="clear" w:color="auto" w:fill="FFFFFF"/>
          <w:lang w:val="zh-CN" w:eastAsia="zh-CN" w:bidi="ar-SA"/>
        </w:rPr>
      </w:pPr>
      <w:r>
        <w:rPr>
          <w:rFonts w:hint="eastAsia" w:ascii="KaiTi_GB2312" w:hAnsi="SimSun" w:eastAsia="KaiTi_GB2312" w:cs="SimSun"/>
          <w:color w:val="000000"/>
          <w:kern w:val="0"/>
          <w:sz w:val="32"/>
          <w:szCs w:val="32"/>
          <w:shd w:val="clear" w:color="auto" w:fill="FFFFFF"/>
          <w:lang w:val="zh-CN" w:eastAsia="zh-CN" w:bidi="ar-SA"/>
        </w:rPr>
        <w:t>（二）存在问题。</w:t>
      </w:r>
    </w:p>
    <w:p>
      <w:pPr>
        <w:widowControl/>
        <w:adjustRightInd w:val="0"/>
        <w:snapToGrid w:val="0"/>
        <w:spacing w:line="580" w:lineRule="exact"/>
        <w:ind w:firstLine="640" w:firstLineChars="200"/>
        <w:contextualSpacing/>
        <w:jc w:val="left"/>
        <w:rPr>
          <w:rFonts w:hint="eastAsia" w:ascii="FangSong" w:hAnsi="FangSong" w:eastAsia="FangSong" w:cs="FangSong"/>
          <w:color w:val="auto"/>
          <w:kern w:val="2"/>
          <w:sz w:val="32"/>
          <w:szCs w:val="32"/>
          <w:lang w:val="zh-CN" w:eastAsia="zh-CN" w:bidi="ar-SA"/>
        </w:rPr>
      </w:pPr>
      <w:r>
        <w:rPr>
          <w:rFonts w:hint="eastAsia" w:ascii="FangSong" w:hAnsi="FangSong" w:eastAsia="FangSong" w:cs="FangSong"/>
          <w:color w:val="auto"/>
          <w:sz w:val="32"/>
          <w:szCs w:val="32"/>
          <w:lang w:val="zh-CN" w:eastAsia="zh-CN"/>
        </w:rPr>
        <w:t>存在预算编制不够完善，</w:t>
      </w:r>
      <w:r>
        <w:rPr>
          <w:rFonts w:hint="eastAsia" w:ascii="FangSong" w:hAnsi="FangSong" w:eastAsia="FangSong" w:cs="FangSong"/>
          <w:color w:val="auto"/>
          <w:sz w:val="32"/>
          <w:szCs w:val="32"/>
          <w:lang w:val="en-US" w:eastAsia="zh-CN"/>
        </w:rPr>
        <w:t>财务</w:t>
      </w:r>
      <w:r>
        <w:rPr>
          <w:rFonts w:hint="eastAsia" w:ascii="FangSong" w:hAnsi="FangSong" w:eastAsia="FangSong" w:cs="FangSong"/>
          <w:color w:val="auto"/>
          <w:sz w:val="32"/>
          <w:szCs w:val="32"/>
          <w:lang w:val="zh-CN" w:eastAsia="zh-CN"/>
        </w:rPr>
        <w:t>管理工作不够规范等问题。</w:t>
      </w:r>
    </w:p>
    <w:p>
      <w:pPr>
        <w:widowControl/>
        <w:numPr>
          <w:ilvl w:val="0"/>
          <w:numId w:val="3"/>
        </w:numPr>
        <w:adjustRightInd w:val="0"/>
        <w:snapToGrid w:val="0"/>
        <w:spacing w:line="580" w:lineRule="exact"/>
        <w:ind w:firstLine="640" w:firstLineChars="200"/>
        <w:contextualSpacing/>
        <w:jc w:val="left"/>
        <w:rPr>
          <w:rFonts w:hint="eastAsia" w:ascii="KaiTi_GB2312" w:hAnsi="SimSun" w:eastAsia="KaiTi_GB2312" w:cs="SimSun"/>
          <w:color w:val="000000"/>
          <w:kern w:val="0"/>
          <w:sz w:val="32"/>
          <w:szCs w:val="32"/>
          <w:shd w:val="clear" w:color="auto" w:fill="FFFFFF"/>
          <w:lang w:val="zh-CN" w:eastAsia="zh-CN" w:bidi="ar-SA"/>
        </w:rPr>
      </w:pPr>
      <w:r>
        <w:rPr>
          <w:rFonts w:hint="eastAsia" w:ascii="KaiTi_GB2312" w:hAnsi="SimSun" w:eastAsia="KaiTi_GB2312" w:cs="SimSun"/>
          <w:color w:val="000000"/>
          <w:kern w:val="0"/>
          <w:sz w:val="32"/>
          <w:szCs w:val="32"/>
          <w:shd w:val="clear" w:color="auto" w:fill="FFFFFF"/>
          <w:lang w:val="zh-CN" w:eastAsia="zh-CN" w:bidi="ar-SA"/>
        </w:rPr>
        <w:t>改进建议。</w:t>
      </w:r>
    </w:p>
    <w:p>
      <w:pPr>
        <w:widowControl/>
        <w:adjustRightInd w:val="0"/>
        <w:snapToGrid w:val="0"/>
        <w:spacing w:line="580" w:lineRule="exact"/>
        <w:ind w:firstLine="640" w:firstLineChars="200"/>
        <w:contextualSpacing/>
        <w:jc w:val="left"/>
        <w:rPr>
          <w:rFonts w:hint="eastAsia" w:ascii="FangSong" w:hAnsi="FangSong" w:eastAsia="FangSong" w:cs="FangSong"/>
          <w:color w:val="auto"/>
          <w:sz w:val="32"/>
          <w:szCs w:val="32"/>
          <w:lang w:val="zh-CN" w:eastAsia="zh-CN"/>
        </w:rPr>
      </w:pPr>
      <w:r>
        <w:rPr>
          <w:rFonts w:hint="eastAsia" w:ascii="FangSong" w:hAnsi="FangSong" w:eastAsia="FangSong" w:cs="FangSong"/>
          <w:color w:val="auto"/>
          <w:sz w:val="32"/>
          <w:szCs w:val="32"/>
          <w:lang w:val="en-US" w:eastAsia="zh-CN"/>
        </w:rPr>
        <w:t xml:space="preserve"> </w:t>
      </w:r>
      <w:r>
        <w:rPr>
          <w:rFonts w:hint="eastAsia" w:ascii="FangSong" w:hAnsi="FangSong" w:eastAsia="FangSong" w:cs="FangSong"/>
          <w:color w:val="auto"/>
          <w:sz w:val="32"/>
          <w:szCs w:val="32"/>
          <w:lang w:val="zh-CN" w:eastAsia="zh-CN"/>
        </w:rPr>
        <w:t>在今后的工作中，我局将严格按照新《预算法》的部门内控制度要求，加强预算编制的科学性、合理性，让预算编制更贴合实际，使项目预算与工作结合更加紧密。严格按照批复预算执行，并按照项目开展进度有计划申请资金及时支付。加强预算执行管理，增强预算约束力，做好预算项目支出绩效目标及各项绩效指标的细化、量化工作，用好用活各类财政资金，提高财政资金的使用效益。</w:t>
      </w:r>
    </w:p>
    <w:p>
      <w:pPr>
        <w:widowControl/>
        <w:adjustRightInd w:val="0"/>
        <w:snapToGrid w:val="0"/>
        <w:spacing w:line="580" w:lineRule="exact"/>
        <w:ind w:firstLine="640" w:firstLineChars="200"/>
        <w:contextualSpacing/>
        <w:jc w:val="left"/>
        <w:rPr>
          <w:rFonts w:hint="eastAsia" w:ascii="FangSong" w:hAnsi="FangSong" w:eastAsia="FangSong" w:cs="FangSong"/>
          <w:color w:val="auto"/>
          <w:sz w:val="32"/>
          <w:szCs w:val="32"/>
          <w:lang w:val="en-US" w:eastAsia="zh-CN"/>
        </w:rPr>
      </w:pPr>
    </w:p>
    <w:p>
      <w:pPr>
        <w:widowControl/>
        <w:adjustRightInd w:val="0"/>
        <w:snapToGrid w:val="0"/>
        <w:spacing w:line="580" w:lineRule="exact"/>
        <w:ind w:firstLine="640" w:firstLineChars="200"/>
        <w:contextualSpacing/>
        <w:jc w:val="left"/>
        <w:rPr>
          <w:rFonts w:hint="eastAsia" w:ascii="FangSong" w:hAnsi="FangSong" w:eastAsia="FangSong" w:cs="FangSong"/>
          <w:color w:val="auto"/>
          <w:kern w:val="2"/>
          <w:sz w:val="32"/>
          <w:szCs w:val="32"/>
          <w:lang w:val="zh-CN" w:eastAsia="zh-CN" w:bidi="ar-SA"/>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F64720FE-4F48-4D15-8CF2-8D9ED3E18CF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F6F1FDAB-5115-4861-A949-235D1055BDBB}"/>
  </w:font>
  <w:font w:name="SimSun">
    <w:panose1 w:val="02010600030101010101"/>
    <w:charset w:val="7A"/>
    <w:family w:val="auto"/>
    <w:pitch w:val="default"/>
    <w:sig w:usb0="00000003" w:usb1="288F0000" w:usb2="00000006" w:usb3="00000000" w:csb0="00040001" w:csb1="00000000"/>
    <w:embedRegular r:id="rId3" w:fontKey="{25125E1B-40DE-4FDF-9BE6-8BAC8C06C3D0}"/>
  </w:font>
  <w:font w:name="FangSong_GB2312">
    <w:panose1 w:val="02010609030101010101"/>
    <w:charset w:val="86"/>
    <w:family w:val="modern"/>
    <w:pitch w:val="default"/>
    <w:sig w:usb0="00000001" w:usb1="080E0000" w:usb2="00000000" w:usb3="00000000" w:csb0="00040000" w:csb1="00000000"/>
    <w:embedRegular r:id="rId4" w:fontKey="{78449187-3CF9-45C6-9983-9C976E25FE1C}"/>
  </w:font>
  <w:font w:name="??">
    <w:altName w:val="Times New Roman"/>
    <w:panose1 w:val="00000000000000000000"/>
    <w:charset w:val="00"/>
    <w:family w:val="roman"/>
    <w:pitch w:val="default"/>
    <w:sig w:usb0="00000000" w:usb1="00000000" w:usb2="00000000" w:usb3="00000000" w:csb0="00000000" w:csb1="00000000"/>
  </w:font>
  <w:font w:name="KaiTi_GB2312">
    <w:panose1 w:val="02010609030101010101"/>
    <w:charset w:val="86"/>
    <w:family w:val="modern"/>
    <w:pitch w:val="default"/>
    <w:sig w:usb0="00000001" w:usb1="080E0000" w:usb2="00000000" w:usb3="00000000" w:csb0="00040000" w:csb1="00000000"/>
    <w:embedRegular r:id="rId5" w:fontKey="{20EF062F-1220-45D4-8588-4A5A7415211A}"/>
  </w:font>
  <w:font w:name="方正黑体_GBK">
    <w:altName w:val="Microsoft YaHei"/>
    <w:panose1 w:val="03000509000000000000"/>
    <w:charset w:val="86"/>
    <w:family w:val="auto"/>
    <w:pitch w:val="default"/>
    <w:sig w:usb0="00000000" w:usb1="00000000" w:usb2="00000000" w:usb3="00000000" w:csb0="00040000" w:csb1="00000000"/>
    <w:embedRegular r:id="rId6" w:fontKey="{5F1E3BA2-8F78-4683-BACF-5E01172098DD}"/>
  </w:font>
  <w:font w:name="FZXiaoBiaoSong-B05S">
    <w:panose1 w:val="02000000000000000000"/>
    <w:charset w:val="86"/>
    <w:family w:val="script"/>
    <w:pitch w:val="default"/>
    <w:sig w:usb0="00000001" w:usb1="080E0000" w:usb2="00000000" w:usb3="00000000" w:csb0="00040000" w:csb1="00000000"/>
    <w:embedRegular r:id="rId7" w:fontKey="{33669685-2CFF-4036-97E6-FF15B6A3060F}"/>
  </w:font>
  <w:font w:name="方正仿宋_GBK">
    <w:altName w:val="Microsoft YaHei"/>
    <w:panose1 w:val="03000509000000000000"/>
    <w:charset w:val="86"/>
    <w:family w:val="auto"/>
    <w:pitch w:val="default"/>
    <w:sig w:usb0="00000000" w:usb1="00000000" w:usb2="00000000" w:usb3="00000000" w:csb0="00040000" w:csb1="00000000"/>
    <w:embedRegular r:id="rId8" w:fontKey="{FFBD37DA-B3EF-4AD7-BA44-5CC6906F6B92}"/>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5"/>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5F960"/>
    <w:multiLevelType w:val="singleLevel"/>
    <w:tmpl w:val="9155F960"/>
    <w:lvl w:ilvl="0" w:tentative="0">
      <w:start w:val="2"/>
      <w:numFmt w:val="chineseCounting"/>
      <w:suff w:val="nothing"/>
      <w:lvlText w:val="（%1）"/>
      <w:lvlJc w:val="left"/>
      <w:rPr>
        <w:rFonts w:hint="eastAsia"/>
      </w:rPr>
    </w:lvl>
  </w:abstractNum>
  <w:abstractNum w:abstractNumId="1">
    <w:nsid w:val="FC77CE77"/>
    <w:multiLevelType w:val="singleLevel"/>
    <w:tmpl w:val="FC77CE77"/>
    <w:lvl w:ilvl="0" w:tentative="0">
      <w:start w:val="3"/>
      <w:numFmt w:val="chineseCounting"/>
      <w:suff w:val="nothing"/>
      <w:lvlText w:val="（%1）"/>
      <w:lvlJc w:val="left"/>
      <w:rPr>
        <w:rFonts w:hint="eastAsia"/>
      </w:rPr>
    </w:lvl>
  </w:abstractNum>
  <w:abstractNum w:abstractNumId="2">
    <w:nsid w:val="7EE55BF3"/>
    <w:multiLevelType w:val="multilevel"/>
    <w:tmpl w:val="7EE55BF3"/>
    <w:lvl w:ilvl="0" w:tentative="0">
      <w:start w:val="1"/>
      <w:numFmt w:val="chineseCountingThousand"/>
      <w:pStyle w:val="19"/>
      <w:suff w:val="nothing"/>
      <w:lvlText w:val="（%1）"/>
      <w:lvlJc w:val="left"/>
      <w:pPr>
        <w:ind w:left="0" w:firstLine="635"/>
      </w:pPr>
      <w:rPr>
        <w:rFonts w:hint="eastAsia"/>
      </w:r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D17056"/>
    <w:rsid w:val="020411DA"/>
    <w:rsid w:val="02753E85"/>
    <w:rsid w:val="03946B2A"/>
    <w:rsid w:val="04041965"/>
    <w:rsid w:val="0619721E"/>
    <w:rsid w:val="06606BFB"/>
    <w:rsid w:val="070B15DA"/>
    <w:rsid w:val="07B23486"/>
    <w:rsid w:val="07C5140B"/>
    <w:rsid w:val="07E3599F"/>
    <w:rsid w:val="08EC0C19"/>
    <w:rsid w:val="09CD27F9"/>
    <w:rsid w:val="09D765E3"/>
    <w:rsid w:val="0A782765"/>
    <w:rsid w:val="0AAC68B2"/>
    <w:rsid w:val="0ABF0394"/>
    <w:rsid w:val="0B422D73"/>
    <w:rsid w:val="0B556F79"/>
    <w:rsid w:val="0C3B1C9C"/>
    <w:rsid w:val="0CFA1B57"/>
    <w:rsid w:val="0D29243C"/>
    <w:rsid w:val="0D892EDB"/>
    <w:rsid w:val="0DB31D06"/>
    <w:rsid w:val="0E417312"/>
    <w:rsid w:val="0FA77648"/>
    <w:rsid w:val="11202F3D"/>
    <w:rsid w:val="11551A52"/>
    <w:rsid w:val="12080872"/>
    <w:rsid w:val="15401079"/>
    <w:rsid w:val="15910B7E"/>
    <w:rsid w:val="15A15FD5"/>
    <w:rsid w:val="1609105D"/>
    <w:rsid w:val="169528F0"/>
    <w:rsid w:val="17A54DB5"/>
    <w:rsid w:val="185D2F9A"/>
    <w:rsid w:val="18D17537"/>
    <w:rsid w:val="18E11E1D"/>
    <w:rsid w:val="19927F78"/>
    <w:rsid w:val="1AA2738A"/>
    <w:rsid w:val="1B7211E5"/>
    <w:rsid w:val="1BAB226E"/>
    <w:rsid w:val="1C9378D2"/>
    <w:rsid w:val="1D8211F3"/>
    <w:rsid w:val="1E122A78"/>
    <w:rsid w:val="21AE59D8"/>
    <w:rsid w:val="22BE4F7D"/>
    <w:rsid w:val="24F2482F"/>
    <w:rsid w:val="268838D8"/>
    <w:rsid w:val="27BA1113"/>
    <w:rsid w:val="286F56EA"/>
    <w:rsid w:val="2886776C"/>
    <w:rsid w:val="29912F65"/>
    <w:rsid w:val="2AD52E64"/>
    <w:rsid w:val="2AD772CF"/>
    <w:rsid w:val="2AE01F34"/>
    <w:rsid w:val="2B371B8A"/>
    <w:rsid w:val="2B585F6F"/>
    <w:rsid w:val="2C324A12"/>
    <w:rsid w:val="2D404F0C"/>
    <w:rsid w:val="2D527252"/>
    <w:rsid w:val="2DD85145"/>
    <w:rsid w:val="2F215A85"/>
    <w:rsid w:val="2F7F02FB"/>
    <w:rsid w:val="31307046"/>
    <w:rsid w:val="31E367AE"/>
    <w:rsid w:val="324950BD"/>
    <w:rsid w:val="329102D6"/>
    <w:rsid w:val="33680D19"/>
    <w:rsid w:val="344D7F0F"/>
    <w:rsid w:val="345474EF"/>
    <w:rsid w:val="345B57F4"/>
    <w:rsid w:val="34EE34A0"/>
    <w:rsid w:val="35374E47"/>
    <w:rsid w:val="357C0AAC"/>
    <w:rsid w:val="36A22794"/>
    <w:rsid w:val="386B5449"/>
    <w:rsid w:val="39697599"/>
    <w:rsid w:val="39ED1F78"/>
    <w:rsid w:val="39FF3A59"/>
    <w:rsid w:val="3A9520B3"/>
    <w:rsid w:val="3B392F9B"/>
    <w:rsid w:val="3BC907C3"/>
    <w:rsid w:val="3DE562B7"/>
    <w:rsid w:val="3DF24001"/>
    <w:rsid w:val="3E6507EA"/>
    <w:rsid w:val="409475F1"/>
    <w:rsid w:val="4246491B"/>
    <w:rsid w:val="434075BC"/>
    <w:rsid w:val="435766B4"/>
    <w:rsid w:val="44C45FCB"/>
    <w:rsid w:val="44F97C54"/>
    <w:rsid w:val="458C4D3B"/>
    <w:rsid w:val="46162856"/>
    <w:rsid w:val="47550EBA"/>
    <w:rsid w:val="47EB491A"/>
    <w:rsid w:val="4BC94534"/>
    <w:rsid w:val="4C746529"/>
    <w:rsid w:val="4C7E4CB1"/>
    <w:rsid w:val="4D0C050F"/>
    <w:rsid w:val="4DBE3EFF"/>
    <w:rsid w:val="4E10402F"/>
    <w:rsid w:val="5043249A"/>
    <w:rsid w:val="50BB3388"/>
    <w:rsid w:val="517B5C63"/>
    <w:rsid w:val="51864DC0"/>
    <w:rsid w:val="527C189D"/>
    <w:rsid w:val="533A1B2F"/>
    <w:rsid w:val="536966BB"/>
    <w:rsid w:val="56B91708"/>
    <w:rsid w:val="573214BA"/>
    <w:rsid w:val="5765363E"/>
    <w:rsid w:val="580E5A83"/>
    <w:rsid w:val="58406E11"/>
    <w:rsid w:val="5A955FE8"/>
    <w:rsid w:val="5AA63D51"/>
    <w:rsid w:val="5AC4067B"/>
    <w:rsid w:val="5B296730"/>
    <w:rsid w:val="5B500161"/>
    <w:rsid w:val="5B977B3E"/>
    <w:rsid w:val="5BEA4111"/>
    <w:rsid w:val="5E2002BE"/>
    <w:rsid w:val="5EE96902"/>
    <w:rsid w:val="600F4147"/>
    <w:rsid w:val="60C72C73"/>
    <w:rsid w:val="60EC092C"/>
    <w:rsid w:val="62F87114"/>
    <w:rsid w:val="639F3A33"/>
    <w:rsid w:val="65000502"/>
    <w:rsid w:val="65EE5B70"/>
    <w:rsid w:val="6636451A"/>
    <w:rsid w:val="673B3A73"/>
    <w:rsid w:val="67A07071"/>
    <w:rsid w:val="683F3A37"/>
    <w:rsid w:val="68D73C6F"/>
    <w:rsid w:val="6A674B7F"/>
    <w:rsid w:val="6BE94116"/>
    <w:rsid w:val="6C305B70"/>
    <w:rsid w:val="6D741A8D"/>
    <w:rsid w:val="6E3556C0"/>
    <w:rsid w:val="6ED0363B"/>
    <w:rsid w:val="6EE36ECA"/>
    <w:rsid w:val="6F5A4CB2"/>
    <w:rsid w:val="700A66D9"/>
    <w:rsid w:val="70207CAA"/>
    <w:rsid w:val="71D21478"/>
    <w:rsid w:val="728A3B01"/>
    <w:rsid w:val="72E41463"/>
    <w:rsid w:val="73AF1A71"/>
    <w:rsid w:val="73CD68E4"/>
    <w:rsid w:val="7467234B"/>
    <w:rsid w:val="750E27C7"/>
    <w:rsid w:val="770A5210"/>
    <w:rsid w:val="770E2F52"/>
    <w:rsid w:val="78916378"/>
    <w:rsid w:val="79256331"/>
    <w:rsid w:val="7A41719B"/>
    <w:rsid w:val="7A7C01D3"/>
    <w:rsid w:val="7AD41DBD"/>
    <w:rsid w:val="7B130B37"/>
    <w:rsid w:val="7BC20073"/>
    <w:rsid w:val="7BEC63C1"/>
    <w:rsid w:val="7C631402"/>
    <w:rsid w:val="7C6D24C9"/>
    <w:rsid w:val="7C7514E0"/>
    <w:rsid w:val="7D4A45B8"/>
    <w:rsid w:val="7DCC0F6E"/>
    <w:rsid w:val="7DF2712A"/>
    <w:rsid w:val="7E140770"/>
    <w:rsid w:val="7E9C0E44"/>
    <w:rsid w:val="7EE3082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0"/>
    <w:pPr>
      <w:spacing w:before="240" w:after="60"/>
      <w:jc w:val="center"/>
      <w:outlineLvl w:val="0"/>
    </w:pPr>
    <w:rPr>
      <w:rFonts w:ascii="Arial" w:hAnsi="Arial" w:eastAsia="FangSong_GB2312" w:cs="Arial"/>
      <w:b/>
      <w:bCs/>
      <w:sz w:val="32"/>
      <w:szCs w:val="32"/>
    </w:rPr>
  </w:style>
  <w:style w:type="paragraph" w:styleId="3">
    <w:name w:val="Document Map"/>
    <w:basedOn w:val="1"/>
    <w:link w:val="12"/>
    <w:qFormat/>
    <w:uiPriority w:val="99"/>
    <w:rPr>
      <w:rFonts w:ascii="SimSun"/>
      <w:sz w:val="18"/>
      <w:szCs w:val="18"/>
    </w:rPr>
  </w:style>
  <w:style w:type="paragraph" w:styleId="4">
    <w:name w:val="Balloon Text"/>
    <w:basedOn w:val="1"/>
    <w:link w:val="13"/>
    <w:semiHidden/>
    <w:qFormat/>
    <w:uiPriority w:val="99"/>
    <w:rPr>
      <w:sz w:val="18"/>
      <w:szCs w:val="18"/>
    </w:rPr>
  </w:style>
  <w:style w:type="paragraph" w:styleId="5">
    <w:name w:val="footer"/>
    <w:basedOn w:val="1"/>
    <w:link w:val="14"/>
    <w:autoRedefine/>
    <w:qFormat/>
    <w:uiPriority w:val="99"/>
    <w:pPr>
      <w:tabs>
        <w:tab w:val="center" w:pos="4153"/>
        <w:tab w:val="right" w:pos="8306"/>
      </w:tabs>
      <w:snapToGrid w:val="0"/>
      <w:jc w:val="left"/>
    </w:pPr>
    <w:rPr>
      <w:sz w:val="18"/>
      <w:szCs w:val="18"/>
    </w:rPr>
  </w:style>
  <w:style w:type="paragraph" w:styleId="6">
    <w:name w:val="header"/>
    <w:basedOn w:val="1"/>
    <w:link w:val="15"/>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locked/>
    <w:uiPriority w:val="0"/>
    <w:pPr>
      <w:spacing w:beforeAutospacing="1" w:afterAutospacing="1"/>
      <w:jc w:val="left"/>
    </w:pPr>
    <w:rPr>
      <w:kern w:val="0"/>
      <w:sz w:val="24"/>
    </w:rPr>
  </w:style>
  <w:style w:type="table" w:styleId="9">
    <w:name w:val="Table Grid"/>
    <w:basedOn w:val="8"/>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customStyle="1" w:styleId="12">
    <w:name w:val="文档结构图 Char"/>
    <w:link w:val="3"/>
    <w:qFormat/>
    <w:locked/>
    <w:uiPriority w:val="99"/>
    <w:rPr>
      <w:rFonts w:ascii="SimSun" w:cs="Times New Roman"/>
      <w:kern w:val="2"/>
      <w:sz w:val="18"/>
      <w:szCs w:val="18"/>
    </w:rPr>
  </w:style>
  <w:style w:type="character" w:customStyle="1" w:styleId="13">
    <w:name w:val="批注框文本 Char"/>
    <w:link w:val="4"/>
    <w:semiHidden/>
    <w:qFormat/>
    <w:locked/>
    <w:uiPriority w:val="99"/>
    <w:rPr>
      <w:rFonts w:cs="Times New Roman"/>
      <w:sz w:val="2"/>
    </w:rPr>
  </w:style>
  <w:style w:type="character" w:customStyle="1" w:styleId="14">
    <w:name w:val="页脚 Char"/>
    <w:link w:val="5"/>
    <w:autoRedefine/>
    <w:qFormat/>
    <w:locked/>
    <w:uiPriority w:val="99"/>
    <w:rPr>
      <w:rFonts w:cs="Times New Roman"/>
      <w:kern w:val="2"/>
      <w:sz w:val="18"/>
      <w:szCs w:val="18"/>
    </w:rPr>
  </w:style>
  <w:style w:type="character" w:customStyle="1" w:styleId="15">
    <w:name w:val="页眉 Char"/>
    <w:link w:val="6"/>
    <w:semiHidden/>
    <w:qFormat/>
    <w:locked/>
    <w:uiPriority w:val="99"/>
    <w:rPr>
      <w:rFonts w:cs="Times New Roman"/>
      <w:sz w:val="18"/>
      <w:szCs w:val="18"/>
    </w:rPr>
  </w:style>
  <w:style w:type="paragraph" w:customStyle="1" w:styleId="16">
    <w:name w:val="四号正文"/>
    <w:basedOn w:val="1"/>
    <w:link w:val="17"/>
    <w:autoRedefine/>
    <w:qFormat/>
    <w:uiPriority w:val="99"/>
    <w:pPr>
      <w:spacing w:line="360" w:lineRule="auto"/>
    </w:pPr>
    <w:rPr>
      <w:rFonts w:ascii="??" w:hAnsi="??" w:cs="SimSun"/>
      <w:color w:val="000000"/>
      <w:kern w:val="0"/>
      <w:sz w:val="28"/>
      <w:szCs w:val="21"/>
    </w:rPr>
  </w:style>
  <w:style w:type="character" w:customStyle="1" w:styleId="17">
    <w:name w:val="四号正文 Char"/>
    <w:link w:val="16"/>
    <w:qFormat/>
    <w:locked/>
    <w:uiPriority w:val="99"/>
    <w:rPr>
      <w:rFonts w:ascii="??" w:hAnsi="??" w:eastAsia="SimSun" w:cs="SimSun"/>
      <w:color w:val="000000"/>
      <w:sz w:val="21"/>
      <w:szCs w:val="21"/>
      <w:lang w:val="en-US" w:eastAsia="zh-CN" w:bidi="ar-SA"/>
    </w:rPr>
  </w:style>
  <w:style w:type="paragraph" w:customStyle="1" w:styleId="18">
    <w:name w:val="a"/>
    <w:basedOn w:val="1"/>
    <w:autoRedefine/>
    <w:qFormat/>
    <w:uiPriority w:val="99"/>
    <w:pPr>
      <w:widowControl/>
      <w:spacing w:before="100" w:beforeAutospacing="1" w:after="100" w:afterAutospacing="1"/>
      <w:jc w:val="left"/>
    </w:pPr>
    <w:rPr>
      <w:rFonts w:ascii="SimSun" w:hAnsi="SimSun" w:cs="SimSun"/>
      <w:kern w:val="0"/>
      <w:sz w:val="24"/>
    </w:rPr>
  </w:style>
  <w:style w:type="paragraph" w:customStyle="1" w:styleId="19">
    <w:name w:val="〖B02〗二级标题"/>
    <w:next w:val="1"/>
    <w:autoRedefine/>
    <w:qFormat/>
    <w:uiPriority w:val="0"/>
    <w:pPr>
      <w:widowControl w:val="0"/>
      <w:numPr>
        <w:ilvl w:val="0"/>
        <w:numId w:val="1"/>
      </w:numPr>
      <w:spacing w:line="600" w:lineRule="exact"/>
      <w:outlineLvl w:val="1"/>
    </w:pPr>
    <w:rPr>
      <w:rFonts w:ascii="KaiTi_GB2312" w:hAnsi="Calibri" w:eastAsia="KaiTi_GB2312" w:cs="Times New Roman"/>
      <w:kern w:val="2"/>
      <w:sz w:val="32"/>
      <w:szCs w:val="21"/>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8</Pages>
  <Words>3623</Words>
  <Characters>3768</Characters>
  <Lines>3</Lines>
  <Paragraphs>1</Paragraphs>
  <TotalTime>4</TotalTime>
  <ScaleCrop>false</ScaleCrop>
  <LinksUpToDate>false</LinksUpToDate>
  <CharactersWithSpaces>3774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2023-07-04T06:36:00Z</cp:lastPrinted>
  <dcterms:modified xsi:type="dcterms:W3CDTF">2024-03-27T07:27:56Z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B94C9AD643CD49B7AFB0F0F405AC6737_13</vt:lpwstr>
  </property>
</Properties>
</file>