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9"/>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w:t>
      </w:r>
    </w:p>
    <w:p>
      <w:pPr>
        <w:pStyle w:val="9"/>
        <w:spacing w:line="600" w:lineRule="exact"/>
        <w:ind w:firstLine="2580" w:firstLineChars="1075"/>
        <w:jc w:val="both"/>
        <w:rPr>
          <w:rFonts w:ascii="FangSong_GB2312" w:hAnsi="SimSun" w:eastAsia="FangSong_GB2312"/>
          <w:color w:val="auto"/>
          <w:kern w:val="2"/>
          <w:sz w:val="24"/>
          <w:szCs w:val="24"/>
        </w:rPr>
      </w:pPr>
      <w:r>
        <w:rPr>
          <w:rFonts w:hint="eastAsia" w:ascii="FangSong_GB2312" w:hAnsi="SimSun" w:eastAsia="FangSong_GB2312"/>
          <w:color w:val="auto"/>
          <w:kern w:val="2"/>
          <w:sz w:val="24"/>
          <w:szCs w:val="24"/>
        </w:rPr>
        <w:t>（水土保持与水资源论证评审费）</w:t>
      </w:r>
    </w:p>
    <w:p>
      <w:pPr>
        <w:pStyle w:val="9"/>
        <w:spacing w:line="600" w:lineRule="exact"/>
        <w:ind w:firstLine="640"/>
        <w:jc w:val="both"/>
        <w:rPr>
          <w:rFonts w:ascii="SimSun" w:hAnsi="SimSun"/>
          <w:color w:val="auto"/>
          <w:kern w:val="2"/>
          <w:sz w:val="32"/>
          <w:szCs w:val="32"/>
        </w:rPr>
      </w:pPr>
    </w:p>
    <w:p>
      <w:pPr>
        <w:numPr>
          <w:ilvl w:val="0"/>
          <w:numId w:val="0"/>
        </w:numPr>
        <w:adjustRightInd w:val="0"/>
        <w:snapToGrid w:val="0"/>
        <w:spacing w:line="600" w:lineRule="exact"/>
        <w:ind w:firstLine="320" w:firstLineChars="100"/>
        <w:rPr>
          <w:rFonts w:ascii="SimHei" w:hAnsi="SimSun" w:eastAsia="SimHei"/>
          <w:color w:val="000000" w:themeColor="text1"/>
          <w:lang w:val="zh-CN"/>
          <w14:textFill>
            <w14:solidFill>
              <w14:schemeClr w14:val="tx1"/>
            </w14:solidFill>
          </w14:textFill>
        </w:rPr>
      </w:pPr>
      <w:r>
        <w:rPr>
          <w:rFonts w:hint="eastAsia" w:ascii="SimHei" w:hAnsi="SimSun" w:eastAsia="SimHei"/>
          <w:color w:val="000000" w:themeColor="text1"/>
          <w14:textFill>
            <w14:solidFill>
              <w14:schemeClr w14:val="tx1"/>
            </w14:solidFill>
          </w14:textFill>
        </w:rPr>
        <w:t>一、</w:t>
      </w:r>
      <w:r>
        <w:rPr>
          <w:rFonts w:hint="eastAsia" w:ascii="SimHei" w:hAnsi="SimSun" w:eastAsia="SimHei"/>
          <w:color w:val="000000" w:themeColor="text1"/>
          <w:lang w:val="zh-CN"/>
          <w14:textFill>
            <w14:solidFill>
              <w14:schemeClr w14:val="tx1"/>
            </w14:solidFill>
          </w14:textFill>
        </w:rPr>
        <w:t>项目概况</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1．说明项目主管部门（单位）在该项目管理中的职能。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color w:val="000000" w:themeColor="text1"/>
          <w:lang w:val="en-US" w:eastAsia="zh-CN"/>
          <w14:textFill>
            <w14:solidFill>
              <w14:schemeClr w14:val="tx1"/>
            </w14:solidFill>
          </w14:textFill>
        </w:rPr>
      </w:pPr>
      <w:r>
        <w:rPr>
          <w:rFonts w:hint="eastAsia" w:ascii="FangSong_GB2312" w:hAnsi="SimSun"/>
          <w:color w:val="000000" w:themeColor="text1"/>
          <w:lang w:val="en-US" w:eastAsia="zh-CN"/>
          <w14:textFill>
            <w14:solidFill>
              <w14:schemeClr w14:val="tx1"/>
            </w14:solidFill>
          </w14:textFill>
        </w:rPr>
        <w:t>确保规范取水，严格执行水资源管理三条红线，规范和加强生产建设项目水土保持，预防和治理生产建设项目可能造成的水土流失；</w:t>
      </w:r>
      <w:r>
        <w:rPr>
          <w:rFonts w:hint="eastAsia" w:ascii="FangSong_GB2312" w:hAnsi="SimSun"/>
          <w:color w:val="000000" w:themeColor="text1"/>
          <w:lang w:val="zh-CN"/>
          <w14:textFill>
            <w14:solidFill>
              <w14:schemeClr w14:val="tx1"/>
            </w14:solidFill>
          </w14:textFill>
        </w:rPr>
        <w:t>促进固定资产投资项目科学合理利用能源，从源头上杜绝能源浪费，提高能源利用效率，加强能源消费总量管理</w:t>
      </w:r>
      <w:r>
        <w:rPr>
          <w:rFonts w:hint="eastAsia" w:ascii="FangSong_GB2312" w:hAnsi="SimSun"/>
          <w:color w:val="000000" w:themeColor="text1"/>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2．项目立项、资金申报的依据。</w:t>
      </w:r>
    </w:p>
    <w:p>
      <w:pPr>
        <w:pStyle w:val="10"/>
        <w:keepNext w:val="0"/>
        <w:keepLines w:val="0"/>
        <w:pageBreakBefore w:val="0"/>
        <w:kinsoku/>
        <w:wordWrap/>
        <w:overflowPunct/>
        <w:topLinePunct w:val="0"/>
        <w:autoSpaceDE/>
        <w:autoSpaceDN/>
        <w:bidi w:val="0"/>
        <w:spacing w:line="600" w:lineRule="exact"/>
        <w:textAlignment w:val="auto"/>
      </w:pPr>
      <w:r>
        <w:rPr>
          <w:rFonts w:hint="eastAsia" w:ascii="FangSong_GB2312" w:hAnsi="SimSun"/>
          <w:color w:val="000000" w:themeColor="text1"/>
          <w:lang w:val="zh-CN"/>
          <w14:textFill>
            <w14:solidFill>
              <w14:schemeClr w14:val="tx1"/>
            </w14:solidFill>
          </w14:textFill>
        </w:rPr>
        <w:t>依据川发改环资</w:t>
      </w:r>
      <w:r>
        <w:t>窗体顶端</w:t>
      </w:r>
    </w:p>
    <w:p>
      <w:pPr>
        <w:pStyle w:val="4"/>
        <w:keepNext w:val="0"/>
        <w:keepLines w:val="0"/>
        <w:pageBreakBefore w:val="0"/>
        <w:widowControl/>
        <w:suppressLineNumbers w:val="0"/>
        <w:kinsoku/>
        <w:wordWrap/>
        <w:overflowPunct/>
        <w:topLinePunct w:val="0"/>
        <w:autoSpaceDE/>
        <w:autoSpaceDN/>
        <w:bidi w:val="0"/>
        <w:spacing w:before="316" w:beforeAutospacing="0" w:after="316" w:afterAutospacing="0" w:line="600" w:lineRule="exact"/>
        <w:ind w:left="0" w:right="0" w:firstLine="420"/>
        <w:jc w:val="both"/>
        <w:textAlignment w:val="auto"/>
        <w:rPr>
          <w:rFonts w:hint="eastAsia" w:ascii="FangSong_GB2312" w:hAnsi="SimSun" w:eastAsia="FangSong_GB2312" w:cs="Times New Roman"/>
          <w:color w:val="000000" w:themeColor="text1"/>
          <w:kern w:val="2"/>
          <w:sz w:val="32"/>
          <w:szCs w:val="32"/>
          <w:lang w:val="en-US" w:eastAsia="zh-CN" w:bidi="ar-SA"/>
          <w14:textFill>
            <w14:solidFill>
              <w14:schemeClr w14:val="tx1"/>
            </w14:solidFill>
          </w14:textFill>
        </w:rPr>
      </w:pPr>
      <w:r>
        <w:rPr>
          <w:rFonts w:hint="eastAsia" w:ascii="FangSong_GB2312" w:hAnsi="SimSun" w:eastAsia="FangSong_GB2312" w:cs="Times New Roman"/>
          <w:color w:val="000000" w:themeColor="text1"/>
          <w:kern w:val="2"/>
          <w:sz w:val="32"/>
          <w:szCs w:val="32"/>
          <w:lang w:val="zh-CN" w:eastAsia="zh-CN" w:bidi="ar-SA"/>
          <w14:textFill>
            <w14:solidFill>
              <w14:schemeClr w14:val="tx1"/>
            </w14:solidFill>
          </w14:textFill>
        </w:rPr>
        <w:t>〔2024〕170号 关于印发《四川省固定资产投资项目节能审查实施办法》的通知，乐水办〔2020〕2号</w:t>
      </w:r>
      <w:r>
        <w:rPr>
          <w:rFonts w:hint="eastAsia" w:ascii="FangSong_GB2312" w:hAnsi="SimSun" w:eastAsia="FangSong_GB2312" w:cs="Times New Roman"/>
          <w:color w:val="000000" w:themeColor="text1"/>
          <w:kern w:val="2"/>
          <w:sz w:val="32"/>
          <w:szCs w:val="32"/>
          <w:lang w:val="en-US" w:eastAsia="zh-CN" w:bidi="ar-SA"/>
          <w14:textFill>
            <w14:solidFill>
              <w14:schemeClr w14:val="tx1"/>
            </w14:solidFill>
          </w14:textFill>
        </w:rPr>
        <w:t>关于印发《乐山市水务局水行政许可事项技术性评审管理办法》的通知要求立项申报经费。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en-US" w:eastAsia="zh-CN"/>
          <w14:textFill>
            <w14:solidFill>
              <w14:schemeClr w14:val="tx1"/>
            </w14:solidFill>
          </w14:textFill>
        </w:rPr>
        <w:t>3.</w:t>
      </w:r>
      <w:r>
        <w:rPr>
          <w:rFonts w:hint="eastAsia" w:ascii="FangSong_GB2312" w:hAnsi="SimSun"/>
          <w:color w:val="000000" w:themeColor="text1"/>
          <w:lang w:val="zh-CN"/>
          <w14:textFill>
            <w14:solidFill>
              <w14:schemeClr w14:val="tx1"/>
            </w14:solidFill>
          </w14:textFill>
        </w:rPr>
        <w:t>资金管理办法制定情况，资金支持具体项目的条件、范围与支持方式概况。</w:t>
      </w:r>
    </w:p>
    <w:p>
      <w:pPr>
        <w:keepNext w:val="0"/>
        <w:keepLines w:val="0"/>
        <w:widowControl/>
        <w:suppressLineNumbers w:val="0"/>
        <w:ind w:firstLine="640" w:firstLineChars="200"/>
        <w:jc w:val="left"/>
        <w:rPr>
          <w:rFonts w:hint="default" w:ascii="FangSong_GB2312" w:hAnsi="SimSun" w:eastAsia="FangSong_GB2312" w:cs="Times New Roman"/>
          <w:color w:val="000000" w:themeColor="text1"/>
          <w:lang w:val="en-US"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根据项目许可情况，按照实际项目评估许可结论，项目评审专家签到表，依据专家咨询费用标准申请支付用款计划，报部门领导签字确认同意，足额支付项目评审费用。</w:t>
      </w:r>
    </w:p>
    <w:p>
      <w:pPr>
        <w:numPr>
          <w:ilvl w:val="0"/>
          <w:numId w:val="1"/>
        </w:numPr>
        <w:adjustRightInd w:val="0"/>
        <w:snapToGrid w:val="0"/>
        <w:spacing w:line="600" w:lineRule="exact"/>
        <w:ind w:firstLine="720"/>
        <w:rPr>
          <w:rFonts w:hint="eastAsia" w:ascii="FangSong_GB2312" w:hAnsi="SimSun"/>
          <w:color w:val="auto"/>
          <w:lang w:val="zh-CN"/>
        </w:rPr>
      </w:pPr>
      <w:r>
        <w:rPr>
          <w:rFonts w:hint="eastAsia" w:ascii="FangSong_GB2312" w:hAnsi="SimSun"/>
          <w:color w:val="auto"/>
          <w:lang w:val="zh-CN"/>
        </w:rPr>
        <w:t>资金分配的原则及考虑因素。</w:t>
      </w:r>
    </w:p>
    <w:p>
      <w:pPr>
        <w:numPr>
          <w:ilvl w:val="0"/>
          <w:numId w:val="0"/>
        </w:numPr>
        <w:adjustRightInd w:val="0"/>
        <w:snapToGrid w:val="0"/>
        <w:spacing w:line="600" w:lineRule="exact"/>
        <w:ind w:firstLine="640" w:firstLineChars="200"/>
        <w:rPr>
          <w:rFonts w:hint="eastAsia" w:ascii="FangSong_GB2312" w:hAnsi="SimSun"/>
          <w:color w:val="FF0000"/>
          <w:lang w:val="zh-CN"/>
        </w:rPr>
      </w:pPr>
      <w:r>
        <w:rPr>
          <w:rFonts w:hint="eastAsia" w:ascii="FangSong_GB2312" w:hAnsi="SimSun" w:cs="Times New Roman"/>
          <w:color w:val="000000" w:themeColor="text1"/>
          <w:lang w:val="en-US" w:eastAsia="zh-CN"/>
          <w14:textFill>
            <w14:solidFill>
              <w14:schemeClr w14:val="tx1"/>
            </w14:solidFill>
          </w14:textFill>
        </w:rPr>
        <w:t>根据项目评审所需专家人数，以讲课费、专家咨询费发放标准为标准分配资金。</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（二）项目绩效目标。</w:t>
      </w:r>
    </w:p>
    <w:p>
      <w:pPr>
        <w:numPr>
          <w:ilvl w:val="0"/>
          <w:numId w:val="0"/>
        </w:numPr>
        <w:adjustRightInd w:val="0"/>
        <w:snapToGrid w:val="0"/>
        <w:spacing w:line="600" w:lineRule="exact"/>
        <w:ind w:firstLine="640" w:firstLineChars="200"/>
        <w:rPr>
          <w:rFonts w:hint="eastAsia" w:ascii="FangSong_GB2312" w:hAnsi="SimSun" w:cs="Times New Roman"/>
          <w:color w:val="000000" w:themeColor="text1"/>
          <w:lang w:val="zh-CN" w:eastAsia="zh-CN"/>
          <w14:textFill>
            <w14:solidFill>
              <w14:schemeClr w14:val="tx1"/>
            </w14:solidFill>
          </w14:textFill>
        </w:rPr>
      </w:pPr>
      <w:r>
        <w:rPr>
          <w:rFonts w:hint="eastAsia" w:ascii="FangSong_GB2312" w:hAnsi="SimSun" w:cs="Times New Roman"/>
          <w:color w:val="000000" w:themeColor="text1"/>
          <w:lang w:val="zh-CN" w:eastAsia="zh-CN"/>
          <w14:textFill>
            <w14:solidFill>
              <w14:schemeClr w14:val="tx1"/>
            </w14:solidFill>
          </w14:textFill>
        </w:rPr>
        <w:t>1．项目主要内容。</w:t>
      </w:r>
    </w:p>
    <w:p>
      <w:pPr>
        <w:numPr>
          <w:ilvl w:val="0"/>
          <w:numId w:val="0"/>
        </w:numPr>
        <w:adjustRightInd w:val="0"/>
        <w:snapToGrid w:val="0"/>
        <w:spacing w:line="600" w:lineRule="exact"/>
        <w:ind w:firstLine="640" w:firstLineChars="200"/>
        <w:rPr>
          <w:rFonts w:hint="eastAsia" w:ascii="FangSong_GB2312" w:hAnsi="SimSun" w:cs="Times New Roman"/>
          <w:color w:val="000000" w:themeColor="text1"/>
          <w:lang w:val="en-US"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组织专家团对水土保持、取水许可及节能项目进行专业技术审查。</w:t>
      </w:r>
    </w:p>
    <w:p>
      <w:pPr>
        <w:numPr>
          <w:ilvl w:val="0"/>
          <w:numId w:val="0"/>
        </w:numPr>
        <w:adjustRightInd w:val="0"/>
        <w:snapToGrid w:val="0"/>
        <w:spacing w:line="600" w:lineRule="exact"/>
        <w:ind w:firstLine="640" w:firstLineChars="200"/>
        <w:rPr>
          <w:rFonts w:hint="eastAsia" w:ascii="FangSong_GB2312" w:hAnsi="SimSun" w:cs="Times New Roman"/>
          <w:color w:val="000000" w:themeColor="text1"/>
          <w:lang w:val="zh-CN"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2.</w:t>
      </w:r>
      <w:r>
        <w:rPr>
          <w:rFonts w:hint="eastAsia" w:ascii="FangSong_GB2312" w:hAnsi="SimSun" w:cs="Times New Roman"/>
          <w:color w:val="000000" w:themeColor="text1"/>
          <w:lang w:val="zh-CN" w:eastAsia="zh-CN"/>
          <w14:textFill>
            <w14:solidFill>
              <w14:schemeClr w14:val="tx1"/>
            </w14:solidFill>
          </w14:textFill>
        </w:rPr>
        <w:t>项目应实现的具体绩效目标，包括目标的量化、细化情况以及项目实施进度计划等。</w:t>
      </w:r>
    </w:p>
    <w:p>
      <w:pPr>
        <w:numPr>
          <w:ilvl w:val="0"/>
          <w:numId w:val="0"/>
        </w:numPr>
        <w:adjustRightInd w:val="0"/>
        <w:snapToGrid w:val="0"/>
        <w:spacing w:line="600" w:lineRule="exact"/>
        <w:ind w:firstLine="640" w:firstLineChars="200"/>
        <w:rPr>
          <w:rFonts w:hint="default" w:ascii="FangSong_GB2312" w:hAnsi="SimSun" w:cs="Times New Roman"/>
          <w:color w:val="000000" w:themeColor="text1"/>
          <w:lang w:val="en-US" w:eastAsia="zh-CN"/>
          <w14:textFill>
            <w14:solidFill>
              <w14:schemeClr w14:val="tx1"/>
            </w14:solidFill>
          </w14:textFill>
        </w:rPr>
      </w:pPr>
      <w:r>
        <w:rPr>
          <w:rFonts w:hint="eastAsia" w:ascii="FangSong_GB2312" w:hAnsi="SimSun" w:cs="Times New Roman"/>
          <w:color w:val="000000" w:themeColor="text1"/>
          <w:lang w:val="zh-CN" w:eastAsia="zh-CN"/>
          <w14:textFill>
            <w14:solidFill>
              <w14:schemeClr w14:val="tx1"/>
            </w14:solidFill>
          </w14:textFill>
        </w:rPr>
        <w:t>项目实现具体绩效目标：一是减少水土流失，降低自然灾害，二是规范取水，合理利用水资源；三是合理利用能源，提高能源利用效率。</w:t>
      </w:r>
      <w:r>
        <w:rPr>
          <w:rFonts w:hint="eastAsia" w:ascii="FangSong_GB2312" w:hAnsi="SimSun"/>
          <w:lang w:val="en-US" w:eastAsia="zh-CN"/>
        </w:rPr>
        <w:t>2022年共评审项目6个。</w:t>
      </w:r>
      <w:r>
        <w:rPr>
          <w:rFonts w:hint="eastAsia" w:ascii="FangSong_GB2312" w:hAnsi="SimSun" w:cs="Times New Roman"/>
          <w:color w:val="000000" w:themeColor="text1"/>
          <w:lang w:val="zh-CN" w:eastAsia="zh-CN"/>
          <w14:textFill>
            <w14:solidFill>
              <w14:schemeClr w14:val="tx1"/>
            </w14:solidFill>
          </w14:textFill>
        </w:rPr>
        <w:t>项目申报内容与实际相符，申报目标合理可行。</w:t>
      </w:r>
    </w:p>
    <w:p>
      <w:pPr>
        <w:numPr>
          <w:ilvl w:val="0"/>
          <w:numId w:val="0"/>
        </w:numPr>
        <w:adjustRightInd w:val="0"/>
        <w:snapToGrid w:val="0"/>
        <w:spacing w:line="600" w:lineRule="exact"/>
        <w:ind w:firstLine="640" w:firstLineChars="200"/>
        <w:rPr>
          <w:rFonts w:hint="eastAsia" w:ascii="FangSong_GB2312" w:hAnsi="SimSun"/>
          <w:color w:val="FF0000"/>
          <w:lang w:val="zh-CN"/>
        </w:rPr>
      </w:pP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（三）项目自评步骤及方法。</w:t>
      </w:r>
    </w:p>
    <w:p>
      <w:pPr>
        <w:numPr>
          <w:ilvl w:val="0"/>
          <w:numId w:val="0"/>
        </w:numPr>
        <w:adjustRightInd w:val="0"/>
        <w:snapToGrid w:val="0"/>
        <w:spacing w:line="600" w:lineRule="exact"/>
        <w:ind w:firstLine="640" w:firstLineChars="200"/>
        <w:rPr>
          <w:rFonts w:hint="default" w:ascii="FangSong_GB2312" w:hAnsi="SimSun" w:cs="Times New Roman"/>
          <w:color w:val="000000" w:themeColor="text1"/>
          <w:lang w:val="zh-CN"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项目自评采取以单位领导</w:t>
      </w:r>
      <w:r>
        <w:rPr>
          <w:rFonts w:hint="default" w:ascii="FangSong_GB2312" w:hAnsi="SimSun" w:cs="Times New Roman"/>
          <w:color w:val="000000" w:themeColor="text1"/>
          <w:lang w:val="en-US" w:eastAsia="zh-CN"/>
          <w14:textFill>
            <w14:solidFill>
              <w14:schemeClr w14:val="tx1"/>
            </w14:solidFill>
          </w14:textFill>
        </w:rPr>
        <w:t>为组长</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财务及</w:t>
      </w:r>
      <w:r>
        <w:rPr>
          <w:rFonts w:hint="eastAsia" w:ascii="FangSong_GB2312" w:hAnsi="SimSun" w:cs="Times New Roman"/>
          <w:color w:val="000000" w:themeColor="text1"/>
          <w:lang w:val="en-US" w:eastAsia="zh-CN"/>
          <w14:textFill>
            <w14:solidFill>
              <w14:schemeClr w14:val="tx1"/>
            </w14:solidFill>
          </w14:textFill>
        </w:rPr>
        <w:t>相关业务人员为</w:t>
      </w:r>
      <w:r>
        <w:rPr>
          <w:rFonts w:hint="default" w:ascii="FangSong_GB2312" w:hAnsi="SimSun" w:cs="Times New Roman"/>
          <w:color w:val="000000" w:themeColor="text1"/>
          <w:lang w:val="en-US" w:eastAsia="zh-CN"/>
          <w14:textFill>
            <w14:solidFill>
              <w14:schemeClr w14:val="tx1"/>
            </w14:solidFill>
          </w14:textFill>
        </w:rPr>
        <w:t>成员的自评工作组。通过</w:t>
      </w:r>
      <w:r>
        <w:rPr>
          <w:rFonts w:hint="eastAsia" w:ascii="FangSong_GB2312" w:hAnsi="SimSun" w:cs="Times New Roman"/>
          <w:color w:val="000000" w:themeColor="text1"/>
          <w:lang w:val="en-US" w:eastAsia="zh-CN"/>
          <w14:textFill>
            <w14:solidFill>
              <w14:schemeClr w14:val="tx1"/>
            </w14:solidFill>
          </w14:textFill>
        </w:rPr>
        <w:t>审</w:t>
      </w:r>
      <w:r>
        <w:rPr>
          <w:rFonts w:hint="default" w:ascii="FangSong_GB2312" w:hAnsi="SimSun" w:cs="Times New Roman"/>
          <w:color w:val="000000" w:themeColor="text1"/>
          <w:lang w:val="en-US" w:eastAsia="zh-CN"/>
          <w14:textFill>
            <w14:solidFill>
              <w14:schemeClr w14:val="tx1"/>
            </w14:solidFill>
          </w14:textFill>
        </w:rPr>
        <w:t>阅资料、</w:t>
      </w:r>
      <w:r>
        <w:rPr>
          <w:rFonts w:hint="eastAsia" w:ascii="FangSong_GB2312" w:hAnsi="SimSun" w:cs="Times New Roman"/>
          <w:color w:val="000000" w:themeColor="text1"/>
          <w:lang w:val="en-US" w:eastAsia="zh-CN"/>
          <w14:textFill>
            <w14:solidFill>
              <w14:schemeClr w14:val="tx1"/>
            </w14:solidFill>
          </w14:textFill>
        </w:rPr>
        <w:t>查</w:t>
      </w:r>
      <w:r>
        <w:rPr>
          <w:rFonts w:hint="default" w:ascii="FangSong_GB2312" w:hAnsi="SimSun" w:cs="Times New Roman"/>
          <w:color w:val="000000" w:themeColor="text1"/>
          <w:lang w:val="en-US" w:eastAsia="zh-CN"/>
          <w14:textFill>
            <w14:solidFill>
              <w14:schemeClr w14:val="tx1"/>
            </w14:solidFill>
          </w14:textFill>
        </w:rPr>
        <w:t>看有无</w:t>
      </w:r>
      <w:r>
        <w:rPr>
          <w:rFonts w:hint="eastAsia" w:ascii="FangSong_GB2312" w:hAnsi="SimSun" w:cs="Times New Roman"/>
          <w:color w:val="000000" w:themeColor="text1"/>
          <w:lang w:val="en-US" w:eastAsia="zh-CN"/>
          <w14:textFill>
            <w14:solidFill>
              <w14:schemeClr w14:val="tx1"/>
            </w14:solidFill>
          </w14:textFill>
        </w:rPr>
        <w:t>错列</w:t>
      </w:r>
      <w:r>
        <w:rPr>
          <w:rFonts w:hint="default" w:ascii="FangSong_GB2312" w:hAnsi="SimSun" w:cs="Times New Roman"/>
          <w:color w:val="000000" w:themeColor="text1"/>
          <w:lang w:val="en-US" w:eastAsia="zh-CN"/>
          <w14:textFill>
            <w14:solidFill>
              <w14:schemeClr w14:val="tx1"/>
            </w14:solidFill>
          </w14:textFill>
        </w:rPr>
        <w:t>虚例支出</w:t>
      </w:r>
      <w:r>
        <w:rPr>
          <w:rFonts w:hint="eastAsia" w:ascii="FangSong_GB2312" w:hAnsi="SimSun" w:cs="Times New Roman"/>
          <w:color w:val="000000" w:themeColor="text1"/>
          <w:lang w:val="en-US" w:eastAsia="zh-CN"/>
          <w14:textFill>
            <w14:solidFill>
              <w14:schemeClr w14:val="tx1"/>
            </w14:solidFill>
          </w14:textFill>
        </w:rPr>
        <w:t>和</w:t>
      </w:r>
      <w:r>
        <w:rPr>
          <w:rFonts w:hint="default" w:ascii="FangSong_GB2312" w:hAnsi="SimSun" w:cs="Times New Roman"/>
          <w:color w:val="000000" w:themeColor="text1"/>
          <w:lang w:val="en-US" w:eastAsia="zh-CN"/>
          <w14:textFill>
            <w14:solidFill>
              <w14:schemeClr w14:val="tx1"/>
            </w14:solidFill>
          </w14:textFill>
        </w:rPr>
        <w:t>不规范的情况。通过自评</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得出考评分值</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并查找问题</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分析原因</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提出整改意见</w:t>
      </w:r>
      <w:r>
        <w:rPr>
          <w:rFonts w:hint="eastAsia" w:ascii="FangSong_GB2312" w:hAnsi="SimSun" w:cs="Times New Roman"/>
          <w:color w:val="000000" w:themeColor="text1"/>
          <w:lang w:val="en-US" w:eastAsia="zh-CN"/>
          <w14:textFill>
            <w14:solidFill>
              <w14:schemeClr w14:val="tx1"/>
            </w14:solidFill>
          </w14:textFill>
        </w:rPr>
        <w:t>。</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rFonts w:hint="eastAsia" w:ascii="FangSong_GB2312" w:hAnsi="SimSun" w:cs="Times New Roman"/>
          <w:lang w:val="zh-CN" w:eastAsia="zh-CN"/>
        </w:rPr>
      </w:pPr>
      <w:r>
        <w:rPr>
          <w:rFonts w:hint="eastAsia" w:ascii="FangSong_GB2312" w:hAnsi="SimSun"/>
          <w:lang w:val="zh-CN"/>
        </w:rPr>
        <w:t>此项目资金申报是按照财政资金用款计划申请程序进行申报批复用款。</w:t>
      </w:r>
      <w:r>
        <w:rPr>
          <w:rFonts w:hint="eastAsia" w:ascii="FangSong_GB2312" w:hAnsi="SimSun"/>
          <w:lang w:val="en-US" w:eastAsia="zh-CN"/>
        </w:rPr>
        <w:t>2022年此项目年初预算13元，根据国务院“放管服</w:t>
      </w:r>
      <w:r>
        <w:rPr>
          <w:rFonts w:hint="default" w:ascii="FangSong_GB2312" w:hAnsi="SimSun"/>
          <w:lang w:val="en-US" w:eastAsia="zh-CN"/>
        </w:rPr>
        <w:t>”</w:t>
      </w:r>
      <w:r>
        <w:rPr>
          <w:rFonts w:hint="eastAsia" w:ascii="FangSong_GB2312" w:hAnsi="SimSun"/>
          <w:lang w:val="en-US" w:eastAsia="zh-CN"/>
        </w:rPr>
        <w:t>要求，本年开始《建设项目水资源论证报告表》不再进行技术审查，实行告知承诺制。根据</w:t>
      </w:r>
      <w:r>
        <w:rPr>
          <w:rFonts w:hint="eastAsia" w:ascii="FangSong_GB2312" w:hAnsi="SimSun"/>
          <w:lang w:val="zh-CN"/>
        </w:rPr>
        <w:t>资金管理办法等相关规定，</w:t>
      </w:r>
      <w:r>
        <w:rPr>
          <w:rFonts w:hint="eastAsia" w:ascii="FangSong_GB2312" w:hAnsi="SimSun"/>
          <w:lang w:val="en-US" w:eastAsia="zh-CN"/>
        </w:rPr>
        <w:t>经按程序向财政相关业务股室申请，将此项目预算经费调减至2.72万元，</w:t>
      </w:r>
      <w:r>
        <w:rPr>
          <w:rFonts w:hint="eastAsia" w:ascii="FangSong_GB2312" w:hAnsi="SimSun" w:cs="Times New Roman"/>
          <w:lang w:val="en-US" w:eastAsia="zh-CN"/>
        </w:rPr>
        <w:t>实际支出2.72万元。资金开支围绕创建项目开展，支付依据合规合法，</w:t>
      </w:r>
      <w:r>
        <w:rPr>
          <w:rFonts w:hint="eastAsia" w:ascii="FangSong_GB2312" w:hAnsi="SimSun" w:cs="Times New Roman"/>
          <w:lang w:val="zh-CN" w:eastAsia="zh-CN"/>
        </w:rPr>
        <w:t>资金支付与预算相符。</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lang w:val="zh-CN"/>
        </w:rPr>
      </w:pPr>
      <w:r>
        <w:rPr>
          <w:rFonts w:hint="eastAsia" w:ascii="KaiTi_GB2312" w:hAnsi="SimSun" w:eastAsia="KaiTi_GB2312"/>
          <w:lang w:val="zh-CN"/>
        </w:rPr>
        <w:t>1．资金计划和到位情况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FangSong_GB2312" w:hAnsi="SimSun" w:eastAsia="FangSong_GB2312"/>
          <w:lang w:val="en-US" w:eastAsia="zh-CN"/>
        </w:rPr>
      </w:pPr>
      <w:r>
        <w:rPr>
          <w:rFonts w:hint="eastAsia" w:ascii="FangSong_GB2312" w:hAnsi="SimSun"/>
          <w:lang w:val="zh-CN"/>
        </w:rPr>
        <w:t>资金计划为县级财政全额拨款，资金申请按需申报，资金到位及时足额，资金到位率</w:t>
      </w:r>
      <w:r>
        <w:rPr>
          <w:rFonts w:hint="eastAsia" w:ascii="FangSong_GB2312" w:hAnsi="SimSun"/>
          <w:lang w:val="en-US" w:eastAsia="zh-CN"/>
        </w:rPr>
        <w:t>100%。</w:t>
      </w:r>
    </w:p>
    <w:p>
      <w:pPr>
        <w:adjustRightInd w:val="0"/>
        <w:snapToGrid w:val="0"/>
        <w:spacing w:line="600" w:lineRule="exact"/>
        <w:ind w:firstLine="720"/>
        <w:rPr>
          <w:rFonts w:hint="eastAsia" w:ascii="FangSong_GB2312" w:hAnsi="SimSun"/>
          <w:lang w:val="en-US" w:eastAsia="zh-CN"/>
        </w:rPr>
      </w:pPr>
      <w:r>
        <w:rPr>
          <w:rFonts w:hint="eastAsia" w:ascii="KaiTi_GB2312" w:hAnsi="SimSun" w:eastAsia="KaiTi_GB2312"/>
          <w:lang w:val="en-US" w:eastAsia="zh-CN"/>
        </w:rPr>
        <w:t>2</w:t>
      </w:r>
      <w:r>
        <w:rPr>
          <w:rFonts w:hint="eastAsia" w:ascii="KaiTi_GB2312" w:hAnsi="SimSun" w:eastAsia="KaiTi_GB2312"/>
          <w:lang w:val="zh-CN"/>
        </w:rPr>
        <w:t>．资金使用。</w:t>
      </w:r>
      <w:r>
        <w:rPr>
          <w:rFonts w:hint="eastAsia" w:ascii="FangSong_GB2312" w:hAnsi="SimSun"/>
          <w:lang w:val="en-US" w:eastAsia="zh-CN"/>
        </w:rPr>
        <w:t xml:space="preserve">  </w:t>
      </w:r>
    </w:p>
    <w:p>
      <w:pPr>
        <w:pStyle w:val="10"/>
      </w:pPr>
      <w:r>
        <w:rPr>
          <w:rFonts w:hint="eastAsia" w:ascii="FangSong_GB2312" w:hAnsi="SimSun"/>
          <w:lang w:val="en-US" w:eastAsia="zh-CN"/>
        </w:rPr>
        <w:t>2022年项目资金用款2.72万元，全部用于支付项目评审专家费，专家评审费支付标准依据乐水办</w:t>
      </w:r>
      <w:r>
        <w:t>窗体顶端</w:t>
      </w:r>
    </w:p>
    <w:p>
      <w:pPr>
        <w:pStyle w:val="4"/>
        <w:keepNext w:val="0"/>
        <w:keepLines w:val="0"/>
        <w:widowControl/>
        <w:suppressLineNumbers w:val="0"/>
        <w:spacing w:before="316" w:beforeAutospacing="0" w:after="316" w:afterAutospacing="0" w:line="23" w:lineRule="atLeast"/>
        <w:ind w:left="0" w:right="0" w:firstLine="420"/>
        <w:jc w:val="both"/>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zh-CN" w:eastAsia="zh-CN" w:bidi="ar-SA"/>
        </w:rPr>
        <w:t>〔20</w:t>
      </w:r>
      <w:r>
        <w:rPr>
          <w:rFonts w:hint="eastAsia" w:ascii="FangSong_GB2312" w:hAnsi="SimSun" w:eastAsia="FangSong_GB2312" w:cs="Times New Roman"/>
          <w:kern w:val="2"/>
          <w:sz w:val="32"/>
          <w:szCs w:val="32"/>
          <w:lang w:val="en-US" w:eastAsia="zh-CN" w:bidi="ar-SA"/>
        </w:rPr>
        <w:t>20</w:t>
      </w:r>
      <w:r>
        <w:rPr>
          <w:rFonts w:hint="eastAsia" w:ascii="FangSong_GB2312" w:hAnsi="SimSun" w:eastAsia="FangSong_GB2312" w:cs="Times New Roman"/>
          <w:kern w:val="2"/>
          <w:sz w:val="32"/>
          <w:szCs w:val="32"/>
          <w:lang w:val="zh-CN" w:eastAsia="zh-CN" w:bidi="ar-SA"/>
        </w:rPr>
        <w:t>〕</w:t>
      </w:r>
      <w:r>
        <w:rPr>
          <w:rFonts w:hint="eastAsia" w:ascii="FangSong_GB2312" w:hAnsi="SimSun" w:eastAsia="FangSong_GB2312" w:cs="Times New Roman"/>
          <w:kern w:val="2"/>
          <w:sz w:val="32"/>
          <w:szCs w:val="32"/>
          <w:lang w:val="en-US" w:eastAsia="zh-CN" w:bidi="ar-SA"/>
        </w:rPr>
        <w:t>2号《关于印发‘乐山市水务局水行政许可事项技术性评审管理办法’的通知》的文件要求标准执行。支付进度按项目完成评审后，15个工作日之内支付到账，支付进度100%。</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我局严格执行《行政审批局财务管理制度》，严格按照财政部《财务工作基本规范》和《行政审批局财务管理制度》执行。</w:t>
      </w:r>
      <w:r>
        <w:rPr>
          <w:rFonts w:hint="eastAsia" w:ascii="FangSong_GB2312" w:hAnsi="SimSun"/>
          <w:lang w:val="en-US" w:eastAsia="zh-CN"/>
        </w:rPr>
        <w:t>2022年我局财务工作机构设置为：局长为财务工作总负责人，设置分管财务工作的副局长一名，会计、出纳各一名。按照各自职能职责进行资金申请、报账审核、会计核算和账务处理工作。严格按照资金管理办法，执行财务管理制度，财务处理及时，会计核算规范。</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hint="default" w:ascii="FangSong_GB2312" w:hAnsi="SimSun"/>
          <w:lang w:val="en-US" w:eastAsia="zh-CN"/>
        </w:rPr>
      </w:pPr>
      <w:r>
        <w:rPr>
          <w:rFonts w:hint="eastAsia" w:ascii="FangSong_GB2312" w:hAnsi="SimSun"/>
          <w:lang w:val="zh-CN" w:eastAsia="zh-CN"/>
        </w:rPr>
        <w:t>项目技术评审由审批局组织实施，由窗口收件初审后，将报告转技术审查人员在专家库抽取专家，组织专家进行技术评审，报告编制单位按照专家意见进行修改，在</w:t>
      </w:r>
      <w:r>
        <w:rPr>
          <w:rFonts w:hint="eastAsia" w:ascii="FangSong_GB2312" w:hAnsi="SimSun"/>
          <w:lang w:val="en-US" w:eastAsia="zh-CN"/>
        </w:rPr>
        <w:t>30个工作日内完成《报告书》（报批稿）并由专家出具技术评审意见，审批局后台再进行许可批复。</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en-US" w:eastAsia="zh-CN"/>
        </w:rPr>
      </w:pPr>
      <w:r>
        <w:rPr>
          <w:rFonts w:hint="eastAsia" w:ascii="FangSong_GB2312" w:hAnsi="SimSun"/>
          <w:lang w:val="en-US" w:eastAsia="zh-CN"/>
        </w:rPr>
        <w:t>2022年完成水土保持项目4个，水资源论证项目1个，节能审查项目1个，项目专家评审率100%。使用项目经费2.72万元。无一件违规记录。</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FangSong_GB2312" w:hAnsi="SimSun" w:eastAsia="FangSong_GB2312"/>
          <w:lang w:val="en-US" w:eastAsia="zh-CN"/>
        </w:rPr>
      </w:pPr>
      <w:r>
        <w:rPr>
          <w:rFonts w:hint="eastAsia" w:ascii="FangSong_GB2312" w:hAnsi="SimSun"/>
          <w:lang w:val="zh-CN"/>
        </w:rPr>
        <w:t>项目评审，对水保项目来说加强了生产建设全过程水土保持管理，优化施工工艺和时序，</w:t>
      </w:r>
      <w:r>
        <w:rPr>
          <w:rFonts w:hint="eastAsia" w:ascii="FangSong_GB2312" w:hAnsi="SimSun"/>
          <w:lang w:val="en-US" w:eastAsia="zh-CN"/>
        </w:rPr>
        <w:t>减少了地表扰动和植被损坏，控制了水土流失，提高了</w:t>
      </w:r>
      <w:bookmarkStart w:id="0" w:name="_GoBack"/>
      <w:bookmarkEnd w:id="0"/>
      <w:r>
        <w:rPr>
          <w:rFonts w:hint="eastAsia" w:ascii="FangSong_GB2312" w:hAnsi="SimSun"/>
          <w:lang w:val="en-US" w:eastAsia="zh-CN"/>
        </w:rPr>
        <w:t>资源利用效率。对节能项目来说有效</w:t>
      </w:r>
      <w:r>
        <w:rPr>
          <w:rFonts w:hint="eastAsia" w:ascii="FangSong_GB2312" w:hAnsi="SimSun"/>
          <w:lang w:val="zh-CN"/>
        </w:rPr>
        <w:t>杜绝能源浪费，提高</w:t>
      </w:r>
      <w:r>
        <w:rPr>
          <w:rFonts w:hint="eastAsia" w:ascii="FangSong_GB2312" w:hAnsi="SimSun"/>
          <w:lang w:val="zh-CN" w:eastAsia="zh-CN"/>
        </w:rPr>
        <w:t>了</w:t>
      </w:r>
      <w:r>
        <w:rPr>
          <w:rFonts w:hint="eastAsia" w:ascii="FangSong_GB2312" w:hAnsi="SimSun"/>
          <w:lang w:val="zh-CN"/>
        </w:rPr>
        <w:t>能源利用效率</w:t>
      </w:r>
      <w:r>
        <w:rPr>
          <w:rFonts w:hint="eastAsia" w:ascii="FangSong_GB2312" w:hAnsi="SimSun"/>
          <w:lang w:val="zh-CN" w:eastAsia="zh-CN"/>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FangSong_GB2312" w:hAnsi="SimSun"/>
          <w:lang w:val="zh-CN"/>
        </w:rPr>
      </w:pPr>
      <w:r>
        <w:rPr>
          <w:rFonts w:hint="eastAsia" w:ascii="FangSong_GB2312" w:hAnsi="SimSun"/>
          <w:lang w:val="en-US" w:eastAsia="zh-CN"/>
        </w:rPr>
        <w:t>2022</w:t>
      </w:r>
      <w:r>
        <w:rPr>
          <w:rFonts w:hint="eastAsia" w:ascii="FangSong_GB2312" w:hAnsi="SimSun"/>
          <w:lang w:val="zh-CN"/>
        </w:rPr>
        <w:t>年度</w:t>
      </w:r>
      <w:r>
        <w:rPr>
          <w:rFonts w:hint="eastAsia" w:ascii="FangSong_GB2312" w:hAnsi="SimSun"/>
          <w:lang w:val="zh-CN" w:eastAsia="zh-CN"/>
        </w:rPr>
        <w:t>行政审批局水土保持与水资源论证评审费项目</w:t>
      </w:r>
      <w:r>
        <w:rPr>
          <w:rFonts w:hint="eastAsia" w:ascii="FangSong_GB2312" w:hAnsi="SimSun"/>
          <w:lang w:val="zh-CN"/>
        </w:rPr>
        <w:t>总体评价得</w:t>
      </w:r>
      <w:r>
        <w:rPr>
          <w:rFonts w:hint="eastAsia" w:ascii="FangSong_GB2312" w:hAnsi="SimSun"/>
          <w:lang w:val="en-US" w:eastAsia="zh-CN"/>
        </w:rPr>
        <w:t>99</w:t>
      </w:r>
      <w:r>
        <w:rPr>
          <w:rFonts w:hint="eastAsia" w:ascii="FangSong_GB2312" w:hAnsi="SimSun"/>
          <w:lang w:val="zh-CN"/>
        </w:rPr>
        <w:t>分。</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FangSong_GB2312" w:hAnsi="SimSun"/>
          <w:lang w:val="zh-CN" w:eastAsia="zh-CN"/>
        </w:rPr>
      </w:pPr>
      <w:r>
        <w:rPr>
          <w:rFonts w:hint="eastAsia" w:ascii="FangSong_GB2312" w:hAnsi="SimSun"/>
          <w:lang w:val="zh-CN" w:eastAsia="zh-CN"/>
        </w:rPr>
        <w:t>由于评审项目件数具有不确定性，因此容易出现经费预算与实际开支误差较大情况。</w:t>
      </w:r>
    </w:p>
    <w:p>
      <w:pPr>
        <w:adjustRightInd w:val="0"/>
        <w:snapToGrid w:val="0"/>
        <w:spacing w:line="600" w:lineRule="exact"/>
        <w:ind w:firstLine="640" w:firstLineChars="200"/>
      </w:pPr>
      <w:r>
        <w:rPr>
          <w:rFonts w:hint="eastAsia" w:ascii="FangSong_GB2312" w:hAnsi="SimSun"/>
          <w:lang w:val="zh-CN"/>
        </w:rPr>
        <w:tab/>
      </w:r>
      <w:r>
        <w:rPr>
          <w:rFonts w:hint="eastAsia" w:ascii="KaiTi_GB2312" w:hAnsi="SimSun" w:eastAsia="KaiTi_GB2312"/>
          <w:b/>
          <w:lang w:val="zh-CN"/>
        </w:rPr>
        <w:t>（三）相关建议。</w:t>
      </w:r>
      <w:r>
        <w:rPr>
          <w:rFonts w:hint="eastAsia" w:ascii="FangSong_GB2312" w:hAnsi="SimSun"/>
          <w:lang w:val="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466DF287-AD77-49DF-B36E-9FEE5A85CCCD}"/>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FAC5CF83-E58F-46EC-9939-AFB2D6A54A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3" w:fontKey="{7F062784-6FAD-49DD-80AE-F344F1057FB6}"/>
  </w:font>
  <w:font w:name="FangSong_GB2312">
    <w:panose1 w:val="02010609030101010101"/>
    <w:charset w:val="86"/>
    <w:family w:val="modern"/>
    <w:pitch w:val="default"/>
    <w:sig w:usb0="00000001" w:usb1="080E0000" w:usb2="00000000" w:usb3="00000000" w:csb0="00040000" w:csb1="00000000"/>
    <w:embedRegular r:id="rId4" w:fontKey="{E829349C-005C-4653-B128-6F3626195835}"/>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5" w:fontKey="{2ADBD616-0450-4951-85BF-E09144429F09}"/>
  </w:font>
  <w:font w:name="KaiTi_GB2312">
    <w:panose1 w:val="02010609030101010101"/>
    <w:charset w:val="86"/>
    <w:family w:val="modern"/>
    <w:pitch w:val="default"/>
    <w:sig w:usb0="00000001" w:usb1="080E0000" w:usb2="00000000" w:usb3="00000000" w:csb0="00040000" w:csb1="00000000"/>
    <w:embedRegular r:id="rId6" w:fontKey="{301A5F83-F39F-4BBD-9C08-29BD4F318D90}"/>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937A"/>
    <w:multiLevelType w:val="singleLevel"/>
    <w:tmpl w:val="BC5893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0EA233A"/>
    <w:rsid w:val="023D293E"/>
    <w:rsid w:val="05E51322"/>
    <w:rsid w:val="08DD4532"/>
    <w:rsid w:val="0C322DE7"/>
    <w:rsid w:val="0D466608"/>
    <w:rsid w:val="0D850CC5"/>
    <w:rsid w:val="0F512F0F"/>
    <w:rsid w:val="0FE761C4"/>
    <w:rsid w:val="11895257"/>
    <w:rsid w:val="132C67E2"/>
    <w:rsid w:val="14D26F15"/>
    <w:rsid w:val="156E6271"/>
    <w:rsid w:val="15F64E85"/>
    <w:rsid w:val="16842491"/>
    <w:rsid w:val="19B536B9"/>
    <w:rsid w:val="1C595B9F"/>
    <w:rsid w:val="1C752157"/>
    <w:rsid w:val="1D187DD7"/>
    <w:rsid w:val="1D2C179E"/>
    <w:rsid w:val="267E7EE2"/>
    <w:rsid w:val="270311B0"/>
    <w:rsid w:val="291C455A"/>
    <w:rsid w:val="2A3A75DF"/>
    <w:rsid w:val="2A502512"/>
    <w:rsid w:val="2B612949"/>
    <w:rsid w:val="2C567FD4"/>
    <w:rsid w:val="2CBF5B79"/>
    <w:rsid w:val="2E3C59ED"/>
    <w:rsid w:val="2E844789"/>
    <w:rsid w:val="2F991285"/>
    <w:rsid w:val="31F05E31"/>
    <w:rsid w:val="34993154"/>
    <w:rsid w:val="36926D0C"/>
    <w:rsid w:val="378B147A"/>
    <w:rsid w:val="397C0132"/>
    <w:rsid w:val="3ADC3D9A"/>
    <w:rsid w:val="3AF34034"/>
    <w:rsid w:val="3E045AE2"/>
    <w:rsid w:val="40B57568"/>
    <w:rsid w:val="41483F38"/>
    <w:rsid w:val="414A628B"/>
    <w:rsid w:val="41735459"/>
    <w:rsid w:val="431900D9"/>
    <w:rsid w:val="44F63401"/>
    <w:rsid w:val="4B8B7843"/>
    <w:rsid w:val="4BFF5B3B"/>
    <w:rsid w:val="52531609"/>
    <w:rsid w:val="54161C73"/>
    <w:rsid w:val="54D9517B"/>
    <w:rsid w:val="561641AD"/>
    <w:rsid w:val="565847C5"/>
    <w:rsid w:val="5D415FB3"/>
    <w:rsid w:val="5E0A0A9B"/>
    <w:rsid w:val="5E2751A9"/>
    <w:rsid w:val="60D4713E"/>
    <w:rsid w:val="633A597E"/>
    <w:rsid w:val="63E458EA"/>
    <w:rsid w:val="673E27F9"/>
    <w:rsid w:val="683C3B24"/>
    <w:rsid w:val="690F51B7"/>
    <w:rsid w:val="694F3806"/>
    <w:rsid w:val="69796AD5"/>
    <w:rsid w:val="6A0665BA"/>
    <w:rsid w:val="6C1060D3"/>
    <w:rsid w:val="6EF16389"/>
    <w:rsid w:val="722B6807"/>
    <w:rsid w:val="74276058"/>
    <w:rsid w:val="762A53DF"/>
    <w:rsid w:val="76E346E0"/>
    <w:rsid w:val="79016D9C"/>
    <w:rsid w:val="79020895"/>
    <w:rsid w:val="7B23700B"/>
    <w:rsid w:val="7F2826D7"/>
    <w:rsid w:val="7FBE4DEA"/>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000000"/>
      <w:u w:val="none"/>
    </w:rPr>
  </w:style>
  <w:style w:type="character" w:styleId="8">
    <w:name w:val="Hyperlink"/>
    <w:basedOn w:val="6"/>
    <w:uiPriority w:val="0"/>
    <w:rPr>
      <w:color w:val="000000"/>
      <w:u w:val="none"/>
    </w:rPr>
  </w:style>
  <w:style w:type="paragraph" w:customStyle="1" w:styleId="9">
    <w:name w:val="四号正文"/>
    <w:basedOn w:val="1"/>
    <w:autoRedefine/>
    <w:qFormat/>
    <w:uiPriority w:val="0"/>
    <w:pPr>
      <w:spacing w:line="360" w:lineRule="auto"/>
    </w:pPr>
    <w:rPr>
      <w:rFonts w:ascii="??" w:hAnsi="??" w:eastAsia="SimSun"/>
      <w:color w:val="000000"/>
      <w:kern w:val="0"/>
      <w:sz w:val="28"/>
      <w:szCs w:val="21"/>
      <w:lang w:val="zh-CN"/>
    </w:rPr>
  </w:style>
  <w:style w:type="paragraph" w:styleId="10">
    <w:name w:val=""/>
    <w:basedOn w:val="1"/>
    <w:next w:val="1"/>
    <w:uiPriority w:val="0"/>
    <w:pPr>
      <w:pBdr>
        <w:bottom w:val="single" w:color="auto" w:sz="6" w:space="1"/>
      </w:pBdr>
      <w:jc w:val="center"/>
    </w:pPr>
    <w:rPr>
      <w:rFonts w:ascii="Arial" w:eastAsia="SimSun"/>
      <w:vanish/>
      <w:sz w:val="16"/>
    </w:rPr>
  </w:style>
  <w:style w:type="paragraph" w:styleId="11">
    <w:name w:val=""/>
    <w:basedOn w:val="1"/>
    <w:next w:val="1"/>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1718</Words>
  <Characters>1777</Characters>
  <Lines>9</Lines>
  <Paragraphs>2</Paragraphs>
  <TotalTime>8</TotalTime>
  <ScaleCrop>false</ScaleCrop>
  <LinksUpToDate>false</LinksUpToDate>
  <CharactersWithSpaces>1786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2023-07-04T06:51:00Z</cp:lastPrinted>
  <dcterms:modified xsi:type="dcterms:W3CDTF">2024-03-27T07:21:14Z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